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rPr>
          <w:color w:val="222222"/>
          <w:sz w:val="20"/>
          <w:szCs w:val="20"/>
          <w:highlight w:val="white"/>
        </w:rPr>
      </w:pPr>
      <w:r w:rsidDel="00000000" w:rsidR="00000000" w:rsidRPr="00000000">
        <w:rPr>
          <w:b w:val="1"/>
          <w:color w:val="222222"/>
          <w:sz w:val="20"/>
          <w:szCs w:val="20"/>
          <w:highlight w:val="white"/>
          <w:rtl w:val="0"/>
        </w:rPr>
        <w:t xml:space="preserve">Objective:</w:t>
        <w:br w:type="textWrapping"/>
      </w:r>
      <w:r w:rsidDel="00000000" w:rsidR="00000000" w:rsidRPr="00000000">
        <w:rPr>
          <w:color w:val="222222"/>
          <w:sz w:val="20"/>
          <w:szCs w:val="20"/>
          <w:highlight w:val="white"/>
          <w:rtl w:val="0"/>
        </w:rPr>
        <w:t xml:space="preserve">To determine if the teat apex microbiome is different between cows that have mastitis (“cases”) versus those that don’t (“controls”). NOTE: our microbiome data was generated from shotgun metagenomic data using kraken2</w:t>
      </w:r>
    </w:p>
    <w:p w:rsidR="00000000" w:rsidDel="00000000" w:rsidP="00000000" w:rsidRDefault="00000000" w:rsidRPr="00000000" w14:paraId="00000002">
      <w:pPr>
        <w:spacing w:after="240" w:before="240" w:line="240" w:lineRule="auto"/>
        <w:rPr>
          <w:b w:val="1"/>
          <w:color w:val="222222"/>
          <w:sz w:val="20"/>
          <w:szCs w:val="20"/>
          <w:highlight w:val="white"/>
        </w:rPr>
      </w:pPr>
      <w:r w:rsidDel="00000000" w:rsidR="00000000" w:rsidRPr="00000000">
        <w:rPr>
          <w:b w:val="1"/>
          <w:color w:val="222222"/>
          <w:sz w:val="20"/>
          <w:szCs w:val="20"/>
          <w:highlight w:val="white"/>
          <w:rtl w:val="0"/>
        </w:rPr>
        <w:t xml:space="preserve">Study Design:</w:t>
      </w:r>
    </w:p>
    <w:p w:rsidR="00000000" w:rsidDel="00000000" w:rsidP="00000000" w:rsidRDefault="00000000" w:rsidRPr="00000000" w14:paraId="00000003">
      <w:pPr>
        <w:spacing w:after="240" w:before="240" w:line="240" w:lineRule="auto"/>
        <w:rPr>
          <w:color w:val="222222"/>
          <w:sz w:val="20"/>
          <w:szCs w:val="20"/>
          <w:highlight w:val="white"/>
        </w:rPr>
      </w:pPr>
      <w:r w:rsidDel="00000000" w:rsidR="00000000" w:rsidRPr="00000000">
        <w:rPr>
          <w:b w:val="1"/>
          <w:color w:val="222222"/>
          <w:sz w:val="20"/>
          <w:szCs w:val="20"/>
          <w:highlight w:val="white"/>
          <w:rtl w:val="0"/>
        </w:rPr>
        <w:t xml:space="preserve">Animals:</w:t>
        <w:br w:type="textWrapping"/>
      </w:r>
      <w:r w:rsidDel="00000000" w:rsidR="00000000" w:rsidRPr="00000000">
        <w:rPr>
          <w:color w:val="222222"/>
          <w:sz w:val="20"/>
          <w:szCs w:val="20"/>
          <w:highlight w:val="white"/>
          <w:rtl w:val="0"/>
        </w:rPr>
        <w:t xml:space="preserve">Cows were sampled on 5 different dairy farms. Their teat apices were sampled weekly for several weeks prior to calving. At calving, their milk was collected and tested for mastitis to determine if they were a case or control (infected or un-infected).</w:t>
      </w:r>
      <w:r w:rsidDel="00000000" w:rsidR="00000000" w:rsidRPr="00000000">
        <w:rPr>
          <w:rtl w:val="0"/>
        </w:rPr>
      </w:r>
    </w:p>
    <w:p w:rsidR="00000000" w:rsidDel="00000000" w:rsidP="00000000" w:rsidRDefault="00000000" w:rsidRPr="00000000" w14:paraId="00000004">
      <w:pPr>
        <w:spacing w:after="240" w:before="240" w:line="240" w:lineRule="auto"/>
        <w:rPr>
          <w:color w:val="222222"/>
          <w:sz w:val="20"/>
          <w:szCs w:val="20"/>
          <w:highlight w:val="white"/>
        </w:rPr>
      </w:pPr>
      <w:r w:rsidDel="00000000" w:rsidR="00000000" w:rsidRPr="00000000">
        <w:rPr>
          <w:b w:val="1"/>
          <w:color w:val="222222"/>
          <w:sz w:val="20"/>
          <w:szCs w:val="20"/>
          <w:highlight w:val="white"/>
          <w:rtl w:val="0"/>
        </w:rPr>
        <w:t xml:space="preserve">Samples:</w:t>
        <w:br w:type="textWrapping"/>
      </w:r>
      <w:r w:rsidDel="00000000" w:rsidR="00000000" w:rsidRPr="00000000">
        <w:rPr>
          <w:color w:val="222222"/>
          <w:sz w:val="20"/>
          <w:szCs w:val="20"/>
          <w:highlight w:val="white"/>
          <w:rtl w:val="0"/>
        </w:rPr>
        <w:t xml:space="preserve">839 samples collected by using gauze to swab the teat apices of dairy cows. Samples were extracted using PowerSoil Pro kit, and then subjected to shotgun metagenomic library preparation and sequenced on the NovaSeq 6000.</w:t>
      </w:r>
      <w:r w:rsidDel="00000000" w:rsidR="00000000" w:rsidRPr="00000000">
        <w:rPr>
          <w:rtl w:val="0"/>
        </w:rPr>
      </w:r>
    </w:p>
    <w:p w:rsidR="00000000" w:rsidDel="00000000" w:rsidP="00000000" w:rsidRDefault="00000000" w:rsidRPr="00000000" w14:paraId="00000005">
      <w:pPr>
        <w:spacing w:after="240" w:before="240" w:line="240" w:lineRule="auto"/>
        <w:rPr>
          <w:color w:val="222222"/>
          <w:sz w:val="20"/>
          <w:szCs w:val="20"/>
          <w:highlight w:val="white"/>
        </w:rPr>
      </w:pPr>
      <w:r w:rsidDel="00000000" w:rsidR="00000000" w:rsidRPr="00000000">
        <w:rPr>
          <w:b w:val="1"/>
          <w:color w:val="222222"/>
          <w:sz w:val="20"/>
          <w:szCs w:val="20"/>
          <w:highlight w:val="white"/>
          <w:rtl w:val="0"/>
        </w:rPr>
        <w:t xml:space="preserve">Analysis:</w:t>
        <w:br w:type="textWrapping"/>
      </w:r>
      <w:r w:rsidDel="00000000" w:rsidR="00000000" w:rsidRPr="00000000">
        <w:rPr>
          <w:color w:val="222222"/>
          <w:sz w:val="20"/>
          <w:szCs w:val="20"/>
          <w:highlight w:val="white"/>
          <w:rtl w:val="0"/>
        </w:rPr>
        <w:t xml:space="preserve">Shotgun metagenomic data were run through kraken2 within the AMR++ pipeline.</w:t>
      </w:r>
      <w:r w:rsidDel="00000000" w:rsidR="00000000" w:rsidRPr="00000000">
        <w:rPr>
          <w:rtl w:val="0"/>
        </w:rPr>
      </w:r>
    </w:p>
    <w:p w:rsidR="00000000" w:rsidDel="00000000" w:rsidP="00000000" w:rsidRDefault="00000000" w:rsidRPr="00000000" w14:paraId="00000006">
      <w:pPr>
        <w:spacing w:after="240" w:before="240" w:line="240" w:lineRule="auto"/>
        <w:rPr>
          <w:b w:val="1"/>
          <w:color w:val="222222"/>
          <w:highlight w:val="white"/>
        </w:rPr>
      </w:pPr>
      <w:r w:rsidDel="00000000" w:rsidR="00000000" w:rsidRPr="00000000">
        <w:rPr>
          <w:b w:val="1"/>
          <w:color w:val="222222"/>
          <w:highlight w:val="white"/>
          <w:rtl w:val="0"/>
        </w:rPr>
        <w:t xml:space="preserve">Tasks:</w:t>
      </w:r>
    </w:p>
    <w:p w:rsidR="00000000" w:rsidDel="00000000" w:rsidP="00000000" w:rsidRDefault="00000000" w:rsidRPr="00000000" w14:paraId="00000007">
      <w:pPr>
        <w:numPr>
          <w:ilvl w:val="0"/>
          <w:numId w:val="1"/>
        </w:numPr>
        <w:spacing w:after="0" w:afterAutospacing="0" w:before="240" w:line="240" w:lineRule="auto"/>
        <w:ind w:left="720" w:hanging="360"/>
        <w:rPr>
          <w:color w:val="222222"/>
          <w:sz w:val="20"/>
          <w:szCs w:val="20"/>
          <w:highlight w:val="white"/>
        </w:rPr>
      </w:pPr>
      <w:r w:rsidDel="00000000" w:rsidR="00000000" w:rsidRPr="00000000">
        <w:rPr>
          <w:color w:val="222222"/>
          <w:sz w:val="20"/>
          <w:szCs w:val="20"/>
          <w:highlight w:val="white"/>
          <w:rtl w:val="0"/>
        </w:rPr>
        <w:t xml:space="preserve">Load AMR++ kraken2 output files and create a phyloseq object for analysis.</w:t>
      </w:r>
    </w:p>
    <w:p w:rsidR="00000000" w:rsidDel="00000000" w:rsidP="00000000" w:rsidRDefault="00000000" w:rsidRPr="00000000" w14:paraId="00000008">
      <w:pPr>
        <w:numPr>
          <w:ilvl w:val="0"/>
          <w:numId w:val="1"/>
        </w:numPr>
        <w:spacing w:after="0" w:afterAutospacing="0" w:before="0" w:beforeAutospacing="0" w:line="240" w:lineRule="auto"/>
        <w:ind w:left="720" w:hanging="360"/>
        <w:rPr>
          <w:color w:val="222222"/>
          <w:sz w:val="20"/>
          <w:szCs w:val="20"/>
          <w:highlight w:val="white"/>
        </w:rPr>
      </w:pPr>
      <w:r w:rsidDel="00000000" w:rsidR="00000000" w:rsidRPr="00000000">
        <w:rPr>
          <w:color w:val="222222"/>
          <w:sz w:val="20"/>
          <w:szCs w:val="20"/>
          <w:highlight w:val="white"/>
          <w:rtl w:val="0"/>
        </w:rPr>
        <w:t xml:space="preserve">Summarize basic QC metrics:</w:t>
      </w:r>
    </w:p>
    <w:p w:rsidR="00000000" w:rsidDel="00000000" w:rsidP="00000000" w:rsidRDefault="00000000" w:rsidRPr="00000000" w14:paraId="00000009">
      <w:pPr>
        <w:numPr>
          <w:ilvl w:val="1"/>
          <w:numId w:val="1"/>
        </w:numPr>
        <w:spacing w:after="0" w:afterAutospacing="0" w:before="0" w:beforeAutospacing="0" w:line="240" w:lineRule="auto"/>
        <w:ind w:left="1440" w:hanging="360"/>
        <w:rPr>
          <w:color w:val="222222"/>
          <w:sz w:val="20"/>
          <w:szCs w:val="20"/>
          <w:highlight w:val="white"/>
        </w:rPr>
      </w:pPr>
      <w:r w:rsidDel="00000000" w:rsidR="00000000" w:rsidRPr="00000000">
        <w:rPr>
          <w:color w:val="222222"/>
          <w:sz w:val="20"/>
          <w:szCs w:val="20"/>
          <w:highlight w:val="white"/>
          <w:rtl w:val="0"/>
        </w:rPr>
        <w:t xml:space="preserve">Total raw reads, mean [range], median</w:t>
      </w:r>
    </w:p>
    <w:p w:rsidR="00000000" w:rsidDel="00000000" w:rsidP="00000000" w:rsidRDefault="00000000" w:rsidRPr="00000000" w14:paraId="0000000A">
      <w:pPr>
        <w:numPr>
          <w:ilvl w:val="1"/>
          <w:numId w:val="1"/>
        </w:numPr>
        <w:spacing w:after="0" w:afterAutospacing="0" w:before="0" w:beforeAutospacing="0" w:line="240" w:lineRule="auto"/>
        <w:ind w:left="1440" w:hanging="360"/>
        <w:rPr>
          <w:color w:val="222222"/>
          <w:sz w:val="20"/>
          <w:szCs w:val="20"/>
          <w:highlight w:val="white"/>
          <w:u w:val="none"/>
        </w:rPr>
      </w:pPr>
      <w:r w:rsidDel="00000000" w:rsidR="00000000" w:rsidRPr="00000000">
        <w:rPr>
          <w:color w:val="222222"/>
          <w:sz w:val="20"/>
          <w:szCs w:val="20"/>
          <w:highlight w:val="white"/>
          <w:rtl w:val="0"/>
        </w:rPr>
        <w:t xml:space="preserve">Total trimmed reads, mean [range], median</w:t>
      </w:r>
    </w:p>
    <w:p w:rsidR="00000000" w:rsidDel="00000000" w:rsidP="00000000" w:rsidRDefault="00000000" w:rsidRPr="00000000" w14:paraId="0000000B">
      <w:pPr>
        <w:numPr>
          <w:ilvl w:val="1"/>
          <w:numId w:val="1"/>
        </w:numPr>
        <w:spacing w:after="240" w:before="0" w:beforeAutospacing="0" w:line="240" w:lineRule="auto"/>
        <w:ind w:left="1440" w:hanging="360"/>
        <w:rPr>
          <w:color w:val="222222"/>
          <w:sz w:val="20"/>
          <w:szCs w:val="20"/>
          <w:highlight w:val="white"/>
          <w:u w:val="none"/>
        </w:rPr>
      </w:pPr>
      <w:r w:rsidDel="00000000" w:rsidR="00000000" w:rsidRPr="00000000">
        <w:rPr>
          <w:color w:val="222222"/>
          <w:sz w:val="20"/>
          <w:szCs w:val="20"/>
          <w:highlight w:val="white"/>
          <w:rtl w:val="0"/>
        </w:rPr>
        <w:t xml:space="preserve">Total nonhost reads, mean [range], median</w:t>
      </w:r>
    </w:p>
    <w:p w:rsidR="00000000" w:rsidDel="00000000" w:rsidP="00000000" w:rsidRDefault="00000000" w:rsidRPr="00000000" w14:paraId="0000000C">
      <w:pPr>
        <w:spacing w:after="240" w:before="240" w:line="240" w:lineRule="auto"/>
        <w:ind w:left="720" w:firstLine="0"/>
        <w:rPr>
          <w:color w:val="222222"/>
          <w:sz w:val="20"/>
          <w:szCs w:val="20"/>
          <w:highlight w:val="white"/>
        </w:rPr>
      </w:pPr>
      <w:r w:rsidDel="00000000" w:rsidR="00000000" w:rsidRPr="00000000">
        <w:rPr>
          <w:color w:val="222222"/>
          <w:sz w:val="20"/>
          <w:szCs w:val="20"/>
          <w:highlight w:val="white"/>
          <w:rtl w:val="0"/>
        </w:rPr>
        <w:t xml:space="preserve">Run statistical models to check for differences in average raw, trimmed and nonhost reads between cases and controls.</w:t>
      </w:r>
    </w:p>
    <w:p w:rsidR="00000000" w:rsidDel="00000000" w:rsidP="00000000" w:rsidRDefault="00000000" w:rsidRPr="00000000" w14:paraId="0000000D">
      <w:pPr>
        <w:numPr>
          <w:ilvl w:val="0"/>
          <w:numId w:val="1"/>
        </w:numPr>
        <w:spacing w:after="0" w:afterAutospacing="0" w:before="240" w:line="240" w:lineRule="auto"/>
        <w:ind w:left="720" w:hanging="360"/>
        <w:rPr>
          <w:color w:val="222222"/>
          <w:sz w:val="20"/>
          <w:szCs w:val="20"/>
          <w:highlight w:val="white"/>
        </w:rPr>
      </w:pPr>
      <w:r w:rsidDel="00000000" w:rsidR="00000000" w:rsidRPr="00000000">
        <w:rPr>
          <w:color w:val="222222"/>
          <w:sz w:val="20"/>
          <w:szCs w:val="20"/>
          <w:highlight w:val="white"/>
          <w:rtl w:val="0"/>
        </w:rPr>
        <w:t xml:space="preserve">Create a stacked bar chart showing the proportion of host and non-host reads across all samples.</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color w:val="222222"/>
          <w:sz w:val="20"/>
          <w:szCs w:val="20"/>
          <w:highlight w:val="white"/>
        </w:rPr>
      </w:pPr>
      <w:r w:rsidDel="00000000" w:rsidR="00000000" w:rsidRPr="00000000">
        <w:rPr>
          <w:color w:val="222222"/>
          <w:sz w:val="20"/>
          <w:szCs w:val="20"/>
          <w:highlight w:val="white"/>
          <w:rtl w:val="0"/>
        </w:rPr>
        <w:t xml:space="preserve">Calculate the total number of unique OTUs, species, genera, and phyla across all samples.</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color w:val="222222"/>
          <w:sz w:val="20"/>
          <w:szCs w:val="20"/>
          <w:highlight w:val="white"/>
        </w:rPr>
      </w:pPr>
      <w:r w:rsidDel="00000000" w:rsidR="00000000" w:rsidRPr="00000000">
        <w:rPr>
          <w:color w:val="222222"/>
          <w:sz w:val="20"/>
          <w:szCs w:val="20"/>
          <w:highlight w:val="white"/>
          <w:rtl w:val="0"/>
        </w:rPr>
        <w:t xml:space="preserve">Calculate alpha diversity (richness, Shannon diversity) at the genus level, and create box plots to compare cases and controls.</w:t>
      </w:r>
    </w:p>
    <w:p w:rsidR="00000000" w:rsidDel="00000000" w:rsidP="00000000" w:rsidRDefault="00000000" w:rsidRPr="00000000" w14:paraId="00000010">
      <w:pPr>
        <w:numPr>
          <w:ilvl w:val="1"/>
          <w:numId w:val="1"/>
        </w:numPr>
        <w:spacing w:after="0" w:afterAutospacing="0" w:before="0" w:beforeAutospacing="0" w:line="240" w:lineRule="auto"/>
        <w:ind w:left="1440" w:hanging="360"/>
        <w:rPr>
          <w:color w:val="222222"/>
          <w:sz w:val="20"/>
          <w:szCs w:val="20"/>
          <w:highlight w:val="white"/>
        </w:rPr>
      </w:pPr>
      <w:r w:rsidDel="00000000" w:rsidR="00000000" w:rsidRPr="00000000">
        <w:rPr>
          <w:color w:val="222222"/>
          <w:sz w:val="20"/>
          <w:szCs w:val="20"/>
          <w:highlight w:val="white"/>
          <w:rtl w:val="0"/>
        </w:rPr>
        <w:t xml:space="preserve">Run statistical models to test if these values differ between cases and controls.</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color w:val="222222"/>
          <w:sz w:val="20"/>
          <w:szCs w:val="20"/>
          <w:highlight w:val="white"/>
        </w:rPr>
      </w:pPr>
      <w:r w:rsidDel="00000000" w:rsidR="00000000" w:rsidRPr="00000000">
        <w:rPr>
          <w:color w:val="222222"/>
          <w:sz w:val="20"/>
          <w:szCs w:val="20"/>
          <w:highlight w:val="white"/>
          <w:rtl w:val="0"/>
        </w:rPr>
        <w:t xml:space="preserve">Assess if the microbiome composition (at the genus level) differs between cases and controls</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color w:val="222222"/>
          <w:sz w:val="20"/>
          <w:szCs w:val="20"/>
          <w:highlight w:val="white"/>
        </w:rPr>
      </w:pPr>
      <w:r w:rsidDel="00000000" w:rsidR="00000000" w:rsidRPr="00000000">
        <w:rPr>
          <w:color w:val="222222"/>
          <w:sz w:val="20"/>
          <w:szCs w:val="20"/>
          <w:highlight w:val="white"/>
          <w:rtl w:val="0"/>
        </w:rPr>
        <w:t xml:space="preserve">Perform statistical tests to determine microbiome composition (at the genus level) is different between cases and controls.</w:t>
      </w:r>
    </w:p>
    <w:p w:rsidR="00000000" w:rsidDel="00000000" w:rsidP="00000000" w:rsidRDefault="00000000" w:rsidRPr="00000000" w14:paraId="00000013">
      <w:pPr>
        <w:numPr>
          <w:ilvl w:val="1"/>
          <w:numId w:val="1"/>
        </w:numPr>
        <w:spacing w:after="0" w:afterAutospacing="0" w:before="0" w:beforeAutospacing="0" w:line="240" w:lineRule="auto"/>
        <w:ind w:left="1440" w:hanging="360"/>
        <w:rPr>
          <w:color w:val="222222"/>
          <w:sz w:val="20"/>
          <w:szCs w:val="20"/>
          <w:highlight w:val="white"/>
        </w:rPr>
      </w:pPr>
      <w:r w:rsidDel="00000000" w:rsidR="00000000" w:rsidRPr="00000000">
        <w:rPr>
          <w:color w:val="222222"/>
          <w:sz w:val="20"/>
          <w:szCs w:val="20"/>
          <w:highlight w:val="white"/>
          <w:rtl w:val="0"/>
        </w:rPr>
        <w:t xml:space="preserve">Determine how much variation is partitioned to whether an animal was a case or control</w:t>
      </w:r>
    </w:p>
    <w:p w:rsidR="00000000" w:rsidDel="00000000" w:rsidP="00000000" w:rsidRDefault="00000000" w:rsidRPr="00000000" w14:paraId="00000014">
      <w:pPr>
        <w:numPr>
          <w:ilvl w:val="1"/>
          <w:numId w:val="1"/>
        </w:numPr>
        <w:spacing w:after="0" w:afterAutospacing="0" w:before="0" w:beforeAutospacing="0" w:line="240" w:lineRule="auto"/>
        <w:ind w:left="1440" w:hanging="360"/>
        <w:rPr>
          <w:color w:val="222222"/>
          <w:sz w:val="20"/>
          <w:szCs w:val="20"/>
          <w:highlight w:val="white"/>
          <w:u w:val="none"/>
        </w:rPr>
      </w:pPr>
      <w:r w:rsidDel="00000000" w:rsidR="00000000" w:rsidRPr="00000000">
        <w:rPr>
          <w:color w:val="222222"/>
          <w:sz w:val="20"/>
          <w:szCs w:val="20"/>
          <w:highlight w:val="white"/>
          <w:rtl w:val="0"/>
        </w:rPr>
        <w:t xml:space="preserve">Determine how much variation is partitioned to the farm where the animal lived</w:t>
      </w:r>
    </w:p>
    <w:p w:rsidR="00000000" w:rsidDel="00000000" w:rsidP="00000000" w:rsidRDefault="00000000" w:rsidRPr="00000000" w14:paraId="00000015">
      <w:pPr>
        <w:numPr>
          <w:ilvl w:val="1"/>
          <w:numId w:val="1"/>
        </w:numPr>
        <w:spacing w:after="0" w:afterAutospacing="0" w:before="0" w:beforeAutospacing="0" w:line="240" w:lineRule="auto"/>
        <w:ind w:left="1440" w:hanging="360"/>
        <w:rPr>
          <w:color w:val="222222"/>
          <w:sz w:val="20"/>
          <w:szCs w:val="20"/>
          <w:highlight w:val="white"/>
          <w:u w:val="none"/>
        </w:rPr>
      </w:pPr>
      <w:r w:rsidDel="00000000" w:rsidR="00000000" w:rsidRPr="00000000">
        <w:rPr>
          <w:color w:val="222222"/>
          <w:sz w:val="20"/>
          <w:szCs w:val="20"/>
          <w:highlight w:val="white"/>
          <w:rtl w:val="0"/>
        </w:rPr>
        <w:t xml:space="preserve">Determine how much variation is partitioned to batch effects</w:t>
      </w:r>
    </w:p>
    <w:p w:rsidR="00000000" w:rsidDel="00000000" w:rsidP="00000000" w:rsidRDefault="00000000" w:rsidRPr="00000000" w14:paraId="00000016">
      <w:pPr>
        <w:numPr>
          <w:ilvl w:val="0"/>
          <w:numId w:val="1"/>
        </w:numPr>
        <w:spacing w:after="0" w:afterAutospacing="0" w:before="0" w:beforeAutospacing="0" w:line="240" w:lineRule="auto"/>
        <w:ind w:left="720" w:hanging="360"/>
        <w:rPr>
          <w:color w:val="222222"/>
          <w:sz w:val="20"/>
          <w:szCs w:val="20"/>
          <w:highlight w:val="white"/>
        </w:rPr>
      </w:pPr>
      <w:r w:rsidDel="00000000" w:rsidR="00000000" w:rsidRPr="00000000">
        <w:rPr>
          <w:color w:val="222222"/>
          <w:sz w:val="20"/>
          <w:szCs w:val="20"/>
          <w:highlight w:val="white"/>
          <w:rtl w:val="0"/>
        </w:rPr>
        <w:t xml:space="preserve">Plot the relative abundance of the microbiome at the phylum level, separated by cases and controls.</w:t>
      </w:r>
    </w:p>
    <w:p w:rsidR="00000000" w:rsidDel="00000000" w:rsidP="00000000" w:rsidRDefault="00000000" w:rsidRPr="00000000" w14:paraId="00000017">
      <w:pPr>
        <w:numPr>
          <w:ilvl w:val="0"/>
          <w:numId w:val="1"/>
        </w:numPr>
        <w:spacing w:after="0" w:afterAutospacing="0" w:before="0" w:beforeAutospacing="0" w:line="240" w:lineRule="auto"/>
        <w:ind w:left="720" w:hanging="360"/>
        <w:rPr>
          <w:color w:val="222222"/>
          <w:sz w:val="20"/>
          <w:szCs w:val="20"/>
          <w:highlight w:val="white"/>
        </w:rPr>
      </w:pPr>
      <w:r w:rsidDel="00000000" w:rsidR="00000000" w:rsidRPr="00000000">
        <w:rPr>
          <w:color w:val="222222"/>
          <w:sz w:val="20"/>
          <w:szCs w:val="20"/>
          <w:highlight w:val="white"/>
          <w:rtl w:val="0"/>
        </w:rPr>
        <w:t xml:space="preserve">Conduct differential abundance analysis at the genus level, and identify genera that are significantly different between cases and controls.</w:t>
      </w:r>
    </w:p>
    <w:p w:rsidR="00000000" w:rsidDel="00000000" w:rsidP="00000000" w:rsidRDefault="00000000" w:rsidRPr="00000000" w14:paraId="00000018">
      <w:pPr>
        <w:numPr>
          <w:ilvl w:val="0"/>
          <w:numId w:val="1"/>
        </w:numPr>
        <w:spacing w:after="240" w:before="0" w:beforeAutospacing="0" w:line="240" w:lineRule="auto"/>
        <w:ind w:left="720" w:hanging="360"/>
        <w:rPr>
          <w:color w:val="222222"/>
          <w:sz w:val="20"/>
          <w:szCs w:val="20"/>
          <w:highlight w:val="white"/>
        </w:rPr>
      </w:pPr>
      <w:r w:rsidDel="00000000" w:rsidR="00000000" w:rsidRPr="00000000">
        <w:rPr>
          <w:color w:val="222222"/>
          <w:sz w:val="20"/>
          <w:szCs w:val="20"/>
          <w:highlight w:val="white"/>
          <w:rtl w:val="0"/>
        </w:rPr>
        <w:t xml:space="preserve">Summarize key findings.</w:t>
      </w: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