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Objective: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To determine if different disease-relevant antimicrobial treatment protocols are associated with differences in the fecal resistome of growing pigs.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Study Design: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Animals: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108 piglets divided into three groups (36 per group):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Group 1: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Control group: No PRRS virus, minimal antibiotics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Group 2: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PRRSv-challenge group with moderate antibiotics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Group 3: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PRRSv-challenge group with intensive antibiotics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Sample Collection: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Individual fecal samples collected at six time points (from weaning to market), combined by pen within each time point and treatment group (N=216 samples total).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Analysis: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Genomic DNA extractions followed by shotgun metagenomic sequencing.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b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Load output files and create a phyloseq object for analysis.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Remove “RequiresSNPConfirmation” prior to analysis.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Summarize basic QC metrics: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Total raw reads, mean [range], median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Mean quality score [range]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Number of raw reads aligned to the resistome by treatment group, negative control, and positive control samples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Run statistical models to check for differences in average raw reads between treatment groups.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Create a stacked bar chart showing the proportion of host and non-host reads.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Calculate the total number of unique AMR gene groups (ARGs), mechanisms, classes, and types found across all samples.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Calculate alpha diversity (richness, Shannon diversity) at the class, and group levels and create box plots by treatment groups.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Run statistical models to test if these values differ between treatment groups.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Assess if the overall resistome (at class and ARG group levels) differs between treatment groups: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Are treatment group samples and negative/positive samples clustered together (i.e., is the overall resistome similar)?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Perform statistical tests to determine if overall resistome composition at the class and ARG group levels differs by treatment group.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Determine how much variation is attributed to the treatment group. What about variation is attributed to the sampling points?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Plot the relative abundance of the resistome at the class level by treatment group and identify the most abundant class across treatment groups.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Determine which ARG groups were differentially abundant between treatment groups (i.e., significant increases or decreases in the abundance of ARG groups between treatment groups) [optional]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Summarize key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49AF"/>
    <w:rPr>
      <w:rFonts w:ascii="Times New Roman" w:cs="Times New Roman" w:eastAsia="Times New Roman" w:hAnsi="Times New Roman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45F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049AF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0049A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XtW2jeEfbtfmKqeYd683Kg/xg==">CgMxLjA4AHIhMWFtcEYyRmJLbmtjUFY0ODBtVEJNT1JNUkg5UUtWbWNs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2024-06-19T15:27:00Z</dcterms:created>
  <dc:creator>Tara Gaire</dc:creator>
</cp:coreProperties>
</file>