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after="80"/>
        <w:jc w:val="center"/>
      </w:pPr>
      <w:r>
        <w:rPr>
          <w:rFonts w:ascii="Arial" w:cs="Arial" w:eastAsia="Arial" w:hAnsi="Arial"/>
          <w:b/>
          <w:bCs/>
          <w:color w:val="8B1A4A"/>
          <w:sz w:val="20"/>
          <w:szCs w:val="20"/>
        </w:rPr>
        <w:t xml:space="preserve">PROCOLOMBIA · GERENCIA DE INTELIGENCIA COMERCIAL</w:t>
      </w:r>
    </w:p>
    <w:p>
      <w:pPr>
        <w:spacing w:before="0" w:after="120"/>
      </w:pPr>
      <w:r>
        <w:t xml:space="preserve"/>
      </w:r>
    </w:p>
    <w:p>
      <w:pPr>
        <w:spacing w:after="160"/>
        <w:jc w:val="center"/>
      </w:pPr>
      <w:r>
        <w:rPr>
          <w:rFonts w:ascii="Arial" w:cs="Arial" w:eastAsia="Arial" w:hAnsi="Arial"/>
          <w:b/>
          <w:bCs/>
          <w:color w:val="8B1A4A"/>
          <w:sz w:val="40"/>
          <w:szCs w:val="40"/>
        </w:rPr>
        <w:t xml:space="preserve">GUÍA ACADÉMICA Y METODOLÓGICA</w:t>
      </w:r>
    </w:p>
    <w:p>
      <w:pPr>
        <w:spacing w:after="80"/>
        <w:jc w:val="center"/>
      </w:pPr>
      <w:r>
        <w:rPr>
          <w:rFonts w:ascii="Arial" w:cs="Arial" w:eastAsia="Arial" w:hAnsi="Arial"/>
          <w:b/>
          <w:bCs/>
          <w:color w:val="2E6DA4"/>
          <w:sz w:val="30"/>
          <w:szCs w:val="30"/>
        </w:rPr>
        <w:t xml:space="preserve">Gran Encuesta Integrada de Hogares — GEIH 2025</w:t>
      </w:r>
    </w:p>
    <w:p>
      <w:pPr>
        <w:spacing w:after="80"/>
        <w:jc w:val="center"/>
      </w:pPr>
      <w:r>
        <w:rPr>
          <w:rFonts w:ascii="Arial" w:cs="Arial" w:eastAsia="Arial" w:hAnsi="Arial"/>
          <w:i/>
          <w:iCs/>
          <w:color w:val="5D6D7E"/>
          <w:sz w:val="22"/>
          <w:szCs w:val="22"/>
        </w:rPr>
        <w:t xml:space="preserve">Conceptos, metodología, cálculos e interpretación del notebook de analítica</w:t>
      </w:r>
    </w:p>
    <w:p>
      <w:pPr>
        <w:pBdr>
          <w:bottom w:val="single" w:color="8B1A4A" w:sz="6" w:space="1"/>
        </w:pBdr>
        <w:spacing w:before="200" w:after="200"/>
      </w:pPr>
      <w:r>
        <w:t xml:space="preserve"/>
      </w:r>
    </w:p>
    <w:p>
      <w:pPr>
        <w:spacing w:before="0" w:after="120"/>
      </w:pPr>
      <w:r>
        <w:t xml:space="preserve"/>
      </w:r>
    </w:p>
    <w:p>
      <w:pPr>
        <w:jc w:val="center"/>
      </w:pPr>
      <w:r>
        <w:rPr>
          <w:rFonts w:ascii="Arial" w:cs="Arial" w:eastAsia="Arial" w:hAnsi="Arial"/>
          <w:color w:val="5D6D7E"/>
          <w:sz w:val="20"/>
          <w:szCs w:val="20"/>
        </w:rPr>
        <w:t xml:space="preserve">DANE · Marco Muestral 2018 · Enero–Diciembre 2025</w:t>
      </w:r>
    </w:p>
    <w:p>
      <w:pPr>
        <w:jc w:val="center"/>
      </w:pPr>
      <w:r>
        <w:rPr>
          <w:rFonts w:ascii="Arial" w:cs="Arial" w:eastAsia="Arial" w:hAnsi="Arial"/>
          <w:color w:val="5D6D7E"/>
          <w:sz w:val="20"/>
          <w:szCs w:val="20"/>
        </w:rPr>
        <w:t xml:space="preserve">Elaborado por el Equipo de Analítica de Datos · 2026</w:t>
      </w:r>
    </w:p>
    <w:p>
      <w:pPr>
        <w:spacing w:before="0" w:after="480"/>
      </w:pPr>
      <w:r>
        <w:t xml:space="preserve"/>
      </w:r>
    </w:p>
    <w:p>
      <w:r>
        <w:br w:type="page"/>
      </w:r>
    </w:p>
    <w:p>
      <w:pPr>
        <w:pStyle w:val="Heading1"/>
        <w:spacing w:before="400" w:after="200"/>
      </w:pPr>
      <w:r>
        <w:rPr>
          <w:rFonts w:ascii="Arial" w:cs="Arial" w:eastAsia="Arial" w:hAnsi="Arial"/>
          <w:b/>
          <w:bCs/>
          <w:color w:val="8B1A4A"/>
          <w:sz w:val="32"/>
          <w:szCs w:val="32"/>
        </w:rPr>
        <w:t xml:space="preserve">Presentación</w:t>
      </w:r>
    </w:p>
    <w:p>
      <w:pPr>
        <w:spacing w:before="80" w:after="120"/>
        <w:jc w:val="both"/>
      </w:pPr>
      <w:r>
        <w:rPr>
          <w:rFonts w:ascii="Arial" w:cs="Arial" w:eastAsia="Arial" w:hAnsi="Arial"/>
          <w:b w:val="false"/>
          <w:bCs w:val="false"/>
          <w:i w:val="false"/>
          <w:iCs w:val="false"/>
          <w:color w:val="000000"/>
          <w:sz w:val="20"/>
          <w:szCs w:val="20"/>
        </w:rPr>
        <w:t xml:space="preserve">Esta guía tiene como propósito ubicar al lector —analista, directivo, investigador o aliado— en los fundamentos conceptuales, metodológicos y prácticos del notebook de mercado laboral construido con microdatos de la Gran Encuesta Integrada de Hogares (GEIH) 2025 del DANE.</w:t>
      </w:r>
    </w:p>
    <w:p>
      <w:pPr>
        <w:spacing w:before="80" w:after="120"/>
        <w:jc w:val="both"/>
      </w:pPr>
      <w:r>
        <w:rPr>
          <w:rFonts w:ascii="Arial" w:cs="Arial" w:eastAsia="Arial" w:hAnsi="Arial"/>
          <w:b w:val="false"/>
          <w:bCs w:val="false"/>
          <w:i w:val="false"/>
          <w:iCs w:val="false"/>
          <w:color w:val="000000"/>
          <w:sz w:val="20"/>
          <w:szCs w:val="20"/>
        </w:rPr>
        <w:t xml:space="preserve">El documento está organizado en cuatro grandes bloques: (1) qué es la GEIH y cómo está estructurada; (2) la lógica del factor de expansión y su uso correcto; (3) los indicadores oficiales del mercado laboral y su fórmula exacta; y (4) la interpretación de cada módulo de análisis del notebook, incluyendo alertas metodológicas y extensiones de valor para el análisis económico y de comercio exterior.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40"/>
              <w:left w:type="dxa" w:w="200"/>
              <w:bottom w:type="dxa" w:w="140"/>
              <w:right w:type="dxa" w:w="200"/>
            </w:tcMar>
          </w:tcPr>
          <w:p>
            <w:pPr>
              <w:spacing w:after="60"/>
            </w:pPr>
            <w:r>
              <w:rPr>
                <w:rFonts w:ascii="Arial" w:cs="Arial" w:eastAsia="Arial" w:hAnsi="Arial"/>
                <w:b/>
                <w:bCs/>
                <w:color w:val="2E6DA4"/>
                <w:sz w:val="20"/>
                <w:szCs w:val="20"/>
              </w:rPr>
              <w:t xml:space="preserve">¿A quién va dirigida?</w:t>
            </w:r>
          </w:p>
          <w:p>
            <w:pPr>
              <w:spacing w:before="0" w:after="0"/>
            </w:pPr>
            <w:r>
              <w:rPr>
                <w:rFonts w:ascii="Arial" w:cs="Arial" w:eastAsia="Arial" w:hAnsi="Arial"/>
                <w:color w:val="1A1A1A"/>
                <w:sz w:val="19"/>
                <w:szCs w:val="19"/>
              </w:rPr>
              <w:t xml:space="preserve">A cualquier persona que consulte, amplíe o reproduzca los análisis del notebook GEIH 2025 de ProColombia, sin importar su nivel previo de familiaridad con encuestas de hogares o estadísticas laborales.</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01</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La Gran Encuesta Integrada de Hogares (GEIH)</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1.1  ¿Qué es la GEIH?</w:t>
      </w:r>
    </w:p>
    <w:p>
      <w:pPr>
        <w:spacing w:before="80" w:after="120"/>
        <w:jc w:val="both"/>
      </w:pPr>
      <w:r>
        <w:rPr>
          <w:rFonts w:ascii="Arial" w:cs="Arial" w:eastAsia="Arial" w:hAnsi="Arial"/>
          <w:b w:val="false"/>
          <w:bCs w:val="false"/>
          <w:i w:val="false"/>
          <w:iCs w:val="false"/>
          <w:color w:val="000000"/>
          <w:sz w:val="20"/>
          <w:szCs w:val="20"/>
        </w:rPr>
        <w:t xml:space="preserve">La Gran Encuesta Integrada de Hogares (GEIH) es la operación estadística de mayor escala continua que realiza el Departamento Administrativo Nacional de Estadística (DANE) en Colombia. Su objetivo principal es medir las condiciones del mercado laboral —empleo, desempleo, inactividad— y los ingresos de los hogares a nivel nacional, departamental y de ciudades principales.</w:t>
      </w:r>
    </w:p>
    <w:p>
      <w:pPr>
        <w:spacing w:before="80" w:after="120"/>
        <w:jc w:val="both"/>
      </w:pPr>
      <w:r>
        <w:rPr>
          <w:rFonts w:ascii="Arial" w:cs="Arial" w:eastAsia="Arial" w:hAnsi="Arial"/>
          <w:b/>
          <w:bCs/>
          <w:sz w:val="20"/>
          <w:szCs w:val="20"/>
        </w:rPr>
        <w:t xml:space="preserve">Cobertura geográfica: </w:t>
      </w:r>
      <w:r>
        <w:rPr>
          <w:rFonts w:ascii="Arial" w:cs="Arial" w:eastAsia="Arial" w:hAnsi="Arial"/>
          <w:sz w:val="20"/>
          <w:szCs w:val="20"/>
        </w:rPr>
        <w:t xml:space="preserve">Todo el territorio nacional, incluyendo cabeceras municipales (zona urbana) y centros poblados y rural disperso (zona rural). La muestra anual cubre aproximadamente </w:t>
      </w:r>
      <w:r>
        <w:rPr>
          <w:rFonts w:ascii="Arial" w:cs="Arial" w:eastAsia="Arial" w:hAnsi="Arial"/>
          <w:b/>
          <w:bCs/>
          <w:sz w:val="20"/>
          <w:szCs w:val="20"/>
        </w:rPr>
        <w:t xml:space="preserve">315.000 hogares</w:t>
      </w:r>
      <w:r>
        <w:rPr>
          <w:rFonts w:ascii="Arial" w:cs="Arial" w:eastAsia="Arial" w:hAnsi="Arial"/>
          <w:sz w:val="20"/>
          <w:szCs w:val="20"/>
        </w:rPr>
        <w:t xml:space="preserve"> y alrededor de </w:t>
      </w:r>
      <w:r>
        <w:rPr>
          <w:rFonts w:ascii="Arial" w:cs="Arial" w:eastAsia="Arial" w:hAnsi="Arial"/>
          <w:b/>
          <w:bCs/>
          <w:sz w:val="20"/>
          <w:szCs w:val="20"/>
        </w:rPr>
        <w:t xml:space="preserve">1.1 millones de personas</w:t>
      </w:r>
      <w:r>
        <w:rPr>
          <w:rFonts w:ascii="Arial" w:cs="Arial" w:eastAsia="Arial" w:hAnsi="Arial"/>
          <w:sz w:val="20"/>
          <w:szCs w:val="20"/>
        </w:rPr>
        <w:t xml:space="preserve"> encuestadas.</w:t>
      </w:r>
    </w:p>
    <w:p>
      <w:pPr>
        <w:spacing w:before="80" w:after="120"/>
        <w:jc w:val="both"/>
      </w:pPr>
      <w:r>
        <w:rPr>
          <w:rFonts w:ascii="Arial" w:cs="Arial" w:eastAsia="Arial" w:hAnsi="Arial"/>
          <w:b/>
          <w:bCs/>
          <w:sz w:val="20"/>
          <w:szCs w:val="20"/>
        </w:rPr>
        <w:t xml:space="preserve">Periodicidad: </w:t>
      </w:r>
      <w:r>
        <w:rPr>
          <w:rFonts w:ascii="Arial" w:cs="Arial" w:eastAsia="Arial" w:hAnsi="Arial"/>
          <w:sz w:val="20"/>
          <w:szCs w:val="20"/>
        </w:rPr>
        <w:t xml:space="preserve">Mensual. El DANE publica resultados nacionales cada mes y resultados departamentales y de ciudades de forma trimestral.</w:t>
      </w:r>
    </w:p>
    <w:p>
      <w:pPr>
        <w:spacing w:before="80" w:after="120"/>
        <w:jc w:val="both"/>
      </w:pPr>
      <w:r>
        <w:rPr>
          <w:rFonts w:ascii="Arial" w:cs="Arial" w:eastAsia="Arial" w:hAnsi="Arial"/>
          <w:b/>
          <w:bCs/>
          <w:sz w:val="20"/>
          <w:szCs w:val="20"/>
        </w:rPr>
        <w:t xml:space="preserve">Marco muestral: </w:t>
      </w:r>
      <w:r>
        <w:rPr>
          <w:rFonts w:ascii="Arial" w:cs="Arial" w:eastAsia="Arial" w:hAnsi="Arial"/>
          <w:sz w:val="20"/>
          <w:szCs w:val="20"/>
        </w:rPr>
        <w:t xml:space="preserve">Desde 2021 se usa el Marco Muestral del Censo Nacional de Población y Vivienda 2018. Las variables de factor de expansión llevan el sufijo </w:t>
      </w:r>
      <w:r>
        <w:rPr>
          <w:rFonts w:ascii="Courier New" w:cs="Courier New" w:eastAsia="Courier New" w:hAnsi="Courier New"/>
          <w:sz w:val="20"/>
          <w:szCs w:val="20"/>
        </w:rPr>
        <w:t xml:space="preserve">_C18</w:t>
      </w:r>
      <w:r>
        <w:rPr>
          <w:rFonts w:ascii="Arial" w:cs="Arial" w:eastAsia="Arial" w:hAnsi="Arial"/>
          <w:sz w:val="20"/>
          <w:szCs w:val="20"/>
        </w:rPr>
        <w:t xml:space="preserve"> (Marco 2018) para diferenciarlo del marco anterior (2005).</w:t>
      </w:r>
    </w:p>
    <w:p>
      <w:pPr>
        <w:pStyle w:val="Heading2"/>
        <w:spacing w:before="320" w:after="160"/>
      </w:pPr>
      <w:r>
        <w:rPr>
          <w:rFonts w:ascii="Arial" w:cs="Arial" w:eastAsia="Arial" w:hAnsi="Arial"/>
          <w:b/>
          <w:bCs/>
          <w:color w:val="2E6DA4"/>
          <w:sz w:val="26"/>
          <w:szCs w:val="26"/>
        </w:rPr>
        <w:t xml:space="preserve">1.2  Estructura de los archivos CSV</w:t>
      </w:r>
    </w:p>
    <w:p>
      <w:pPr>
        <w:spacing w:before="80" w:after="120"/>
        <w:jc w:val="both"/>
      </w:pPr>
      <w:r>
        <w:rPr>
          <w:rFonts w:ascii="Arial" w:cs="Arial" w:eastAsia="Arial" w:hAnsi="Arial"/>
          <w:b w:val="false"/>
          <w:bCs w:val="false"/>
          <w:i w:val="false"/>
          <w:iCs w:val="false"/>
          <w:color w:val="000000"/>
          <w:sz w:val="20"/>
          <w:szCs w:val="20"/>
        </w:rPr>
        <w:t xml:space="preserve">Los microdatos de cada mes de la GEIH se distribuyen en carpetas separadas por mes. Dentro de cada carpeta existe una subcarpeta CSV con ocho módulos temáticos: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Módulo (archivo CSV)</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Contenido principal</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Variables clave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Características generales, seguridad social y educación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Perfil sociodemográfico, salud, nivel educativo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P3271, P6040, P3042, P6090, FEX_C18</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Datos del hogar y la vivienda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Tipo de vivienda, servicios públicos, tenencia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P4000, P5090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Fuerza de trabajo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Clasificación PEA/inactivos, actividad semana pasada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FT, P6240, PET, FFT, P6280, P6300</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Ocupados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Posición ocupacional, ingresos, rama, horas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OCI, INGLABO, P6430, P6800, P6920, RAMA2D_R4</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No ocupados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Desocupados y fuera de la FT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DSI, FFT, P7250</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Otras formas de trabajo</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Trabajo no remunerado, voluntario, autoconsumo</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P3054, P3055, P3056</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Micronegocios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Establecimientos de hasta 10 personas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P3045, P3046, P3062</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Otros ingresos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Ingresos no laborales del hogar</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P7422, P7500S1, P7500S2</w:t>
            </w:r>
          </w:p>
        </w:tc>
      </w:tr>
    </w:tbl>
    <w:p>
      <w:pPr>
        <w:spacing w:before="0" w:after="120"/>
      </w:pPr>
      <w:r>
        <w:t xml:space="preserve"/>
      </w:r>
    </w:p>
    <w:p>
      <w:pPr>
        <w:spacing w:before="80" w:after="80"/>
        <w:ind w:left="720"/>
      </w:pPr>
      <w:r>
        <w:rPr>
          <w:rFonts w:ascii="Arial" w:cs="Arial" w:eastAsia="Arial" w:hAnsi="Arial"/>
          <w:sz w:val="18"/>
          <w:szCs w:val="18"/>
        </w:rPr>
        <w:t xml:space="preserve">📌  </w:t>
      </w:r>
      <w:r>
        <w:rPr>
          <w:rFonts w:ascii="Arial" w:cs="Arial" w:eastAsia="Arial" w:hAnsi="Arial"/>
          <w:i/>
          <w:iCs/>
          <w:color w:val="5D6D7E"/>
          <w:sz w:val="18"/>
          <w:szCs w:val="18"/>
        </w:rPr>
        <w:t xml:space="preserve">Las llaves de enlace entre módulos son DIRECTORIO, SECUENCIA_P y ORDEN para personas, y DIRECTORIO + SECUENCIA_P para registros a nivel hogar.</w:t>
      </w:r>
    </w:p>
    <w:p>
      <w:pPr>
        <w:pStyle w:val="Heading2"/>
        <w:spacing w:before="320" w:after="160"/>
      </w:pPr>
      <w:r>
        <w:rPr>
          <w:rFonts w:ascii="Arial" w:cs="Arial" w:eastAsia="Arial" w:hAnsi="Arial"/>
          <w:b/>
          <w:bCs/>
          <w:color w:val="2E6DA4"/>
          <w:sz w:val="26"/>
          <w:szCs w:val="26"/>
        </w:rPr>
        <w:t xml:space="preserve">1.3  Universo y población objetivo</w:t>
      </w:r>
    </w:p>
    <w:p>
      <w:pPr>
        <w:spacing w:before="80" w:after="120"/>
        <w:jc w:val="both"/>
      </w:pPr>
      <w:r>
        <w:rPr>
          <w:rFonts w:ascii="Arial" w:cs="Arial" w:eastAsia="Arial" w:hAnsi="Arial"/>
          <w:b w:val="false"/>
          <w:bCs w:val="false"/>
          <w:i w:val="false"/>
          <w:iCs w:val="false"/>
          <w:color w:val="000000"/>
          <w:sz w:val="20"/>
          <w:szCs w:val="20"/>
        </w:rPr>
        <w:t xml:space="preserve">La GEIH está dirigida a la población civil no institucional residente en viviendas particulares. Excluye: personal de fuerzas militares, reclusos, comunidades religiosas cerradas, y personas en albergues. La población mínima de referencia es de 10 años de edad (edad mínima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140"/>
              <w:left w:type="dxa" w:w="200"/>
              <w:bottom w:type="dxa" w:w="140"/>
              <w:right w:type="dxa" w:w="200"/>
            </w:tcMar>
          </w:tcPr>
          <w:p>
            <w:pPr>
              <w:spacing w:after="60"/>
            </w:pPr>
            <w:r>
              <w:rPr>
                <w:rFonts w:ascii="Arial" w:cs="Arial" w:eastAsia="Arial" w:hAnsi="Arial"/>
                <w:b/>
                <w:bCs/>
                <w:color w:val="1E6B3C"/>
                <w:sz w:val="20"/>
                <w:szCs w:val="20"/>
              </w:rPr>
              <w:t xml:space="preserve">Concepto clave: Población en Edad de Trabajar (PET)</w:t>
            </w:r>
          </w:p>
          <w:p>
            <w:pPr>
              <w:spacing w:before="0" w:after="0"/>
            </w:pPr>
            <w:r>
              <w:rPr>
                <w:rFonts w:ascii="Arial" w:cs="Arial" w:eastAsia="Arial" w:hAnsi="Arial"/>
                <w:color w:val="1A1A1A"/>
                <w:sz w:val="19"/>
                <w:szCs w:val="19"/>
              </w:rPr>
              <w:t xml:space="preserve">La GEIH define la PET como todas las personas de 10 años o más. En la práctica analítica y en las publicaciones del DANE se suele reportar el mercado laboral para personas de 15 años o más, que es la definición estándar internacional (OIT). El notebook trabaja con la definición DANE (PET = variable PET del módulo Fuerza de trabajo).</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02</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El Factor de Expansión: FEX_C18</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2.1  ¿Qué es el factor de expansión?</w:t>
      </w:r>
    </w:p>
    <w:p>
      <w:pPr>
        <w:spacing w:before="80" w:after="120"/>
        <w:jc w:val="both"/>
      </w:pPr>
      <w:r>
        <w:rPr>
          <w:rFonts w:ascii="Arial" w:cs="Arial" w:eastAsia="Arial" w:hAnsi="Arial"/>
          <w:b w:val="false"/>
          <w:bCs w:val="false"/>
          <w:i w:val="false"/>
          <w:iCs w:val="false"/>
          <w:color w:val="000000"/>
          <w:sz w:val="20"/>
          <w:szCs w:val="20"/>
        </w:rPr>
        <w:t xml:space="preserve">La GEIH es una muestra probabilística: no entrevista a toda la población, sino a un subconjunto representativo. El factor de expansión (FEX_C18) es el peso estadístico que indica cuántas personas de la población total representa cada registro encuestado.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EBD0" w:val="clear"/>
            <w:tcMar>
              <w:top w:type="dxa" w:w="140"/>
              <w:left w:type="dxa" w:w="200"/>
              <w:bottom w:type="dxa" w:w="140"/>
              <w:right w:type="dxa" w:w="200"/>
            </w:tcMar>
          </w:tcPr>
          <w:p>
            <w:pPr>
              <w:spacing w:after="60"/>
            </w:pPr>
            <w:r>
              <w:rPr>
                <w:rFonts w:ascii="Arial" w:cs="Arial" w:eastAsia="Arial" w:hAnsi="Arial"/>
                <w:b/>
                <w:bCs/>
                <w:color w:val="E67E22"/>
                <w:sz w:val="20"/>
                <w:szCs w:val="20"/>
              </w:rPr>
              <w:t xml:space="preserve">Interpretación directa</w:t>
            </w:r>
          </w:p>
          <w:p>
            <w:pPr>
              <w:spacing w:before="0" w:after="0"/>
            </w:pPr>
            <w:r>
              <w:rPr>
                <w:rFonts w:ascii="Arial" w:cs="Arial" w:eastAsia="Arial" w:hAnsi="Arial"/>
                <w:color w:val="1A1A1A"/>
                <w:sz w:val="19"/>
                <w:szCs w:val="19"/>
              </w:rPr>
              <w:t xml:space="preserve">Si una persona encuestada tiene FEX_C18 = 850, esa única fila del dataset representa aproximadamente 850 personas en la población real. Sumar los factores de expansión de todos los ocupados da la estimación de la población total de ocupados del país.</w:t>
            </w:r>
          </w:p>
        </w:tc>
      </w:tr>
    </w:tbl>
    <w:p>
      <w:pPr>
        <w:spacing w:before="80" w:after="120"/>
        <w:jc w:val="both"/>
      </w:pPr>
      <w:r>
        <w:rPr>
          <w:rFonts w:ascii="Arial" w:cs="Arial" w:eastAsia="Arial" w:hAnsi="Arial"/>
          <w:b w:val="false"/>
          <w:bCs w:val="false"/>
          <w:i w:val="false"/>
          <w:iCs w:val="false"/>
          <w:color w:val="000000"/>
          <w:sz w:val="20"/>
          <w:szCs w:val="20"/>
        </w:rPr>
        <w:t xml:space="preserve">El factor de expansión ya incorpora los ajustes por diseño muestral (estratificación, conglomeración) y los factores de calibración con proyecciones del Censo 2018. No es necesario —ni correcto— aplicar ningún ajuste adicional al factor antes de usarlo.</w:t>
      </w:r>
    </w:p>
    <w:p>
      <w:pPr>
        <w:pStyle w:val="Heading2"/>
        <w:spacing w:before="320" w:after="160"/>
      </w:pPr>
      <w:r>
        <w:rPr>
          <w:rFonts w:ascii="Arial" w:cs="Arial" w:eastAsia="Arial" w:hAnsi="Arial"/>
          <w:b/>
          <w:bCs/>
          <w:color w:val="2E6DA4"/>
          <w:sz w:val="26"/>
          <w:szCs w:val="26"/>
        </w:rPr>
        <w:t xml:space="preserve">2.2  Escala del FEX_C18: es MENSUAL</w:t>
      </w:r>
    </w:p>
    <w:p>
      <w:pPr>
        <w:spacing w:before="80" w:after="120"/>
        <w:jc w:val="both"/>
      </w:pPr>
      <w:r>
        <w:rPr>
          <w:rFonts w:ascii="Arial" w:cs="Arial" w:eastAsia="Arial" w:hAnsi="Arial"/>
          <w:b w:val="false"/>
          <w:bCs w:val="false"/>
          <w:i w:val="false"/>
          <w:iCs w:val="false"/>
          <w:color w:val="000000"/>
          <w:sz w:val="20"/>
          <w:szCs w:val="20"/>
        </w:rPr>
        <w:t xml:space="preserve">Esta es la regla más importante y la fuente del error más común al trabajar con la GEIH. El FEX_C18 está calibrado para representar la población de UN MES. No es anual ni trimestral.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Período de análisis</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 a usar</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 Python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Mes puntual (ej: diciembre)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FEX_C18 sin modificar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df['FEX_ADJ'] = df['FEX_C18']</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Trimestre (3 meses)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FEX_C18 / 3</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df['FEX_ADJ'] = df['FEX_C18'] / 3</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Semestre (6 meses)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FEX_C18 / 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df['FEX_ADJ'] = df['FEX_C18'] / 6</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Anual (12 meses)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FEX_C18 / 12</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df['FEX_ADJ'] = df['FEX_C18'] / 12</w:t>
            </w:r>
          </w:p>
        </w:tc>
      </w:tr>
    </w:tbl>
    <w:p>
      <w:pPr>
        <w:spacing w:before="0" w:after="120"/>
      </w:pPr>
      <w:r>
        <w:t xml:space="preserve"/>
      </w:r>
    </w:p>
    <w:p>
      <w:pPr>
        <w:spacing w:before="80" w:after="120"/>
        <w:jc w:val="both"/>
      </w:pPr>
      <w:r>
        <w:rPr>
          <w:rFonts w:ascii="Arial" w:cs="Arial" w:eastAsia="Arial" w:hAnsi="Arial"/>
          <w:b w:val="false"/>
          <w:bCs w:val="false"/>
          <w:i w:val="false"/>
          <w:iCs w:val="false"/>
          <w:color w:val="000000"/>
          <w:sz w:val="20"/>
          <w:szCs w:val="20"/>
        </w:rPr>
        <w:t xml:space="preserve">La lógica es la siguiente: si concatenamos 12 meses de datos y cada mes ya tiene su FEX_C18 calibrado a la población mensual, al sumar todos los meses sin dividir obtenemos 12 veces la población real. Dividir por 12 produce el promedio mensual anualizado, que es exactamente lo que publica el DANE en sus boletines anuales.</w:t>
      </w:r>
    </w:p>
    <w:p>
      <w:pPr>
        <w:pStyle w:val="Heading2"/>
        <w:spacing w:before="320" w:after="160"/>
      </w:pPr>
      <w:r>
        <w:rPr>
          <w:rFonts w:ascii="Arial" w:cs="Arial" w:eastAsia="Arial" w:hAnsi="Arial"/>
          <w:b/>
          <w:bCs/>
          <w:color w:val="2E6DA4"/>
          <w:sz w:val="26"/>
          <w:szCs w:val="26"/>
        </w:rPr>
        <w:t xml:space="preserve">2.3  Validación: ¿Cómo saber si el factor está bien aplicado?</w:t>
      </w:r>
    </w:p>
    <w:p>
      <w:pPr>
        <w:spacing w:before="80" w:after="120"/>
        <w:jc w:val="both"/>
      </w:pPr>
      <w:r>
        <w:rPr>
          <w:rFonts w:ascii="Arial" w:cs="Arial" w:eastAsia="Arial" w:hAnsi="Arial"/>
          <w:b w:val="false"/>
          <w:bCs w:val="false"/>
          <w:i w:val="false"/>
          <w:iCs w:val="false"/>
          <w:color w:val="000000"/>
          <w:sz w:val="20"/>
          <w:szCs w:val="20"/>
        </w:rPr>
        <w:t xml:space="preserve">El notebook incluye un bloque de Sanity Check que compara los indicadores calculados con las referencias del boletín DANE de diciembre 2025. Las referencias de validación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Indicador</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DANE (Ene–Dic 2025)</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DANE (Dic-2025 puntual)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PEA (fuerza de trabajo)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~26.3 millones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~26.3 millones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Ocupados totales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~23.8 millones</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~24.2 millones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Desocupados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 millones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 millones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TD (Tasa de Desocupación)</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8.9%</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8.0%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TGP (Tasa Global de Participación)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64.3%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64.3%</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TO (Tasa de Ocupación)</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58.6%</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59.2%</w:t>
            </w:r>
          </w:p>
        </w:tc>
      </w:tr>
    </w:tbl>
    <w:p>
      <w:pPr>
        <w:spacing w:before="0" w:after="120"/>
      </w:pPr>
      <w:r>
        <w:t xml:space="preserve"/>
      </w:r>
    </w:p>
    <w:p>
      <w:pPr>
        <w:spacing w:before="80" w:after="80"/>
        <w:ind w:left="720"/>
      </w:pPr>
      <w:r>
        <w:rPr>
          <w:rFonts w:ascii="Arial" w:cs="Arial" w:eastAsia="Arial" w:hAnsi="Arial"/>
          <w:sz w:val="18"/>
          <w:szCs w:val="18"/>
        </w:rPr>
        <w:t xml:space="preserve">📌  </w:t>
      </w:r>
      <w:r>
        <w:rPr>
          <w:rFonts w:ascii="Arial" w:cs="Arial" w:eastAsia="Arial" w:hAnsi="Arial"/>
          <w:i/>
          <w:iCs/>
          <w:color w:val="5D6D7E"/>
          <w:sz w:val="18"/>
          <w:szCs w:val="18"/>
        </w:rPr>
        <w:t xml:space="preserve">Si la PEA calculada para Bogotá supera los 8 millones o la PEA nacional supera los 40 millones, el factor de expansión no está siendo dividido correctamente. El error más común es usar FEX_C18 sin dividir cuando se trabaja con la base anual concatenada.</w:t>
      </w:r>
    </w:p>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03</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Indicadores del Mercado Laboral: Definiciones y Fórmulas</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3.1  La clasificación de la población</w:t>
      </w:r>
    </w:p>
    <w:p>
      <w:pPr>
        <w:spacing w:before="80" w:after="120"/>
        <w:jc w:val="both"/>
      </w:pPr>
      <w:r>
        <w:rPr>
          <w:rFonts w:ascii="Arial" w:cs="Arial" w:eastAsia="Arial" w:hAnsi="Arial"/>
          <w:b w:val="false"/>
          <w:bCs w:val="false"/>
          <w:i w:val="false"/>
          <w:iCs w:val="false"/>
          <w:color w:val="000000"/>
          <w:sz w:val="20"/>
          <w:szCs w:val="20"/>
        </w:rPr>
        <w:t xml:space="preserve">El DANE clasifica a toda la población en cinco categorías mutuamente excluyentes y exhaustivas. Esta clasificación es el corazón de todos los indicadores del mercado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 GEIH</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 operativa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Población Total (PT)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Toda la base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Todas las personas en los microdatos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Población en Edad de Trabajar (PET)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PET = 1</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Personas de 10+ años (DANE) o 15+ años (OIT)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Población Económicamente Activa (PEA) = Fuerza de trabajo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FT = 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Personas que trabajan o buscan activamente trabajo</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Ocupados (OCI)</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OCI = 1</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Trabajaron al menos 1 hora la semana de referencia o tenían empleo pero no trabajaron por razones justificadas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Desocupados (DSI)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DSI = 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Sin trabajo, buscaron activamente en las últimas 4 semanas y están disponibles para trabajar</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Población Fuera de la FT (FFT)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FFT = 1</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PET que no trabaja ni busca trabajo: estudiantes, amas de casa, pensionados, incapacitados</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3.2  Las tres tasas fundamentales</w:t>
      </w:r>
    </w:p>
    <w:p>
      <w:pPr>
        <w:spacing w:before="80" w:after="120"/>
        <w:jc w:val="both"/>
      </w:pPr>
      <w:r>
        <w:rPr>
          <w:rFonts w:ascii="Arial" w:cs="Arial" w:eastAsia="Arial" w:hAnsi="Arial"/>
          <w:b w:val="false"/>
          <w:bCs w:val="false"/>
          <w:i w:val="false"/>
          <w:iCs w:val="false"/>
          <w:color w:val="000000"/>
          <w:sz w:val="20"/>
          <w:szCs w:val="20"/>
        </w:rPr>
        <w:t xml:space="preserve">Todas las tasas se calculan como cocientes ponderados. El numerador y el denominador se obtienen sumando el factor de expansión (FEX_ADJ) de los individuos que cumplen cada condición.</w:t>
      </w:r>
    </w:p>
    <w:p>
      <w:pPr>
        <w:shd w:fill="F2F3F4" w:val="clear"/>
        <w:spacing w:before="160" w:after="160"/>
        <w:jc w:val="center"/>
      </w:pPr>
      <w:r>
        <w:rPr>
          <w:rFonts w:ascii="Courier New" w:cs="Courier New" w:eastAsia="Courier New" w:hAnsi="Courier New"/>
          <w:b/>
          <w:bCs/>
          <w:color w:val="2E6DA4"/>
          <w:sz w:val="20"/>
          <w:szCs w:val="20"/>
        </w:rPr>
        <w:t xml:space="preserve">TD = (Desocupados / PEA) × 100   →   DSI=1 / FT=1</w:t>
      </w:r>
    </w:p>
    <w:p>
      <w:pPr>
        <w:shd w:fill="F2F3F4" w:val="clear"/>
        <w:spacing w:before="160" w:after="160"/>
        <w:jc w:val="center"/>
      </w:pPr>
      <w:r>
        <w:rPr>
          <w:rFonts w:ascii="Courier New" w:cs="Courier New" w:eastAsia="Courier New" w:hAnsi="Courier New"/>
          <w:b/>
          <w:bCs/>
          <w:color w:val="2E6DA4"/>
          <w:sz w:val="20"/>
          <w:szCs w:val="20"/>
        </w:rPr>
        <w:t xml:space="preserve">TGP = (PEA / PET) × 100           →   FT=1 / PET=1</w:t>
      </w:r>
    </w:p>
    <w:p>
      <w:pPr>
        <w:shd w:fill="F2F3F4" w:val="clear"/>
        <w:spacing w:before="160" w:after="160"/>
        <w:jc w:val="center"/>
      </w:pPr>
      <w:r>
        <w:rPr>
          <w:rFonts w:ascii="Courier New" w:cs="Courier New" w:eastAsia="Courier New" w:hAnsi="Courier New"/>
          <w:b/>
          <w:bCs/>
          <w:color w:val="2E6DA4"/>
          <w:sz w:val="20"/>
          <w:szCs w:val="20"/>
        </w:rPr>
        <w:t xml:space="preserve">TO = (Ocupados / PET) × 100        →   OCI=1 / PET=1</w:t>
      </w:r>
    </w:p>
    <w:p>
      <w:pPr>
        <w:spacing w:before="80" w:after="120"/>
        <w:jc w:val="both"/>
      </w:pPr>
      <w:r>
        <w:rPr>
          <w:rFonts w:ascii="Arial" w:cs="Arial" w:eastAsia="Arial" w:hAnsi="Arial"/>
          <w:b w:val="false"/>
          <w:bCs w:val="false"/>
          <w:i w:val="false"/>
          <w:iCs w:val="false"/>
          <w:color w:val="000000"/>
          <w:sz w:val="20"/>
          <w:szCs w:val="20"/>
        </w:rPr>
        <w:t xml:space="preserve">Nótese que TD + TO ≠ 100. La TGP es la tasa "puente": TGP × (1 − TD/100) =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40"/>
              <w:left w:type="dxa" w:w="200"/>
              <w:bottom w:type="dxa" w:w="140"/>
              <w:right w:type="dxa" w:w="200"/>
            </w:tcMar>
          </w:tcPr>
          <w:p>
            <w:pPr>
              <w:spacing w:after="60"/>
            </w:pPr>
            <w:r>
              <w:rPr>
                <w:rFonts w:ascii="Arial" w:cs="Arial" w:eastAsia="Arial" w:hAnsi="Arial"/>
                <w:b/>
                <w:bCs/>
                <w:color w:val="2E6DA4"/>
                <w:sz w:val="20"/>
                <w:szCs w:val="20"/>
              </w:rPr>
              <w:t xml:space="preserve">Identidad fundamental del mercado laboral</w:t>
            </w:r>
          </w:p>
          <w:p>
            <w:pPr>
              <w:spacing w:before="0" w:after="0"/>
            </w:pPr>
            <w:r>
              <w:rPr>
                <w:rFonts w:ascii="Arial" w:cs="Arial" w:eastAsia="Arial" w:hAnsi="Arial"/>
                <w:color w:val="1A1A1A"/>
                <w:sz w:val="19"/>
                <w:szCs w:val="19"/>
              </w:rPr>
              <w:t xml:space="preserve">PEA = Ocupados + Desocupados   |   PET = PEA + FFT
Si estas dos igualdades no se cumplen en los datos calculados, hay un error en el merge de módulos o en la aplicación del factor de expansión.</w:t>
            </w:r>
          </w:p>
        </w:tc>
      </w:tr>
    </w:tbl>
    <w:p>
      <w:pPr>
        <w:pStyle w:val="Heading2"/>
        <w:spacing w:before="320" w:after="160"/>
      </w:pPr>
      <w:r>
        <w:rPr>
          <w:rFonts w:ascii="Arial" w:cs="Arial" w:eastAsia="Arial" w:hAnsi="Arial"/>
          <w:b/>
          <w:bCs/>
          <w:color w:val="2E6DA4"/>
          <w:sz w:val="26"/>
          <w:szCs w:val="26"/>
        </w:rPr>
        <w:t xml:space="preserve">3.3  El ingreso laboral: INGLABO</w:t>
      </w:r>
    </w:p>
    <w:p>
      <w:pPr>
        <w:spacing w:before="80" w:after="120"/>
        <w:jc w:val="both"/>
      </w:pPr>
      <w:r>
        <w:rPr>
          <w:rFonts w:ascii="Arial" w:cs="Arial" w:eastAsia="Arial" w:hAnsi="Arial"/>
          <w:b/>
          <w:bCs/>
          <w:sz w:val="20"/>
          <w:szCs w:val="20"/>
        </w:rPr>
        <w:t xml:space="preserve">INGLABO </w:t>
      </w:r>
      <w:r>
        <w:rPr>
          <w:rFonts w:ascii="Arial" w:cs="Arial" w:eastAsia="Arial" w:hAnsi="Arial"/>
          <w:sz w:val="20"/>
          <w:szCs w:val="20"/>
        </w:rPr>
        <w:t xml:space="preserve">es el ingreso laboral mensual en pesos colombianos corrientes (COP), calculado por el DANE e incluido en el módulo Ocupados. Incluye salarios, honorarios, comisiones y el valor estimado del pago en especie. Cuando INGLABO = 0, significa que el trabajador recibe pago </w:t>
      </w:r>
      <w:r>
        <w:rPr>
          <w:rFonts w:ascii="Arial" w:cs="Arial" w:eastAsia="Arial" w:hAnsi="Arial"/>
          <w:b/>
          <w:bCs/>
          <w:sz w:val="20"/>
          <w:szCs w:val="20"/>
        </w:rPr>
        <w:t xml:space="preserve">únicamente en especie</w:t>
      </w:r>
      <w:r>
        <w:rPr>
          <w:rFonts w:ascii="Arial" w:cs="Arial" w:eastAsia="Arial" w:hAnsi="Arial"/>
          <w:sz w:val="20"/>
          <w:szCs w:val="20"/>
        </w:rPr>
        <w:t xml:space="preserve"> o que es trabajador familiar sin remuneración. El notebook excluye INGLABO ≤ 0 para los análisis de distribución salarial.</w:t>
      </w:r>
    </w:p>
    <w:p>
      <w:pPr>
        <w:spacing w:before="80" w:after="120"/>
        <w:jc w:val="both"/>
      </w:pPr>
      <w:r>
        <w:rPr>
          <w:rFonts w:ascii="Arial" w:cs="Arial" w:eastAsia="Arial" w:hAnsi="Arial"/>
          <w:b w:val="false"/>
          <w:bCs w:val="false"/>
          <w:i w:val="false"/>
          <w:iCs w:val="false"/>
          <w:color w:val="000000"/>
          <w:sz w:val="20"/>
          <w:szCs w:val="20"/>
        </w:rPr>
        <w:t xml:space="preserve">Para facilitar la interpretación, el notebook expresa el ingreso en múltiplos del Salario Mínimo Mensual Legal Vigente:</w:t>
      </w:r>
    </w:p>
    <w:p>
      <w:pPr>
        <w:shd w:fill="F2F3F4" w:val="clear"/>
        <w:spacing w:before="160" w:after="160"/>
        <w:jc w:val="center"/>
      </w:pPr>
      <w:r>
        <w:rPr>
          <w:rFonts w:ascii="Courier New" w:cs="Courier New" w:eastAsia="Courier New" w:hAnsi="Courier New"/>
          <w:b/>
          <w:bCs/>
          <w:color w:val="2E6DA4"/>
          <w:sz w:val="20"/>
          <w:szCs w:val="20"/>
        </w:rPr>
        <w:t xml:space="preserve">Ingreso en SMMLV = INGLABO / 1,423,500   (SMMLV 2025)</w:t>
      </w:r>
    </w:p>
    <w:p>
      <w:pPr>
        <w:spacing w:before="80" w:after="120"/>
        <w:jc w:val="both"/>
      </w:pPr>
      <w:r>
        <w:rPr>
          <w:rFonts w:ascii="Arial" w:cs="Arial" w:eastAsia="Arial" w:hAnsi="Arial"/>
          <w:b w:val="false"/>
          <w:bCs w:val="false"/>
          <w:i w:val="false"/>
          <w:iCs w:val="false"/>
          <w:color w:val="000000"/>
          <w:sz w:val="20"/>
          <w:szCs w:val="20"/>
        </w:rPr>
        <w:t xml:space="preserve">Un valor de 1.5× significa que esa persona gana 1.5 veces el salario mínimo, equivalente a $2,135,250 COP mensuales en 2025.</w:t>
      </w:r>
    </w:p>
    <w:p>
      <w:pPr>
        <w:pStyle w:val="Heading2"/>
        <w:spacing w:before="320" w:after="160"/>
      </w:pPr>
      <w:r>
        <w:rPr>
          <w:rFonts w:ascii="Arial" w:cs="Arial" w:eastAsia="Arial" w:hAnsi="Arial"/>
          <w:b/>
          <w:bCs/>
          <w:color w:val="2E6DA4"/>
          <w:sz w:val="26"/>
          <w:szCs w:val="26"/>
        </w:rPr>
        <w:t xml:space="preserve">3.4  Estadísticas ponderadas: media y mediana</w:t>
      </w:r>
    </w:p>
    <w:p>
      <w:pPr>
        <w:spacing w:before="80" w:after="120"/>
        <w:jc w:val="both"/>
      </w:pPr>
      <w:r>
        <w:rPr>
          <w:rFonts w:ascii="Arial" w:cs="Arial" w:eastAsia="Arial" w:hAnsi="Arial"/>
          <w:b w:val="false"/>
          <w:bCs w:val="false"/>
          <w:i w:val="false"/>
          <w:iCs w:val="false"/>
          <w:color w:val="000000"/>
          <w:sz w:val="20"/>
          <w:szCs w:val="20"/>
        </w:rPr>
        <w:t xml:space="preserve">Dado que la GEIH es una muestra con pesos desiguales, todas las medidas de resumen deben ser ponderadas por FEX_ADJ. Usar estadísticas sin ponderar produce resultados incorrectos.</w:t>
      </w:r>
    </w:p>
    <w:p>
      <w:pPr>
        <w:shd w:fill="F2F3F4" w:val="clear"/>
        <w:spacing w:before="160" w:after="160"/>
        <w:jc w:val="center"/>
      </w:pPr>
      <w:r>
        <w:rPr>
          <w:rFonts w:ascii="Courier New" w:cs="Courier New" w:eastAsia="Courier New" w:hAnsi="Courier New"/>
          <w:b/>
          <w:bCs/>
          <w:color w:val="2E6DA4"/>
          <w:sz w:val="20"/>
          <w:szCs w:val="20"/>
        </w:rPr>
        <w:t xml:space="preserve">Media ponderada = Σ(valor_i × peso_i) / Σ(peso_i)</w:t>
      </w:r>
    </w:p>
    <w:p>
      <w:pPr>
        <w:shd w:fill="F2F3F4" w:val="clear"/>
        <w:spacing w:before="160" w:after="160"/>
        <w:jc w:val="center"/>
      </w:pPr>
      <w:r>
        <w:rPr>
          <w:rFonts w:ascii="Courier New" w:cs="Courier New" w:eastAsia="Courier New" w:hAnsi="Courier New"/>
          <w:b/>
          <w:bCs/>
          <w:color w:val="2E6DA4"/>
          <w:sz w:val="20"/>
          <w:szCs w:val="20"/>
        </w:rPr>
        <w:t xml:space="preserve">Mediana ponderada: ordenar por valor_i, acumular pesos, el valor donde Σ(peso) = Σtotal/2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140"/>
              <w:left w:type="dxa" w:w="200"/>
              <w:bottom w:type="dxa" w:w="140"/>
              <w:right w:type="dxa" w:w="200"/>
            </w:tcMar>
          </w:tcPr>
          <w:p>
            <w:pPr>
              <w:spacing w:after="60"/>
            </w:pPr>
            <w:r>
              <w:rPr>
                <w:rFonts w:ascii="Arial" w:cs="Arial" w:eastAsia="Arial" w:hAnsi="Arial"/>
                <w:b/>
                <w:bCs/>
                <w:color w:val="1E6B3C"/>
                <w:sz w:val="20"/>
                <w:szCs w:val="20"/>
              </w:rPr>
              <w:t xml:space="preserve">Media vs Mediana en distribuciones salariales</w:t>
            </w:r>
          </w:p>
          <w:p>
            <w:pPr>
              <w:spacing w:before="0" w:after="0"/>
            </w:pPr>
            <w:r>
              <w:rPr>
                <w:rFonts w:ascii="Arial" w:cs="Arial" w:eastAsia="Arial" w:hAnsi="Arial"/>
                <w:color w:val="1A1A1A"/>
                <w:sz w:val="19"/>
                <w:szCs w:val="19"/>
              </w:rPr>
              <w:t xml:space="preserve">Los salarios tienen distribución fuertemente sesgada a la derecha (muchos valores bajos, pocos muy altos). La mediana siempre es mejor representación del "salario típico" que la media. En Colombia, la mediana del ingreso laboral suele ser 10–25% menor que la media. El notebook reporta ambas para dar la imagen completa.</w:t>
            </w:r>
          </w:p>
        </w:tc>
      </w:tr>
    </w:tbl>
    <w:p>
      <w:pPr>
        <w:pStyle w:val="Heading2"/>
        <w:spacing w:before="320" w:after="160"/>
      </w:pPr>
      <w:r>
        <w:rPr>
          <w:rFonts w:ascii="Arial" w:cs="Arial" w:eastAsia="Arial" w:hAnsi="Arial"/>
          <w:b/>
          <w:bCs/>
          <w:color w:val="2E6DA4"/>
          <w:sz w:val="26"/>
          <w:szCs w:val="26"/>
        </w:rPr>
        <w:t xml:space="preserve">3.5  El SMMLV como unidad de medida</w:t>
      </w:r>
    </w:p>
    <w:p>
      <w:pPr>
        <w:spacing w:before="80" w:after="120"/>
        <w:jc w:val="both"/>
      </w:pPr>
      <w:r>
        <w:rPr>
          <w:rFonts w:ascii="Arial" w:cs="Arial" w:eastAsia="Arial" w:hAnsi="Arial"/>
          <w:b w:val="false"/>
          <w:bCs w:val="false"/>
          <w:i w:val="false"/>
          <w:iCs w:val="false"/>
          <w:color w:val="000000"/>
          <w:sz w:val="20"/>
          <w:szCs w:val="20"/>
        </w:rPr>
        <w:t xml:space="preserve">El Salario Mínimo Mensual Legal Vigente (SMMLV) es la unidad natural de medida para el mercado laboral colombiano. Permite comparaciones entre sectores, regiones y períodos sin los sesgos de la inflación.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Rango en SMMLV</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 equivalentes (2025)</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&lt; 0.5 SMMLV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&lt; $711,750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Pobreza laboral severa. Trabajo a destajo, cuenta propia informal sin red de seguridad.</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0.5 – 1 SMMLV</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$711,750 – $1,423,500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Trabajo de baja remuneración. Frecuente en comercio informal, servicio doméstico.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 – 2 SMMLV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$1,423,500 – $2,847,000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Rango del empleo formal de base. Aquí está la mayoría de asalariados formales.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2 – 4 SMMLV</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$2,847,000 – $5,694,000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Clase media laboral. Profesionales técnicos y tecnólogos con experiencia.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&gt; 4 SMMLV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&gt; $5,694,000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Profesionales universitarios, directivos y empleados de empresas grandes.</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04</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Consolidación de la Base de Datos</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4.1  El proceso de consolidación mensual</w:t>
      </w:r>
    </w:p>
    <w:p>
      <w:pPr>
        <w:spacing w:before="80" w:after="120"/>
        <w:jc w:val="both"/>
      </w:pPr>
      <w:r>
        <w:rPr>
          <w:rFonts w:ascii="Arial" w:cs="Arial" w:eastAsia="Arial" w:hAnsi="Arial"/>
          <w:b w:val="false"/>
          <w:bCs w:val="false"/>
          <w:i w:val="false"/>
          <w:iCs w:val="false"/>
          <w:color w:val="000000"/>
          <w:sz w:val="20"/>
          <w:szCs w:val="20"/>
        </w:rPr>
        <w:t xml:space="preserve">El notebook lee los 8 módulos CSV de cada uno de los 12 meses de 2025 y los une en una sola base con más de 5 millones de filas. El proceso tiene tres decisiones técnicas críticas:</w:t>
      </w:r>
    </w:p>
    <w:p>
      <w:pPr>
        <w:pStyle w:val="ListParagraph"/>
        <w:numPr>
          <w:ilvl w:val="0"/>
          <w:numId w:val="2"/>
        </w:numPr>
        <w:spacing w:before="40" w:after="60"/>
      </w:pPr>
      <w:r>
        <w:rPr>
          <w:rFonts w:ascii="Arial" w:cs="Arial" w:eastAsia="Arial" w:hAnsi="Arial"/>
          <w:sz w:val="20"/>
          <w:szCs w:val="20"/>
        </w:rPr>
        <w:t xml:space="preserve">Módulo base: se usa "Características generales" como módulo ancla, porque contiene todos los individuos del universo. Los demás módulos son subconjuntos.</w:t>
      </w:r>
    </w:p>
    <w:p>
      <w:pPr>
        <w:pStyle w:val="ListParagraph"/>
        <w:numPr>
          <w:ilvl w:val="0"/>
          <w:numId w:val="2"/>
        </w:numPr>
        <w:spacing w:before="40" w:after="60"/>
      </w:pPr>
      <w:r>
        <w:rPr>
          <w:rFonts w:ascii="Arial" w:cs="Arial" w:eastAsia="Arial" w:hAnsi="Arial"/>
          <w:sz w:val="20"/>
          <w:szCs w:val="20"/>
        </w:rPr>
        <w:t xml:space="preserve">Tipo de join: LEFT JOIN (how='left'). Un OUTER JOIN multiplicaría las filas de personas sin información en módulos específicos, inflando artificialmente el factor de expansión.</w:t>
      </w:r>
    </w:p>
    <w:p>
      <w:pPr>
        <w:pStyle w:val="ListParagraph"/>
        <w:numPr>
          <w:ilvl w:val="0"/>
          <w:numId w:val="2"/>
        </w:numPr>
        <w:spacing w:before="40" w:after="60"/>
      </w:pPr>
      <w:r>
        <w:rPr>
          <w:rFonts w:ascii="Arial" w:cs="Arial" w:eastAsia="Arial" w:hAnsi="Arial"/>
          <w:sz w:val="20"/>
          <w:szCs w:val="20"/>
        </w:rPr>
        <w:t xml:space="preserve">Columnas duplicadas: la función unir_modulos_sin_duplicados() solo trae del módulo secundario las columnas que NO existen en el módulo base, evitando columnas _x y _y en el DataFrame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EBD0" w:val="clear"/>
            <w:tcMar>
              <w:top w:type="dxa" w:w="140"/>
              <w:left w:type="dxa" w:w="200"/>
              <w:bottom w:type="dxa" w:w="140"/>
              <w:right w:type="dxa" w:w="200"/>
            </w:tcMar>
          </w:tcPr>
          <w:p>
            <w:pPr>
              <w:spacing w:after="60"/>
            </w:pPr>
            <w:r>
              <w:rPr>
                <w:rFonts w:ascii="Arial" w:cs="Arial" w:eastAsia="Arial" w:hAnsi="Arial"/>
                <w:b/>
                <w:bCs/>
                <w:color w:val="E67E22"/>
                <w:sz w:val="20"/>
                <w:szCs w:val="20"/>
              </w:rPr>
              <w:t xml:space="preserve">Error clásico que corrige este notebook</w:t>
            </w:r>
          </w:p>
          <w:p>
            <w:pPr>
              <w:spacing w:before="0" w:after="0"/>
            </w:pPr>
            <w:r>
              <w:rPr>
                <w:rFonts w:ascii="Arial" w:cs="Arial" w:eastAsia="Arial" w:hAnsi="Arial"/>
                <w:color w:val="1A1A1A"/>
                <w:sz w:val="19"/>
                <w:szCs w:val="19"/>
              </w:rPr>
              <w:t xml:space="preserve">El uso de how='outer' en el merge entre módulos producía una PEA de Bogotá de ~56 millones en lugar de ~4.5 millones. El LEFT JOIN con el módulo de Características generales como base garantiza que el número de filas del resultado sea igual al del módulo base, sin filas adicionales.</w:t>
            </w:r>
          </w:p>
        </w:tc>
      </w:tr>
    </w:tbl>
    <w:p>
      <w:pPr>
        <w:pStyle w:val="Heading2"/>
        <w:spacing w:before="320" w:after="160"/>
      </w:pPr>
      <w:r>
        <w:rPr>
          <w:rFonts w:ascii="Arial" w:cs="Arial" w:eastAsia="Arial" w:hAnsi="Arial"/>
          <w:b/>
          <w:bCs/>
          <w:color w:val="2E6DA4"/>
          <w:sz w:val="26"/>
          <w:szCs w:val="26"/>
        </w:rPr>
        <w:t xml:space="preserve">4.2  Columna MES_NUM</w:t>
      </w:r>
    </w:p>
    <w:p>
      <w:pPr>
        <w:spacing w:before="80" w:after="120"/>
        <w:jc w:val="both"/>
      </w:pPr>
      <w:r>
        <w:rPr>
          <w:rFonts w:ascii="Arial" w:cs="Arial" w:eastAsia="Arial" w:hAnsi="Arial"/>
          <w:b w:val="false"/>
          <w:bCs w:val="false"/>
          <w:i w:val="false"/>
          <w:iCs w:val="false"/>
          <w:color w:val="000000"/>
          <w:sz w:val="20"/>
          <w:szCs w:val="20"/>
        </w:rPr>
        <w:t xml:space="preserve">Durante el loop de consolidación, se agrega la variable MES_NUM (1 = enero, 12 = diciembre) a cada mes. Esta columna no existe en los archivos originales del DANE y es fundamental para:</w:t>
      </w:r>
    </w:p>
    <w:p>
      <w:pPr>
        <w:pStyle w:val="ListParagraph"/>
        <w:numPr>
          <w:ilvl w:val="0"/>
          <w:numId w:val="3"/>
        </w:numPr>
        <w:spacing w:before="40" w:after="60"/>
      </w:pPr>
      <w:r>
        <w:rPr>
          <w:rFonts w:ascii="Arial" w:cs="Arial" w:eastAsia="Arial" w:hAnsi="Arial"/>
          <w:sz w:val="20"/>
          <w:szCs w:val="20"/>
        </w:rPr>
        <w:t xml:space="preserve">Calcular indicadores mensuales puntuales (usar FEX_C18 sin dividir, filtrar MES_NUM = mes de interés).</w:t>
      </w:r>
    </w:p>
    <w:p>
      <w:pPr>
        <w:pStyle w:val="ListParagraph"/>
        <w:numPr>
          <w:ilvl w:val="0"/>
          <w:numId w:val="3"/>
        </w:numPr>
        <w:spacing w:before="40" w:after="60"/>
      </w:pPr>
      <w:r>
        <w:rPr>
          <w:rFonts w:ascii="Arial" w:cs="Arial" w:eastAsia="Arial" w:hAnsi="Arial"/>
          <w:sz w:val="20"/>
          <w:szCs w:val="20"/>
        </w:rPr>
        <w:t xml:space="preserve">Construir series de tiempo dentro del mismo año (Módulo 11 de estacionalidad).</w:t>
      </w:r>
    </w:p>
    <w:p>
      <w:pPr>
        <w:pStyle w:val="ListParagraph"/>
        <w:numPr>
          <w:ilvl w:val="0"/>
          <w:numId w:val="3"/>
        </w:numPr>
        <w:spacing w:before="40" w:after="60"/>
      </w:pPr>
      <w:r>
        <w:rPr>
          <w:rFonts w:ascii="Arial" w:cs="Arial" w:eastAsia="Arial" w:hAnsi="Arial"/>
          <w:sz w:val="20"/>
          <w:szCs w:val="20"/>
        </w:rPr>
        <w:t xml:space="preserve">Comparar el promedio anual contra un mes específico.</w:t>
      </w:r>
    </w:p>
    <w:p>
      <w:pPr>
        <w:pStyle w:val="Heading2"/>
        <w:spacing w:before="320" w:after="160"/>
      </w:pPr>
      <w:r>
        <w:rPr>
          <w:rFonts w:ascii="Arial" w:cs="Arial" w:eastAsia="Arial" w:hAnsi="Arial"/>
          <w:b/>
          <w:bCs/>
          <w:color w:val="2E6DA4"/>
          <w:sz w:val="26"/>
          <w:szCs w:val="26"/>
        </w:rPr>
        <w:t xml:space="preserve">4.3  Variables de tipo string que no se convierten a numérico</w:t>
      </w:r>
    </w:p>
    <w:p>
      <w:pPr>
        <w:spacing w:before="80" w:after="120"/>
        <w:jc w:val="both"/>
      </w:pPr>
      <w:r>
        <w:rPr>
          <w:rFonts w:ascii="Arial" w:cs="Arial" w:eastAsia="Arial" w:hAnsi="Arial"/>
          <w:b w:val="false"/>
          <w:bCs w:val="false"/>
          <w:i w:val="false"/>
          <w:iCs w:val="false"/>
          <w:color w:val="000000"/>
          <w:sz w:val="20"/>
          <w:szCs w:val="20"/>
        </w:rPr>
        <w:t xml:space="preserve">Algunas variables deben permanecer como texto (character) para funcionar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correcto</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Razón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DIRECTORIO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str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Identificador único del hogar, no es un número aritmético</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SECUENCIA_P</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str</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Identificador de persona dentro del hogar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ORDEN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str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Número de orden de la persona</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DPTO</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str con zfill(2)</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El código 05 (Antioquia) se convertiría en 5 perdiendo el cero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RAMA2D_R4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str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El código 01 (Agricultura) se convertiría en 1.0 y no matchea en el merge CIIU</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05</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Módulos de Análisis: Interpretación y Valor</w:t>
            </w:r>
          </w:p>
        </w:tc>
      </w:tr>
    </w:tbl>
    <w:p>
      <w:pPr>
        <w:spacing w:before="0" w:after="120"/>
      </w:pPr>
      <w:r>
        <w:t xml:space="preserve"/>
      </w:r>
    </w:p>
    <w:p>
      <w:pPr>
        <w:spacing w:before="80" w:after="120"/>
        <w:jc w:val="both"/>
      </w:pPr>
      <w:r>
        <w:rPr>
          <w:rFonts w:ascii="Arial" w:cs="Arial" w:eastAsia="Arial" w:hAnsi="Arial"/>
          <w:b w:val="false"/>
          <w:bCs w:val="false"/>
          <w:i w:val="false"/>
          <w:iCs w:val="false"/>
          <w:color w:val="000000"/>
          <w:sz w:val="20"/>
          <w:szCs w:val="20"/>
        </w:rPr>
        <w:t xml:space="preserve">El notebook está organizado en módulos temáticos. A continuación se describe el objetivo, la metodología y la interpretación de cada módulo, junto con alertas sobre qué debe y no debe concluirse de cada análisis.</w:t>
      </w:r>
    </w:p>
    <w:p>
      <w:pPr>
        <w:pStyle w:val="Heading2"/>
        <w:spacing w:before="320" w:after="160"/>
      </w:pPr>
      <w:r>
        <w:rPr>
          <w:rFonts w:ascii="Arial" w:cs="Arial" w:eastAsia="Arial" w:hAnsi="Arial"/>
          <w:b/>
          <w:bCs/>
          <w:color w:val="2E6DA4"/>
          <w:sz w:val="26"/>
          <w:szCs w:val="26"/>
        </w:rPr>
        <w:t xml:space="preserve">5.1  Distribución de ingresos por rangos de SMMLV</w:t>
      </w:r>
    </w:p>
    <w:p>
      <w:pPr>
        <w:pStyle w:val="Heading3"/>
        <w:spacing w:before="240" w:after="120"/>
      </w:pPr>
      <w:r>
        <w:rPr>
          <w:rFonts w:ascii="Arial" w:cs="Arial" w:eastAsia="Arial" w:hAnsi="Arial"/>
          <w:b/>
          <w:bCs/>
          <w:color w:val="5D6D7E"/>
          <w:sz w:val="22"/>
          <w:szCs w:val="22"/>
        </w:rPr>
        <w:t xml:space="preserve">Qué mide</w:t>
      </w:r>
    </w:p>
    <w:p>
      <w:pPr>
        <w:spacing w:before="80" w:after="120"/>
        <w:jc w:val="both"/>
      </w:pPr>
      <w:r>
        <w:rPr>
          <w:rFonts w:ascii="Arial" w:cs="Arial" w:eastAsia="Arial" w:hAnsi="Arial"/>
          <w:b w:val="false"/>
          <w:bCs w:val="false"/>
          <w:i w:val="false"/>
          <w:iCs w:val="false"/>
          <w:color w:val="000000"/>
          <w:sz w:val="20"/>
          <w:szCs w:val="20"/>
        </w:rPr>
        <w:t xml:space="preserve">La distribución de los ~23 millones de ocupados según el nivel de su ingreso laboral, expresado en múltiplos del SMMLV. Se presenta anual (promedio Ene–Dic 2025) y para diciembre 2025 puntual.</w:t>
      </w:r>
    </w:p>
    <w:p>
      <w:pPr>
        <w:pStyle w:val="Heading3"/>
        <w:spacing w:before="240" w:after="120"/>
      </w:pPr>
      <w:r>
        <w:rPr>
          <w:rFonts w:ascii="Arial" w:cs="Arial" w:eastAsia="Arial" w:hAnsi="Arial"/>
          <w:b/>
          <w:bCs/>
          <w:color w:val="5D6D7E"/>
          <w:sz w:val="22"/>
          <w:szCs w:val="22"/>
        </w:rPr>
        <w:t xml:space="preserve">Metodología</w:t>
      </w:r>
    </w:p>
    <w:p>
      <w:pPr>
        <w:pStyle w:val="ListParagraph"/>
        <w:numPr>
          <w:ilvl w:val="0"/>
          <w:numId w:val="3"/>
        </w:numPr>
        <w:spacing w:before="40" w:after="60"/>
      </w:pPr>
      <w:r>
        <w:rPr>
          <w:rFonts w:ascii="Arial" w:cs="Arial" w:eastAsia="Arial" w:hAnsi="Arial"/>
          <w:sz w:val="20"/>
          <w:szCs w:val="20"/>
        </w:rPr>
        <w:t xml:space="preserve">Se filtran solo los ocupados con INGLABO &gt; 0 (quienes reciben pago en dinero).</w:t>
      </w:r>
    </w:p>
    <w:p>
      <w:pPr>
        <w:pStyle w:val="ListParagraph"/>
        <w:numPr>
          <w:ilvl w:val="0"/>
          <w:numId w:val="3"/>
        </w:numPr>
        <w:spacing w:before="40" w:after="60"/>
      </w:pPr>
      <w:r>
        <w:rPr>
          <w:rFonts w:ascii="Arial" w:cs="Arial" w:eastAsia="Arial" w:hAnsi="Arial"/>
          <w:sz w:val="20"/>
          <w:szCs w:val="20"/>
        </w:rPr>
        <w:t xml:space="preserve">Se aplica pd.cut() con los límites expresados en COP (múltiplos del SMMLV 2025 = $1,423,500).</w:t>
      </w:r>
    </w:p>
    <w:p>
      <w:pPr>
        <w:pStyle w:val="ListParagraph"/>
        <w:numPr>
          <w:ilvl w:val="0"/>
          <w:numId w:val="3"/>
        </w:numPr>
        <w:spacing w:before="40" w:after="60"/>
      </w:pPr>
      <w:r>
        <w:rPr>
          <w:rFonts w:ascii="Arial" w:cs="Arial" w:eastAsia="Arial" w:hAnsi="Arial"/>
          <w:sz w:val="20"/>
          <w:szCs w:val="20"/>
        </w:rPr>
        <w:t xml:space="preserve">La suma del FEX_ADJ por rango da el número de personas en cada categoría.</w:t>
      </w:r>
    </w:p>
    <w:p>
      <w:pPr>
        <w:pStyle w:val="Heading3"/>
        <w:spacing w:before="240" w:after="120"/>
      </w:pPr>
      <w:r>
        <w:rPr>
          <w:rFonts w:ascii="Arial" w:cs="Arial" w:eastAsia="Arial" w:hAnsi="Arial"/>
          <w:b/>
          <w:bCs/>
          <w:color w:val="5D6D7E"/>
          <w:sz w:val="22"/>
          <w:szCs w:val="22"/>
        </w:rPr>
        <w:t xml:space="preserve">Cómo leer el gráfico</w:t>
      </w:r>
    </w:p>
    <w:p>
      <w:pPr>
        <w:spacing w:before="80" w:after="120"/>
        <w:jc w:val="both"/>
      </w:pPr>
      <w:r>
        <w:rPr>
          <w:rFonts w:ascii="Arial" w:cs="Arial" w:eastAsia="Arial" w:hAnsi="Arial"/>
          <w:b w:val="false"/>
          <w:bCs w:val="false"/>
          <w:i w:val="false"/>
          <w:iCs w:val="false"/>
          <w:color w:val="000000"/>
          <w:sz w:val="20"/>
          <w:szCs w:val="20"/>
        </w:rPr>
        <w:t xml:space="preserve">Las barras apiladas muestran hombres (azul) y mujeres (rojo) en cada rango. La curva acumulada del panel derecho muestra qué porcentaje de los ocupados gana hasta X múltiplos de SMMLV. Si la curva cruza el 50% en el rango "0.5–1 SMMLV", significa que la mediana del ingreso está por debajo del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F5E3" w:val="clear"/>
            <w:tcMar>
              <w:top w:type="dxa" w:w="140"/>
              <w:left w:type="dxa" w:w="200"/>
              <w:bottom w:type="dxa" w:w="140"/>
              <w:right w:type="dxa" w:w="200"/>
            </w:tcMar>
          </w:tcPr>
          <w:p>
            <w:pPr>
              <w:spacing w:after="60"/>
            </w:pPr>
            <w:r>
              <w:rPr>
                <w:rFonts w:ascii="Arial" w:cs="Arial" w:eastAsia="Arial" w:hAnsi="Arial"/>
                <w:b/>
                <w:bCs/>
                <w:color w:val="1E6B3C"/>
                <w:sz w:val="20"/>
                <w:szCs w:val="20"/>
              </w:rPr>
              <w:t xml:space="preserve">Hallazgo típico Colombia</w:t>
            </w:r>
          </w:p>
          <w:p>
            <w:pPr>
              <w:spacing w:before="0" w:after="0"/>
            </w:pPr>
            <w:r>
              <w:rPr>
                <w:rFonts w:ascii="Arial" w:cs="Arial" w:eastAsia="Arial" w:hAnsi="Arial"/>
                <w:color w:val="1A1A1A"/>
                <w:sz w:val="19"/>
                <w:szCs w:val="19"/>
              </w:rPr>
              <w:t xml:space="preserve">Históricamente, más del 55% de los ocupados colombianos con ingreso reportado gana menos de 1 SMMLV. Esto refleja la alta informalidad y el bajo nivel de productividad de sectores como agricultura y comercio ambulante. Una mejora de este indicador hacia 2025 señalaría formalización genuina.</w:t>
            </w:r>
          </w:p>
        </w:tc>
      </w:tr>
    </w:tbl>
    <w:p>
      <w:pPr>
        <w:pStyle w:val="Heading2"/>
        <w:spacing w:before="320" w:after="160"/>
      </w:pPr>
      <w:r>
        <w:rPr>
          <w:rFonts w:ascii="Arial" w:cs="Arial" w:eastAsia="Arial" w:hAnsi="Arial"/>
          <w:b/>
          <w:bCs/>
          <w:color w:val="2E6DA4"/>
          <w:sz w:val="26"/>
          <w:szCs w:val="26"/>
        </w:rPr>
        <w:t xml:space="preserve">5.2  Desempleo por departamento (TD, TGP, TO)</w:t>
      </w:r>
    </w:p>
    <w:p>
      <w:pPr>
        <w:pStyle w:val="Heading3"/>
        <w:spacing w:before="240" w:after="120"/>
      </w:pPr>
      <w:r>
        <w:rPr>
          <w:rFonts w:ascii="Arial" w:cs="Arial" w:eastAsia="Arial" w:hAnsi="Arial"/>
          <w:b/>
          <w:bCs/>
          <w:color w:val="5D6D7E"/>
          <w:sz w:val="22"/>
          <w:szCs w:val="22"/>
        </w:rPr>
        <w:t xml:space="preserve">Qué mide</w:t>
      </w:r>
    </w:p>
    <w:p>
      <w:pPr>
        <w:spacing w:before="80" w:after="120"/>
        <w:jc w:val="both"/>
      </w:pPr>
      <w:r>
        <w:rPr>
          <w:rFonts w:ascii="Arial" w:cs="Arial" w:eastAsia="Arial" w:hAnsi="Arial"/>
          <w:b w:val="false"/>
          <w:bCs w:val="false"/>
          <w:i w:val="false"/>
          <w:iCs w:val="false"/>
          <w:color w:val="000000"/>
          <w:sz w:val="20"/>
          <w:szCs w:val="20"/>
        </w:rPr>
        <w:t xml:space="preserve">Las tres tasas fundamentales del mercado laboral para cada uno de los 24 departamentos DIVIPOLA con representación estadística en la GEIH, con datos anuales (FEX/12) y diciembre puntual (FEX sin dividir).</w:t>
      </w:r>
    </w:p>
    <w:p>
      <w:pPr>
        <w:pStyle w:val="Heading3"/>
        <w:spacing w:before="240" w:after="120"/>
      </w:pPr>
      <w:r>
        <w:rPr>
          <w:rFonts w:ascii="Arial" w:cs="Arial" w:eastAsia="Arial" w:hAnsi="Arial"/>
          <w:b/>
          <w:bCs/>
          <w:color w:val="5D6D7E"/>
          <w:sz w:val="22"/>
          <w:szCs w:val="22"/>
        </w:rPr>
        <w:t xml:space="preserve">Alerta metodológica</w:t>
      </w:r>
    </w:p>
    <w:p>
      <w:pPr>
        <w:pStyle w:val="ListParagraph"/>
        <w:numPr>
          <w:ilvl w:val="0"/>
          <w:numId w:val="3"/>
        </w:numPr>
        <w:spacing w:before="40" w:after="60"/>
      </w:pPr>
      <w:r>
        <w:rPr>
          <w:rFonts w:ascii="Arial" w:cs="Arial" w:eastAsia="Arial" w:hAnsi="Arial"/>
          <w:sz w:val="20"/>
          <w:szCs w:val="20"/>
        </w:rPr>
        <w:t xml:space="preserve">No todos los departamentos tienen la misma representatividad muestral. Departamentos pequeños como Guainía, Vaupés o Amazonas NO están en la muestra GEIH y por eso no aparecen en los resultados.</w:t>
      </w:r>
    </w:p>
    <w:p>
      <w:pPr>
        <w:pStyle w:val="ListParagraph"/>
        <w:numPr>
          <w:ilvl w:val="0"/>
          <w:numId w:val="3"/>
        </w:numPr>
        <w:spacing w:before="40" w:after="60"/>
      </w:pPr>
      <w:r>
        <w:rPr>
          <w:rFonts w:ascii="Arial" w:cs="Arial" w:eastAsia="Arial" w:hAnsi="Arial"/>
          <w:sz w:val="20"/>
          <w:szCs w:val="20"/>
        </w:rPr>
        <w:t xml:space="preserve">Los resultados departamentales tienen márgenes de error mayores que los nacionales. El DANE solo publica cifras departamentales cuando el Coeficiente de Variación (CV) es menor al 15%.</w:t>
      </w:r>
    </w:p>
    <w:p>
      <w:pPr>
        <w:pStyle w:val="Heading3"/>
        <w:spacing w:before="240" w:after="120"/>
      </w:pPr>
      <w:r>
        <w:rPr>
          <w:rFonts w:ascii="Arial" w:cs="Arial" w:eastAsia="Arial" w:hAnsi="Arial"/>
          <w:b/>
          <w:bCs/>
          <w:color w:val="5D6D7E"/>
          <w:sz w:val="22"/>
          <w:szCs w:val="22"/>
        </w:rPr>
        <w:t xml:space="preserve">Cómo interpretar la brecha TD hombres vs mujeres</w:t>
      </w:r>
    </w:p>
    <w:p>
      <w:pPr>
        <w:spacing w:before="80" w:after="120"/>
        <w:jc w:val="both"/>
      </w:pPr>
      <w:r>
        <w:rPr>
          <w:rFonts w:ascii="Arial" w:cs="Arial" w:eastAsia="Arial" w:hAnsi="Arial"/>
          <w:b w:val="false"/>
          <w:bCs w:val="false"/>
          <w:i w:val="false"/>
          <w:iCs w:val="false"/>
          <w:color w:val="000000"/>
          <w:sz w:val="20"/>
          <w:szCs w:val="20"/>
        </w:rPr>
        <w:t xml:space="preserve">El boletín DANE de diciembre 2025 reporta TD hombres = 6.4%, TD mujeres = 10.1%, brecha = 3.7 p.p. Esta brecha no necesariamente implica discriminación directa: refleja también diferencias en la tasa de participación, la composición sectorial y las responsabilidades de cuidado no remunerado.</w:t>
      </w:r>
    </w:p>
    <w:p>
      <w:pPr>
        <w:pStyle w:val="Heading2"/>
        <w:spacing w:before="320" w:after="160"/>
      </w:pPr>
      <w:r>
        <w:rPr>
          <w:rFonts w:ascii="Arial" w:cs="Arial" w:eastAsia="Arial" w:hAnsi="Arial"/>
          <w:b/>
          <w:bCs/>
          <w:color w:val="2E6DA4"/>
          <w:sz w:val="26"/>
          <w:szCs w:val="26"/>
        </w:rPr>
        <w:t xml:space="preserve">5.3  Ocupados por rama de actividad y sexo</w:t>
      </w:r>
    </w:p>
    <w:p>
      <w:pPr>
        <w:pStyle w:val="Heading3"/>
        <w:spacing w:before="240" w:after="120"/>
      </w:pPr>
      <w:r>
        <w:rPr>
          <w:rFonts w:ascii="Arial" w:cs="Arial" w:eastAsia="Arial" w:hAnsi="Arial"/>
          <w:b/>
          <w:bCs/>
          <w:color w:val="5D6D7E"/>
          <w:sz w:val="22"/>
          <w:szCs w:val="22"/>
        </w:rPr>
        <w:t xml:space="preserve">Codificación CIIU Rev.4</w:t>
      </w:r>
    </w:p>
    <w:p>
      <w:pPr>
        <w:spacing w:before="80" w:after="120"/>
        <w:jc w:val="both"/>
      </w:pPr>
      <w:r>
        <w:rPr>
          <w:rFonts w:ascii="Arial" w:cs="Arial" w:eastAsia="Arial" w:hAnsi="Arial"/>
          <w:b w:val="false"/>
          <w:bCs w:val="false"/>
          <w:i w:val="false"/>
          <w:iCs w:val="false"/>
          <w:color w:val="000000"/>
          <w:sz w:val="20"/>
          <w:szCs w:val="20"/>
        </w:rPr>
        <w:t xml:space="preserve">La variable RAMA2D_R4 contiene el código de 2 dígitos de la Clasificación Industrial Internacional Uniforme (CIIU) Revisión 4 Adaptada para Colombia. El notebook agrupa las 21 secciones CIIU en 13 ramas para facilitar la visualización.</w:t>
      </w:r>
    </w:p>
    <w:p>
      <w:pPr>
        <w:pStyle w:val="Heading3"/>
        <w:spacing w:before="240" w:after="120"/>
      </w:pPr>
      <w:r>
        <w:rPr>
          <w:rFonts w:ascii="Arial" w:cs="Arial" w:eastAsia="Arial" w:hAnsi="Arial"/>
          <w:b/>
          <w:bCs/>
          <w:color w:val="5D6D7E"/>
          <w:sz w:val="22"/>
          <w:szCs w:val="22"/>
        </w:rPr>
        <w:t xml:space="preserve">Lectura de la tabla</w:t>
      </w:r>
    </w:p>
    <w:p>
      <w:pPr>
        <w:spacing w:before="80" w:after="120"/>
        <w:jc w:val="both"/>
      </w:pPr>
      <w:r>
        <w:rPr>
          <w:rFonts w:ascii="Arial" w:cs="Arial" w:eastAsia="Arial" w:hAnsi="Arial"/>
          <w:b w:val="false"/>
          <w:bCs w:val="false"/>
          <w:i w:val="false"/>
          <w:iCs w:val="false"/>
          <w:color w:val="000000"/>
          <w:sz w:val="20"/>
          <w:szCs w:val="20"/>
        </w:rPr>
        <w:t xml:space="preserve">La distribución % dentro de hombres y mujeres permite identificar la segregación ocupacional por género. Ramas con más del 70% de mujeres (educación, salud, servicio doméstico) o más del 85% de hombres (construcción, minería, transporte) son señales de segregación horizontal.</w:t>
      </w:r>
    </w:p>
    <w:p>
      <w:pPr>
        <w:pStyle w:val="Heading2"/>
        <w:spacing w:before="320" w:after="160"/>
      </w:pPr>
      <w:r>
        <w:rPr>
          <w:rFonts w:ascii="Arial" w:cs="Arial" w:eastAsia="Arial" w:hAnsi="Arial"/>
          <w:b/>
          <w:bCs/>
          <w:color w:val="2E6DA4"/>
          <w:sz w:val="26"/>
          <w:szCs w:val="26"/>
        </w:rPr>
        <w:t xml:space="preserve">5.4  Estadísticas de salario por rama y edad</w:t>
      </w:r>
    </w:p>
    <w:p>
      <w:pPr>
        <w:pStyle w:val="Heading3"/>
        <w:spacing w:before="240" w:after="120"/>
      </w:pPr>
      <w:r>
        <w:rPr>
          <w:rFonts w:ascii="Arial" w:cs="Arial" w:eastAsia="Arial" w:hAnsi="Arial"/>
          <w:b/>
          <w:bCs/>
          <w:color w:val="5D6D7E"/>
          <w:sz w:val="22"/>
          <w:szCs w:val="22"/>
        </w:rPr>
        <w:t xml:space="preserve">Estadísticas disponibles</w:t>
      </w:r>
    </w:p>
    <w:p>
      <w:pPr>
        <w:spacing w:before="80" w:after="120"/>
        <w:jc w:val="both"/>
      </w:pPr>
      <w:r>
        <w:rPr>
          <w:rFonts w:ascii="Arial" w:cs="Arial" w:eastAsia="Arial" w:hAnsi="Arial"/>
          <w:b w:val="false"/>
          <w:bCs w:val="false"/>
          <w:i w:val="false"/>
          <w:iCs w:val="false"/>
          <w:color w:val="000000"/>
          <w:sz w:val="20"/>
          <w:szCs w:val="20"/>
        </w:rPr>
        <w:t xml:space="preserve">Para cada rama y grupo de edad de 5 años (15–19, 20–24, ..., 75–79), el notebook calcula: N en miles, media, mediana, P10, P25, P75, P90, desviación estándar, coeficiente de variación (CV%) y el ingreso en múltiplos de SMMLV.</w:t>
      </w:r>
    </w:p>
    <w:p>
      <w:pPr>
        <w:pStyle w:val="Heading3"/>
        <w:spacing w:before="240" w:after="120"/>
      </w:pPr>
      <w:r>
        <w:rPr>
          <w:rFonts w:ascii="Arial" w:cs="Arial" w:eastAsia="Arial" w:hAnsi="Arial"/>
          <w:b/>
          <w:bCs/>
          <w:color w:val="5D6D7E"/>
          <w:sz w:val="22"/>
          <w:szCs w:val="22"/>
        </w:rPr>
        <w:t xml:space="preserve">El Coeficiente de Variación (CV%)</w:t>
      </w:r>
    </w:p>
    <w:p>
      <w:pPr>
        <w:shd w:fill="F2F3F4" w:val="clear"/>
        <w:spacing w:before="160" w:after="160"/>
        <w:jc w:val="center"/>
      </w:pPr>
      <w:r>
        <w:rPr>
          <w:rFonts w:ascii="Courier New" w:cs="Courier New" w:eastAsia="Courier New" w:hAnsi="Courier New"/>
          <w:b/>
          <w:bCs/>
          <w:color w:val="2E6DA4"/>
          <w:sz w:val="20"/>
          <w:szCs w:val="20"/>
        </w:rPr>
        <w:t xml:space="preserve">CV% = (Desviación estándar ponderada / Media ponderada) × 100</w:t>
      </w:r>
    </w:p>
    <w:p>
      <w:pPr>
        <w:spacing w:before="80" w:after="120"/>
        <w:jc w:val="both"/>
      </w:pPr>
      <w:r>
        <w:rPr>
          <w:rFonts w:ascii="Arial" w:cs="Arial" w:eastAsia="Arial" w:hAnsi="Arial"/>
          <w:b w:val="false"/>
          <w:bCs w:val="false"/>
          <w:i w:val="false"/>
          <w:iCs w:val="false"/>
          <w:color w:val="000000"/>
          <w:sz w:val="20"/>
          <w:szCs w:val="20"/>
        </w:rPr>
        <w:t xml:space="preserve">Un CV% alto (&gt; 100%) indica alta desigualdad interna dentro de la rama o grupo de edad. El sector financiero típicamente tiene CV% &gt; 150%, porque agrupa desde auxiliares de caja (~1 SMMLV) hasta gerentes de inversión (&gt; 20 SMMLV).</w:t>
      </w:r>
    </w:p>
    <w:p>
      <w:pPr>
        <w:pStyle w:val="Heading3"/>
        <w:spacing w:before="240" w:after="120"/>
      </w:pPr>
      <w:r>
        <w:rPr>
          <w:rFonts w:ascii="Arial" w:cs="Arial" w:eastAsia="Arial" w:hAnsi="Arial"/>
          <w:b/>
          <w:bCs/>
          <w:color w:val="5D6D7E"/>
          <w:sz w:val="22"/>
          <w:szCs w:val="22"/>
        </w:rPr>
        <w:t xml:space="preserve">La curva del ciclo vital del ingreso</w:t>
      </w:r>
    </w:p>
    <w:p>
      <w:pPr>
        <w:spacing w:before="80" w:after="120"/>
        <w:jc w:val="both"/>
      </w:pPr>
      <w:r>
        <w:rPr>
          <w:rFonts w:ascii="Arial" w:cs="Arial" w:eastAsia="Arial" w:hAnsi="Arial"/>
          <w:b w:val="false"/>
          <w:bCs w:val="false"/>
          <w:i w:val="false"/>
          <w:iCs w:val="false"/>
          <w:color w:val="000000"/>
          <w:sz w:val="20"/>
          <w:szCs w:val="20"/>
        </w:rPr>
        <w:t xml:space="preserve">El gráfico de salario por edad dibuja la trayectoria típica de acumulación de capital humano: sube desde los 20 hasta los 40–50 años (peak de experiencia y productividad) y luego desciende gradualmente. En Colombia el pico suele estar entre los 40 y 49 años. Si la curva es plana, indica que la experiencia no se premia (común en empleos de baja complejidad).</w:t>
      </w:r>
    </w:p>
    <w:p>
      <w:pPr>
        <w:pStyle w:val="Heading2"/>
        <w:spacing w:before="320" w:after="160"/>
      </w:pPr>
      <w:r>
        <w:rPr>
          <w:rFonts w:ascii="Arial" w:cs="Arial" w:eastAsia="Arial" w:hAnsi="Arial"/>
          <w:b/>
          <w:bCs/>
          <w:color w:val="2E6DA4"/>
          <w:sz w:val="26"/>
          <w:szCs w:val="26"/>
        </w:rPr>
        <w:t xml:space="preserve">5.5  Población Fuera de la Fuerza de Trabajo (FFT)</w:t>
      </w:r>
    </w:p>
    <w:p>
      <w:pPr>
        <w:pStyle w:val="Heading3"/>
        <w:spacing w:before="240" w:after="120"/>
      </w:pPr>
      <w:r>
        <w:rPr>
          <w:rFonts w:ascii="Arial" w:cs="Arial" w:eastAsia="Arial" w:hAnsi="Arial"/>
          <w:b/>
          <w:bCs/>
          <w:color w:val="5D6D7E"/>
          <w:sz w:val="22"/>
          <w:szCs w:val="22"/>
        </w:rPr>
        <w:t xml:space="preserve">Categorías de la FFT</w:t>
      </w:r>
    </w:p>
    <w:p>
      <w:pPr>
        <w:spacing w:before="80" w:after="120"/>
        <w:jc w:val="both"/>
      </w:pPr>
      <w:r>
        <w:rPr>
          <w:rFonts w:ascii="Arial" w:cs="Arial" w:eastAsia="Arial" w:hAnsi="Arial"/>
          <w:b w:val="false"/>
          <w:bCs w:val="false"/>
          <w:i w:val="false"/>
          <w:iCs w:val="false"/>
          <w:color w:val="000000"/>
          <w:sz w:val="20"/>
          <w:szCs w:val="20"/>
        </w:rPr>
        <w:t xml:space="preserve">P6240 clasifica la actividad principal de la semana de referencia. Para la FFT, los valores relevantes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P6240</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Significado para análisis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Estudiando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Capital humano futuro. Una reducción indica desaliento o entrada temprana al mercado.</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Oficios del hogar</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El 87% son mujeres. Mide carga de trabajo de cuidado no remunerado.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Incapacitado permanente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Inactividad involuntaria. Señal de exclusión del mercado laboral.</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Otra actividad</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Rentistas, pensionados, y quienes no quieren trabajar.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40"/>
              <w:left w:type="dxa" w:w="200"/>
              <w:bottom w:type="dxa" w:w="140"/>
              <w:right w:type="dxa" w:w="200"/>
            </w:tcMar>
          </w:tcPr>
          <w:p>
            <w:pPr>
              <w:spacing w:after="60"/>
            </w:pPr>
            <w:r>
              <w:rPr>
                <w:rFonts w:ascii="Arial" w:cs="Arial" w:eastAsia="Arial" w:hAnsi="Arial"/>
                <w:b/>
                <w:bCs/>
                <w:color w:val="2E6DA4"/>
                <w:sz w:val="20"/>
                <w:szCs w:val="20"/>
              </w:rPr>
              <w:t xml:space="preserve">Brecha de género en la FFT</w:t>
            </w:r>
          </w:p>
          <w:p>
            <w:pPr>
              <w:spacing w:before="0" w:after="0"/>
            </w:pPr>
            <w:r>
              <w:rPr>
                <w:rFonts w:ascii="Arial" w:cs="Arial" w:eastAsia="Arial" w:hAnsi="Arial"/>
                <w:color w:val="1A1A1A"/>
                <w:sz w:val="19"/>
                <w:szCs w:val="19"/>
              </w:rPr>
              <w:t xml:space="preserve">En diciembre 2025, 10.040 millones de mujeres estaban fuera de la fuerza de trabajo frente a 4.562 millones de hombres. Del total de inactivos en oficios del hogar (8.290 M), el 87.5% son mujeres. Cada punto porcentual de reducción de esta brecha equivale a incorporar ~100.000 mujeres al mercado laboral.</w:t>
            </w:r>
          </w:p>
        </w:tc>
      </w:tr>
    </w:tbl>
    <w:p>
      <w:pPr>
        <w:pStyle w:val="Heading2"/>
        <w:spacing w:before="320" w:after="160"/>
      </w:pPr>
      <w:r>
        <w:rPr>
          <w:rFonts w:ascii="Arial" w:cs="Arial" w:eastAsia="Arial" w:hAnsi="Arial"/>
          <w:b/>
          <w:bCs/>
          <w:color w:val="2E6DA4"/>
          <w:sz w:val="26"/>
          <w:szCs w:val="26"/>
        </w:rPr>
        <w:t xml:space="preserve">5.6  Brecha salarial de género por nivel educativo (Módulo 1)</w:t>
      </w:r>
    </w:p>
    <w:p>
      <w:pPr>
        <w:pStyle w:val="Heading3"/>
        <w:spacing w:before="240" w:after="120"/>
      </w:pPr>
      <w:r>
        <w:rPr>
          <w:rFonts w:ascii="Arial" w:cs="Arial" w:eastAsia="Arial" w:hAnsi="Arial"/>
          <w:b/>
          <w:bCs/>
          <w:color w:val="5D6D7E"/>
          <w:sz w:val="22"/>
          <w:szCs w:val="22"/>
        </w:rPr>
        <w:t xml:space="preserve">Qué revela</w:t>
      </w:r>
    </w:p>
    <w:p>
      <w:pPr>
        <w:spacing w:before="80" w:after="120"/>
        <w:jc w:val="both"/>
      </w:pPr>
      <w:r>
        <w:rPr>
          <w:rFonts w:ascii="Arial" w:cs="Arial" w:eastAsia="Arial" w:hAnsi="Arial"/>
          <w:b w:val="false"/>
          <w:bCs w:val="false"/>
          <w:i w:val="false"/>
          <w:iCs w:val="false"/>
          <w:color w:val="000000"/>
          <w:sz w:val="20"/>
          <w:szCs w:val="20"/>
        </w:rPr>
        <w:t xml:space="preserve">Al cruzar nivel educativo con sexo, el análisis muestra si la brecha salarial aumenta, disminuye o se invierte conforme sube el nivel de educación. En Colombia se observa el fenómeno del "techo de cristal": la brecha es mayor entre universitarios y posgrados que entre trabajadores sin educación.</w:t>
      </w:r>
    </w:p>
    <w:p>
      <w:pPr>
        <w:pStyle w:val="Heading3"/>
        <w:spacing w:before="240" w:after="120"/>
      </w:pPr>
      <w:r>
        <w:rPr>
          <w:rFonts w:ascii="Arial" w:cs="Arial" w:eastAsia="Arial" w:hAnsi="Arial"/>
          <w:b/>
          <w:bCs/>
          <w:color w:val="5D6D7E"/>
          <w:sz w:val="22"/>
          <w:szCs w:val="22"/>
        </w:rPr>
        <w:t xml:space="preserve">Interpretación de la brecha %</w:t>
      </w:r>
    </w:p>
    <w:p>
      <w:pPr>
        <w:shd w:fill="F2F3F4" w:val="clear"/>
        <w:spacing w:before="160" w:after="160"/>
        <w:jc w:val="center"/>
      </w:pPr>
      <w:r>
        <w:rPr>
          <w:rFonts w:ascii="Courier New" w:cs="Courier New" w:eastAsia="Courier New" w:hAnsi="Courier New"/>
          <w:b/>
          <w:bCs/>
          <w:color w:val="2E6DA4"/>
          <w:sz w:val="20"/>
          <w:szCs w:val="20"/>
        </w:rPr>
        <w:t xml:space="preserve">Brecha% = (Mediana mujeres − Mediana hombres) / Mediana hombres × 100</w:t>
      </w:r>
    </w:p>
    <w:p>
      <w:pPr>
        <w:spacing w:before="80" w:after="120"/>
        <w:jc w:val="both"/>
      </w:pPr>
      <w:r>
        <w:rPr>
          <w:rFonts w:ascii="Arial" w:cs="Arial" w:eastAsia="Arial" w:hAnsi="Arial"/>
          <w:b w:val="false"/>
          <w:bCs w:val="false"/>
          <w:i w:val="false"/>
          <w:iCs w:val="false"/>
          <w:color w:val="000000"/>
          <w:sz w:val="20"/>
          <w:szCs w:val="20"/>
        </w:rPr>
        <w:t xml:space="preserve">Un valor de −15% significa que las mujeres ganan en mediana un 15% menos que los hombres en el mismo nivel educativo. Un valor positivo (mujeres ganan más) puede ocurrir en niveles bajos de educación donde los hombres aceptan empleos de alta dureza física con salarios bajos.</w:t>
      </w:r>
    </w:p>
    <w:p>
      <w:pPr>
        <w:pStyle w:val="Heading2"/>
        <w:spacing w:before="320" w:after="160"/>
      </w:pPr>
      <w:r>
        <w:rPr>
          <w:rFonts w:ascii="Arial" w:cs="Arial" w:eastAsia="Arial" w:hAnsi="Arial"/>
          <w:b/>
          <w:bCs/>
          <w:color w:val="2E6DA4"/>
          <w:sz w:val="26"/>
          <w:szCs w:val="26"/>
        </w:rPr>
        <w:t xml:space="preserve">5.7  Índice de Calidad del Empleo — ICE (Módulo 2)</w:t>
      </w:r>
    </w:p>
    <w:p>
      <w:pPr>
        <w:pStyle w:val="Heading3"/>
        <w:spacing w:before="240" w:after="120"/>
      </w:pPr>
      <w:r>
        <w:rPr>
          <w:rFonts w:ascii="Arial" w:cs="Arial" w:eastAsia="Arial" w:hAnsi="Arial"/>
          <w:b/>
          <w:bCs/>
          <w:color w:val="5D6D7E"/>
          <w:sz w:val="22"/>
          <w:szCs w:val="22"/>
        </w:rPr>
        <w:t xml:space="preserve">Composición del índice</w:t>
      </w:r>
    </w:p>
    <w:p>
      <w:pPr>
        <w:shd w:fill="F2F3F4" w:val="clear"/>
        <w:spacing w:before="160" w:after="160"/>
        <w:jc w:val="center"/>
      </w:pPr>
      <w:r>
        <w:rPr>
          <w:rFonts w:ascii="Courier New" w:cs="Courier New" w:eastAsia="Courier New" w:hAnsi="Courier New"/>
          <w:b/>
          <w:bCs/>
          <w:color w:val="2E6DA4"/>
          <w:sz w:val="20"/>
          <w:szCs w:val="20"/>
        </w:rPr>
        <w:t xml:space="preserve">ICE = 0.30 × Cotiza_pensión + 0.25 × Afiliado_salud + 0.25 × Horas_adecuadas + 0.20 × Ingreso≥SMMLV</w:t>
      </w:r>
    </w:p>
    <w:p>
      <w:pPr>
        <w:spacing w:before="80" w:after="120"/>
        <w:jc w:val="both"/>
      </w:pPr>
      <w:r>
        <w:rPr>
          <w:rFonts w:ascii="Arial" w:cs="Arial" w:eastAsia="Arial" w:hAnsi="Arial"/>
          <w:b w:val="false"/>
          <w:bCs w:val="false"/>
          <w:i w:val="false"/>
          <w:iCs w:val="false"/>
          <w:color w:val="000000"/>
          <w:sz w:val="20"/>
          <w:szCs w:val="20"/>
        </w:rPr>
        <w:t xml:space="preserve">Cada dimensión es una variable binaria (1 = cumple la condición, 0 = no). El ICE varía de 0 a 100. Se interpreta como el porcentaje ponderado de condiciones laborales satisfactorias que tiene el empleo promedio en un departamento o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Rango ICE</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Típico en...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ICE ≥ 65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Empleo de alta calidad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Bogotá, Antioquia, sector financiero y TIC</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ICE 50–65</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Empleo de calidad media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Ciudades intermedias, comercio formal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ICE 35–50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Empleo precario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Agricultura comercial, construcción</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ICE &lt; 35</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Empleo altamente vulnerable</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Chocó, Guajira, trabajo doméstico</w:t>
            </w:r>
          </w:p>
        </w:tc>
      </w:tr>
    </w:tbl>
    <w:p>
      <w:pPr>
        <w:pStyle w:val="Heading2"/>
        <w:spacing w:before="320" w:after="160"/>
      </w:pPr>
      <w:r>
        <w:rPr>
          <w:rFonts w:ascii="Arial" w:cs="Arial" w:eastAsia="Arial" w:hAnsi="Arial"/>
          <w:b/>
          <w:bCs/>
          <w:color w:val="2E6DA4"/>
          <w:sz w:val="26"/>
          <w:szCs w:val="26"/>
        </w:rPr>
        <w:t xml:space="preserve">5.8  Duración del desempleo (Módulo 7)</w:t>
      </w:r>
    </w:p>
    <w:p>
      <w:pPr>
        <w:pStyle w:val="Heading3"/>
        <w:spacing w:before="240" w:after="120"/>
      </w:pPr>
      <w:r>
        <w:rPr>
          <w:rFonts w:ascii="Arial" w:cs="Arial" w:eastAsia="Arial" w:hAnsi="Arial"/>
          <w:b/>
          <w:bCs/>
          <w:color w:val="5D6D7E"/>
          <w:sz w:val="22"/>
          <w:szCs w:val="22"/>
        </w:rPr>
        <w:t xml:space="preserve">Variable P7250</w:t>
      </w:r>
    </w:p>
    <w:p>
      <w:pPr>
        <w:spacing w:before="80" w:after="120"/>
        <w:jc w:val="both"/>
      </w:pPr>
      <w:r>
        <w:rPr>
          <w:rFonts w:ascii="Arial" w:cs="Arial" w:eastAsia="Arial" w:hAnsi="Arial"/>
          <w:b w:val="false"/>
          <w:bCs w:val="false"/>
          <w:i w:val="false"/>
          <w:iCs w:val="false"/>
          <w:color w:val="000000"/>
          <w:sz w:val="20"/>
          <w:szCs w:val="20"/>
        </w:rPr>
        <w:t xml:space="preserve">P7250 mide cuántas semanas lleva buscando trabajo el desocupado. Es el indicador más preciso de rigidez del mercado laboral: mercados rígidos tienen desocupados que tardan muchas semanas en encontrar empleo porque hay fricciones estructurales (información imperfecta, desajuste de habilidades, barreras geográficas).</w:t>
      </w:r>
    </w:p>
    <w:p>
      <w:pPr>
        <w:pStyle w:val="ListParagraph"/>
        <w:numPr>
          <w:ilvl w:val="0"/>
          <w:numId w:val="3"/>
        </w:numPr>
        <w:spacing w:before="40" w:after="60"/>
      </w:pPr>
      <w:r>
        <w:rPr>
          <w:rFonts w:ascii="Arial" w:cs="Arial" w:eastAsia="Arial" w:hAnsi="Arial"/>
          <w:sz w:val="20"/>
          <w:szCs w:val="20"/>
        </w:rPr>
        <w:t xml:space="preserve">&lt; 4 semanas: desempleo friccional (normal, trabajadores cambiando de empleo).</w:t>
      </w:r>
    </w:p>
    <w:p>
      <w:pPr>
        <w:pStyle w:val="ListParagraph"/>
        <w:numPr>
          <w:ilvl w:val="0"/>
          <w:numId w:val="3"/>
        </w:numPr>
        <w:spacing w:before="40" w:after="60"/>
      </w:pPr>
      <w:r>
        <w:rPr>
          <w:rFonts w:ascii="Arial" w:cs="Arial" w:eastAsia="Arial" w:hAnsi="Arial"/>
          <w:sz w:val="20"/>
          <w:szCs w:val="20"/>
        </w:rPr>
        <w:t xml:space="preserve">4–12 semanas: desempleo moderado, típico en economías en desarrollo.</w:t>
      </w:r>
    </w:p>
    <w:p>
      <w:pPr>
        <w:pStyle w:val="ListParagraph"/>
        <w:numPr>
          <w:ilvl w:val="0"/>
          <w:numId w:val="3"/>
        </w:numPr>
        <w:spacing w:before="40" w:after="60"/>
      </w:pPr>
      <w:r>
        <w:rPr>
          <w:rFonts w:ascii="Arial" w:cs="Arial" w:eastAsia="Arial" w:hAnsi="Arial"/>
          <w:sz w:val="20"/>
          <w:szCs w:val="20"/>
        </w:rPr>
        <w:t xml:space="preserve">12–26 semanas: desempleo estructural, señal de desajuste serio.</w:t>
      </w:r>
    </w:p>
    <w:p>
      <w:pPr>
        <w:pStyle w:val="ListParagraph"/>
        <w:numPr>
          <w:ilvl w:val="0"/>
          <w:numId w:val="3"/>
        </w:numPr>
        <w:spacing w:before="40" w:after="60"/>
      </w:pPr>
      <w:r>
        <w:rPr>
          <w:rFonts w:ascii="Arial" w:cs="Arial" w:eastAsia="Arial" w:hAnsi="Arial"/>
          <w:sz w:val="20"/>
          <w:szCs w:val="20"/>
        </w:rPr>
        <w:t xml:space="preserve">&gt; 26 semanas: desempleo de larga duración, alto riesgo de pérdida permanente de capital humano.</w:t>
      </w:r>
    </w:p>
    <w:p>
      <w:pPr>
        <w:pStyle w:val="Heading2"/>
        <w:spacing w:before="320" w:after="160"/>
      </w:pPr>
      <w:r>
        <w:rPr>
          <w:rFonts w:ascii="Arial" w:cs="Arial" w:eastAsia="Arial" w:hAnsi="Arial"/>
          <w:b/>
          <w:bCs/>
          <w:color w:val="2E6DA4"/>
          <w:sz w:val="26"/>
          <w:szCs w:val="26"/>
        </w:rPr>
        <w:t xml:space="preserve">5.9  Subempleo (Módulo 8)</w:t>
      </w:r>
    </w:p>
    <w:p>
      <w:pPr>
        <w:pStyle w:val="Heading3"/>
        <w:spacing w:before="240" w:after="120"/>
      </w:pPr>
      <w:r>
        <w:rPr>
          <w:rFonts w:ascii="Arial" w:cs="Arial" w:eastAsia="Arial" w:hAnsi="Arial"/>
          <w:b/>
          <w:bCs/>
          <w:color w:val="5D6D7E"/>
          <w:sz w:val="22"/>
          <w:szCs w:val="22"/>
        </w:rPr>
        <w:t xml:space="preserve">Tipos de subempleo en la GEIH</w:t>
      </w:r>
    </w:p>
    <w:p>
      <w:pPr>
        <w:spacing w:before="80" w:after="120"/>
        <w:jc w:val="both"/>
      </w:pPr>
      <w:r>
        <w:rPr>
          <w:rFonts w:ascii="Arial" w:cs="Arial" w:eastAsia="Arial" w:hAnsi="Arial"/>
          <w:b w:val="false"/>
          <w:bCs w:val="false"/>
          <w:i w:val="false"/>
          <w:iCs w:val="false"/>
          <w:color w:val="000000"/>
          <w:sz w:val="20"/>
          <w:szCs w:val="20"/>
        </w:rPr>
        <w:t xml:space="preserve">Colombia mide tres dimensiones del subempleo siguiendo la metodología OIT adaptada por el DANE: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Condición GEIH</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Relevancia analítica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Subempleo por horas (objetivo)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P6800 &lt; 32h + desea trabajar más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Mide subutilización del tiempo laboral</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Subempleo por ingresos (subjetivo)</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INGLABO &lt; SMMLV + P7130=1</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Mide insatisfacción salarial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Subempleo por competencias (subjetivo)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P7140S1=1 (desea usar mejor sus habilidades)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Mide sobrecalificación y desajuste ocupacional</w:t>
            </w:r>
          </w:p>
        </w:tc>
      </w:tr>
    </w:tbl>
    <w:p>
      <w:pPr>
        <w:spacing w:before="0" w:after="120"/>
      </w:pPr>
      <w:r>
        <w:t xml:space="preserve"/>
      </w:r>
    </w:p>
    <w:p>
      <w:pPr>
        <w:spacing w:before="80" w:after="120"/>
        <w:jc w:val="both"/>
      </w:pPr>
      <w:r>
        <w:rPr>
          <w:rFonts w:ascii="Arial" w:cs="Arial" w:eastAsia="Arial" w:hAnsi="Arial"/>
          <w:b w:val="false"/>
          <w:bCs w:val="false"/>
          <w:i w:val="false"/>
          <w:iCs w:val="false"/>
          <w:color w:val="000000"/>
          <w:sz w:val="20"/>
          <w:szCs w:val="20"/>
        </w:rPr>
        <w:t xml:space="preserve">Para inversión extranjera directa, la tasa de subempleo es un indicador crucial: una tasa alta de subempleo indica que hay mano de obra disponible y motivada para trabajar más o mejor, sin necesidad de que el desempleo abierto sea alto.</w:t>
      </w:r>
    </w:p>
    <w:p>
      <w:pPr>
        <w:pStyle w:val="Heading2"/>
        <w:spacing w:before="320" w:after="160"/>
      </w:pPr>
      <w:r>
        <w:rPr>
          <w:rFonts w:ascii="Arial" w:cs="Arial" w:eastAsia="Arial" w:hAnsi="Arial"/>
          <w:b/>
          <w:bCs/>
          <w:color w:val="2E6DA4"/>
          <w:sz w:val="26"/>
          <w:szCs w:val="26"/>
        </w:rPr>
        <w:t xml:space="preserve">5.10  Ecuación de Mincer — Retorno salarial a la educación (Módulo C)</w:t>
      </w:r>
    </w:p>
    <w:p>
      <w:pPr>
        <w:pStyle w:val="Heading3"/>
        <w:spacing w:before="240" w:after="120"/>
      </w:pPr>
      <w:r>
        <w:rPr>
          <w:rFonts w:ascii="Arial" w:cs="Arial" w:eastAsia="Arial" w:hAnsi="Arial"/>
          <w:b/>
          <w:bCs/>
          <w:color w:val="5D6D7E"/>
          <w:sz w:val="22"/>
          <w:szCs w:val="22"/>
        </w:rPr>
        <w:t xml:space="preserve">La ecuación</w:t>
      </w:r>
    </w:p>
    <w:p>
      <w:pPr>
        <w:shd w:fill="F2F3F4" w:val="clear"/>
        <w:spacing w:before="160" w:after="160"/>
        <w:jc w:val="center"/>
      </w:pPr>
      <w:r>
        <w:rPr>
          <w:rFonts w:ascii="Courier New" w:cs="Courier New" w:eastAsia="Courier New" w:hAnsi="Courier New"/>
          <w:b/>
          <w:bCs/>
          <w:color w:val="2E6DA4"/>
          <w:sz w:val="20"/>
          <w:szCs w:val="20"/>
        </w:rPr>
        <w:t xml:space="preserve">ln(W_i) = β₀ + β₁·Años_educación_i + β₂·Experiencia_i + β₃·Experiencia²_i + ε_i</w:t>
      </w:r>
    </w:p>
    <w:p>
      <w:pPr>
        <w:spacing w:before="80" w:after="120"/>
        <w:jc w:val="both"/>
      </w:pPr>
      <w:r>
        <w:rPr>
          <w:rFonts w:ascii="Arial" w:cs="Arial" w:eastAsia="Arial" w:hAnsi="Arial"/>
          <w:b w:val="false"/>
          <w:bCs w:val="false"/>
          <w:i w:val="false"/>
          <w:iCs w:val="false"/>
          <w:color w:val="000000"/>
          <w:sz w:val="20"/>
          <w:szCs w:val="20"/>
        </w:rPr>
        <w:t xml:space="preserve">Donde W_i es el ingreso laboral de la persona i, Años_educación es los años de escolaridad acumulados, y Experiencia es la experiencia laboral potencial (Edad − Años_educación − 6). El coeficiente β₁ es la estimación del retorno marginal de un año adicional de educación sobre el logaritmo del ingreso, que se interpreta como porcentaje.</w:t>
      </w:r>
    </w:p>
    <w:p>
      <w:pPr>
        <w:pStyle w:val="Heading3"/>
        <w:spacing w:before="240" w:after="120"/>
      </w:pPr>
      <w:r>
        <w:rPr>
          <w:rFonts w:ascii="Arial" w:cs="Arial" w:eastAsia="Arial" w:hAnsi="Arial"/>
          <w:b/>
          <w:bCs/>
          <w:color w:val="5D6D7E"/>
          <w:sz w:val="22"/>
          <w:szCs w:val="22"/>
        </w:rPr>
        <w:t xml:space="preserve">Conversión P3042 → Años de educación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P3042</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educativo</w:t>
            </w:r>
          </w:p>
        </w:tc>
        <w:tc>
          <w:tcPr>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Años acumulados asignados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Sin educación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 años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Básica primaria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5 años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Básica secundaria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 años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5–6</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Media (académica o técnica)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11 años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Técnica profesional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14 años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9</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Tecnológica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15 años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Universitaria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16 años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11–12</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Especialización / Maestría</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17–18 años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Doctorado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 años</w:t>
            </w:r>
          </w:p>
        </w:tc>
      </w:tr>
    </w:tbl>
    <w:p>
      <w:pPr>
        <w:spacing w:before="0" w:after="120"/>
      </w:pPr>
      <w:r>
        <w:t xml:space="preserve"/>
      </w:r>
    </w:p>
    <w:p>
      <w:pPr>
        <w:pStyle w:val="Heading3"/>
        <w:spacing w:before="240" w:after="120"/>
      </w:pPr>
      <w:r>
        <w:rPr>
          <w:rFonts w:ascii="Arial" w:cs="Arial" w:eastAsia="Arial" w:hAnsi="Arial"/>
          <w:b/>
          <w:bCs/>
          <w:color w:val="5D6D7E"/>
          <w:sz w:val="22"/>
          <w:szCs w:val="22"/>
        </w:rPr>
        <w:t xml:space="preserve">Interpretación del β₁</w:t>
      </w:r>
    </w:p>
    <w:p>
      <w:pPr>
        <w:spacing w:before="80" w:after="120"/>
        <w:jc w:val="both"/>
      </w:pPr>
      <w:r>
        <w:rPr>
          <w:rFonts w:ascii="Arial" w:cs="Arial" w:eastAsia="Arial" w:hAnsi="Arial"/>
          <w:b w:val="false"/>
          <w:bCs w:val="false"/>
          <w:i w:val="false"/>
          <w:iCs w:val="false"/>
          <w:color w:val="000000"/>
          <w:sz w:val="20"/>
          <w:szCs w:val="20"/>
        </w:rPr>
        <w:t xml:space="preserve">Si β₁ = 0.10, significa que cada año adicional de educación aumenta el ingreso esperado en aproximadamente un 10%. En Colombia el β₁ oscila entre 0.09 y 0.12 a nivel nacional, con heterogeneidad significativa por sector:</w:t>
      </w:r>
    </w:p>
    <w:p>
      <w:pPr>
        <w:pStyle w:val="ListParagraph"/>
        <w:numPr>
          <w:ilvl w:val="0"/>
          <w:numId w:val="3"/>
        </w:numPr>
        <w:spacing w:before="40" w:after="60"/>
      </w:pPr>
      <w:r>
        <w:rPr>
          <w:rFonts w:ascii="Arial" w:cs="Arial" w:eastAsia="Arial" w:hAnsi="Arial"/>
          <w:sz w:val="20"/>
          <w:szCs w:val="20"/>
        </w:rPr>
        <w:t xml:space="preserve">TIC e Información: β₁ ≈ 0.15–0.18 (alta valoración del capital educativo).</w:t>
      </w:r>
    </w:p>
    <w:p>
      <w:pPr>
        <w:pStyle w:val="ListParagraph"/>
        <w:numPr>
          <w:ilvl w:val="0"/>
          <w:numId w:val="3"/>
        </w:numPr>
        <w:spacing w:before="40" w:after="60"/>
      </w:pPr>
      <w:r>
        <w:rPr>
          <w:rFonts w:ascii="Arial" w:cs="Arial" w:eastAsia="Arial" w:hAnsi="Arial"/>
          <w:sz w:val="20"/>
          <w:szCs w:val="20"/>
        </w:rPr>
        <w:t xml:space="preserve">Agricultura y trabajo doméstico: β₁ ≈ 0.03–0.06 (baja prima salarial a la educación).</w:t>
      </w:r>
    </w:p>
    <w:p>
      <w:pPr>
        <w:pStyle w:val="ListParagraph"/>
        <w:numPr>
          <w:ilvl w:val="0"/>
          <w:numId w:val="3"/>
        </w:numPr>
        <w:spacing w:before="40" w:after="60"/>
      </w:pPr>
      <w:r>
        <w:rPr>
          <w:rFonts w:ascii="Arial" w:cs="Arial" w:eastAsia="Arial" w:hAnsi="Arial"/>
          <w:sz w:val="20"/>
          <w:szCs w:val="20"/>
        </w:rPr>
        <w:t xml:space="preserve">Servicios financieros y profesionales: β₁ ≈ 0.12–0.16.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EBD0" w:val="clear"/>
            <w:tcMar>
              <w:top w:type="dxa" w:w="140"/>
              <w:left w:type="dxa" w:w="200"/>
              <w:bottom w:type="dxa" w:w="140"/>
              <w:right w:type="dxa" w:w="200"/>
            </w:tcMar>
          </w:tcPr>
          <w:p>
            <w:pPr>
              <w:spacing w:after="60"/>
            </w:pPr>
            <w:r>
              <w:rPr>
                <w:rFonts w:ascii="Arial" w:cs="Arial" w:eastAsia="Arial" w:hAnsi="Arial"/>
                <w:b/>
                <w:bCs/>
                <w:color w:val="E67E22"/>
                <w:sz w:val="20"/>
                <w:szCs w:val="20"/>
              </w:rPr>
              <w:t xml:space="preserve">Oportunidad de arbitraje de talento</w:t>
            </w:r>
          </w:p>
          <w:p>
            <w:pPr>
              <w:spacing w:before="0" w:after="0"/>
            </w:pPr>
            <w:r>
              <w:rPr>
                <w:rFonts w:ascii="Arial" w:cs="Arial" w:eastAsia="Arial" w:hAnsi="Arial"/>
                <w:color w:val="1A1A1A"/>
                <w:sz w:val="19"/>
                <w:szCs w:val="19"/>
              </w:rPr>
              <w:t xml:space="preserve">Un β₁ bajo en sectores como agricultura implica que hay trabajadores con educación relativamente alta recibiendo salarios que no reflejan su productividad potencial. Para un inversionista en agroindustria de valor agregado, esto representa una oportunidad: puede incorporar ese talento a procesos más complejos pagando salarios competitivos aún menores que en sectores urbanos de alta productividad.</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06</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Índices Compuestos: Construcción e Interpretación</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6.1  Índice de Competitividad Laboral — ICI (Módulo 16)</w:t>
      </w:r>
    </w:p>
    <w:p>
      <w:pPr>
        <w:shd w:fill="F2F3F4" w:val="clear"/>
        <w:spacing w:before="160" w:after="160"/>
        <w:jc w:val="center"/>
      </w:pPr>
      <w:r>
        <w:rPr>
          <w:rFonts w:ascii="Courier New" w:cs="Courier New" w:eastAsia="Courier New" w:hAnsi="Courier New"/>
          <w:b/>
          <w:bCs/>
          <w:color w:val="2E6DA4"/>
          <w:sz w:val="20"/>
          <w:szCs w:val="20"/>
        </w:rPr>
        <w:t xml:space="preserve">ICI = 0.25·Score_TD + 0.20·Score_Costo + 0.25·Score_Talento + 0.20·Score_Formalidad + 0.10·Score_Jóvenes</w:t>
      </w:r>
    </w:p>
    <w:p>
      <w:pPr>
        <w:spacing w:before="80" w:after="120"/>
        <w:jc w:val="both"/>
      </w:pPr>
      <w:r>
        <w:rPr>
          <w:rFonts w:ascii="Arial" w:cs="Arial" w:eastAsia="Arial" w:hAnsi="Arial"/>
          <w:b w:val="false"/>
          <w:bCs w:val="false"/>
          <w:i w:val="false"/>
          <w:iCs w:val="false"/>
          <w:color w:val="000000"/>
          <w:sz w:val="20"/>
          <w:szCs w:val="20"/>
        </w:rPr>
        <w:t xml:space="preserve">Cada score es una normalización min-max de la variable original al rango [0, 100]. El ICI agrega en un solo número la posición competitiva de un departamento para atraer inversión y ubicar operaciones. La ponderación de 0.20 al score de costo está invertida: menor costo salarial = mayor score (mejor para el inversionista).</w:t>
      </w:r>
    </w:p>
    <w:p>
      <w:pPr>
        <w:pStyle w:val="Heading3"/>
        <w:spacing w:before="240" w:after="120"/>
      </w:pPr>
      <w:r>
        <w:rPr>
          <w:rFonts w:ascii="Arial" w:cs="Arial" w:eastAsia="Arial" w:hAnsi="Arial"/>
          <w:b/>
          <w:bCs/>
          <w:color w:val="5D6D7E"/>
          <w:sz w:val="22"/>
          <w:szCs w:val="22"/>
        </w:rPr>
        <w:t xml:space="preserve">Lectura del gráfico de burbujas (Módulo 16)</w:t>
      </w:r>
    </w:p>
    <w:p>
      <w:pPr>
        <w:spacing w:before="80" w:after="120"/>
        <w:jc w:val="both"/>
      </w:pPr>
      <w:r>
        <w:rPr>
          <w:rFonts w:ascii="Arial" w:cs="Arial" w:eastAsia="Arial" w:hAnsi="Arial"/>
          <w:b w:val="false"/>
          <w:bCs w:val="false"/>
          <w:i w:val="false"/>
          <w:iCs w:val="false"/>
          <w:color w:val="000000"/>
          <w:sz w:val="20"/>
          <w:szCs w:val="20"/>
        </w:rPr>
        <w:t xml:space="preserve">El eje X es el costo laboral efectivo (mediana salarial × 1.54 por carga prestacional). El eje Y es la calidad del talento. El tamaño de la burbuja es el número de personas disponibles (desocupados + subempleados). El color es el ICI.</w:t>
      </w:r>
    </w:p>
    <w:p>
      <w:pPr>
        <w:pStyle w:val="ListParagraph"/>
        <w:numPr>
          <w:ilvl w:val="0"/>
          <w:numId w:val="3"/>
        </w:numPr>
        <w:spacing w:before="40" w:after="60"/>
      </w:pPr>
      <w:r>
        <w:rPr>
          <w:rFonts w:ascii="Arial" w:cs="Arial" w:eastAsia="Arial" w:hAnsi="Arial"/>
          <w:sz w:val="20"/>
          <w:szCs w:val="20"/>
        </w:rPr>
        <w:t xml:space="preserve">Cuadrante superior izquierdo (alta calidad, bajo costo) = IDEAL para IED. Típico en Boyacá, Santander y Caldas.</w:t>
      </w:r>
    </w:p>
    <w:p>
      <w:pPr>
        <w:pStyle w:val="ListParagraph"/>
        <w:numPr>
          <w:ilvl w:val="0"/>
          <w:numId w:val="3"/>
        </w:numPr>
        <w:spacing w:before="40" w:after="60"/>
      </w:pPr>
      <w:r>
        <w:rPr>
          <w:rFonts w:ascii="Arial" w:cs="Arial" w:eastAsia="Arial" w:hAnsi="Arial"/>
          <w:sz w:val="20"/>
          <w:szCs w:val="20"/>
        </w:rPr>
        <w:t xml:space="preserve">Cuadrante superior derecho (alta calidad, alto costo) = apropiado para operaciones de alto valor agregado. Bogotá.</w:t>
      </w:r>
    </w:p>
    <w:p>
      <w:pPr>
        <w:pStyle w:val="ListParagraph"/>
        <w:numPr>
          <w:ilvl w:val="0"/>
          <w:numId w:val="3"/>
        </w:numPr>
        <w:spacing w:before="40" w:after="60"/>
      </w:pPr>
      <w:r>
        <w:rPr>
          <w:rFonts w:ascii="Arial" w:cs="Arial" w:eastAsia="Arial" w:hAnsi="Arial"/>
          <w:sz w:val="20"/>
          <w:szCs w:val="20"/>
        </w:rPr>
        <w:t xml:space="preserve">Cuadrante inferior izquierdo (baja calidad, bajo costo) = adecuado para manufactura intensiva en mano de obra. Algunos departamentos de la Costa Caribe.</w:t>
      </w:r>
    </w:p>
    <w:p>
      <w:pPr>
        <w:pStyle w:val="Heading2"/>
        <w:spacing w:before="320" w:after="160"/>
      </w:pPr>
      <w:r>
        <w:rPr>
          <w:rFonts w:ascii="Arial" w:cs="Arial" w:eastAsia="Arial" w:hAnsi="Arial"/>
          <w:b/>
          <w:bCs/>
          <w:color w:val="2E6DA4"/>
          <w:sz w:val="26"/>
          <w:szCs w:val="26"/>
        </w:rPr>
        <w:t xml:space="preserve">6.2  Índice de Talento Disponible — ITAT (Módulo B)</w:t>
      </w:r>
    </w:p>
    <w:p>
      <w:pPr>
        <w:shd w:fill="F2F3F4" w:val="clear"/>
        <w:spacing w:before="160" w:after="160"/>
        <w:jc w:val="center"/>
      </w:pPr>
      <w:r>
        <w:rPr>
          <w:rFonts w:ascii="Courier New" w:cs="Courier New" w:eastAsia="Courier New" w:hAnsi="Courier New"/>
          <w:b/>
          <w:bCs/>
          <w:color w:val="2E6DA4"/>
          <w:sz w:val="20"/>
          <w:szCs w:val="20"/>
        </w:rPr>
        <w:t xml:space="preserve">ITAT = 0.35·Score_Oferta + 0.35·Score_Costo + 0.30·Score_Calidad</w:t>
      </w:r>
    </w:p>
    <w:p>
      <w:pPr>
        <w:spacing w:before="80" w:after="120"/>
        <w:jc w:val="both"/>
      </w:pPr>
      <w:r>
        <w:rPr>
          <w:rFonts w:ascii="Arial" w:cs="Arial" w:eastAsia="Arial" w:hAnsi="Arial"/>
          <w:b w:val="false"/>
          <w:bCs w:val="false"/>
          <w:i w:val="false"/>
          <w:iCs w:val="false"/>
          <w:color w:val="000000"/>
          <w:sz w:val="20"/>
          <w:szCs w:val="20"/>
        </w:rPr>
        <w:t xml:space="preserve">El ITAT responde a una pregunta diferente al ICI: no cómo es el mercado en general, sino qué tan disponible y accesible es el talento para una empresa que quiere contratar ahora. La oferta se mide como (desocupados + subempleados) / PEA × 100.</w:t>
      </w:r>
    </w:p>
    <w:p>
      <w:pPr>
        <w:pStyle w:val="Heading2"/>
        <w:spacing w:before="320" w:after="160"/>
      </w:pPr>
      <w:r>
        <w:rPr>
          <w:rFonts w:ascii="Arial" w:cs="Arial" w:eastAsia="Arial" w:hAnsi="Arial"/>
          <w:b/>
          <w:bCs/>
          <w:color w:val="2E6DA4"/>
          <w:sz w:val="26"/>
          <w:szCs w:val="26"/>
        </w:rPr>
        <w:t xml:space="preserve">6.3  Índice de Vulnerabilidad Laboral — IVI (Módulo 20)</w:t>
      </w:r>
    </w:p>
    <w:p>
      <w:pPr>
        <w:shd w:fill="F2F3F4" w:val="clear"/>
        <w:spacing w:before="160" w:after="160"/>
        <w:jc w:val="center"/>
      </w:pPr>
      <w:r>
        <w:rPr>
          <w:rFonts w:ascii="Courier New" w:cs="Courier New" w:eastAsia="Courier New" w:hAnsi="Courier New"/>
          <w:b/>
          <w:bCs/>
          <w:color w:val="2E6DA4"/>
          <w:sz w:val="20"/>
          <w:szCs w:val="20"/>
        </w:rPr>
        <w:t xml:space="preserve">IVI = Media(% cuenta propia sin pensión, % sin protección social, % sobretrabajo, % ingreso &lt; SMMLV)</w:t>
      </w:r>
    </w:p>
    <w:p>
      <w:pPr>
        <w:spacing w:before="80" w:after="120"/>
        <w:jc w:val="both"/>
      </w:pPr>
      <w:r>
        <w:rPr>
          <w:rFonts w:ascii="Arial" w:cs="Arial" w:eastAsia="Arial" w:hAnsi="Arial"/>
          <w:b w:val="false"/>
          <w:bCs w:val="false"/>
          <w:i w:val="false"/>
          <w:iCs w:val="false"/>
          <w:color w:val="000000"/>
          <w:sz w:val="20"/>
          <w:szCs w:val="20"/>
        </w:rPr>
        <w:t xml:space="preserve">El IVI mide la fragilidad del empleo en un sector ante perturbaciones económicas o tecnológicas. Un IVI alto indica que el empleo del sector es precario en múltiples dimensiones simultáneamente. Es el indicador más relevante para evaluar el riesgo de disrupción por automatización o recesión.</w:t>
      </w:r>
    </w:p>
    <w:p>
      <w:pPr>
        <w:pStyle w:val="Heading2"/>
        <w:spacing w:before="320" w:after="160"/>
      </w:pPr>
      <w:r>
        <w:rPr>
          <w:rFonts w:ascii="Arial" w:cs="Arial" w:eastAsia="Arial" w:hAnsi="Arial"/>
          <w:b/>
          <w:bCs/>
          <w:color w:val="2E6DA4"/>
          <w:sz w:val="26"/>
          <w:szCs w:val="26"/>
        </w:rPr>
        <w:t xml:space="preserve">6.4  Curva de Lorenz y Coeficiente de Gini (Módulo 5)</w:t>
      </w:r>
    </w:p>
    <w:p>
      <w:pPr>
        <w:shd w:fill="F2F3F4" w:val="clear"/>
        <w:spacing w:before="160" w:after="160"/>
        <w:jc w:val="center"/>
      </w:pPr>
      <w:r>
        <w:rPr>
          <w:rFonts w:ascii="Courier New" w:cs="Courier New" w:eastAsia="Courier New" w:hAnsi="Courier New"/>
          <w:b/>
          <w:bCs/>
          <w:color w:val="2E6DA4"/>
          <w:sz w:val="20"/>
          <w:szCs w:val="20"/>
        </w:rPr>
        <w:t xml:space="preserve">Gini = 1 − 2 × ∫₀¹ L(p) dp   ≈   1 − 2 × Σ[Lorenz(p_k) × Δp_k]</w:t>
      </w:r>
    </w:p>
    <w:p>
      <w:pPr>
        <w:spacing w:before="80" w:after="120"/>
        <w:jc w:val="both"/>
      </w:pPr>
      <w:r>
        <w:rPr>
          <w:rFonts w:ascii="Arial" w:cs="Arial" w:eastAsia="Arial" w:hAnsi="Arial"/>
          <w:b w:val="false"/>
          <w:bCs w:val="false"/>
          <w:i w:val="false"/>
          <w:iCs w:val="false"/>
          <w:color w:val="000000"/>
          <w:sz w:val="20"/>
          <w:szCs w:val="20"/>
        </w:rPr>
        <w:t xml:space="preserve">El coeficiente de Gini del ingreso laboral (calculado solo sobre INGLABO, no sobre el ingreso total del hogar) mide la desigualdad interna en la remuneración de los trabajadores. Varía de 0 (perfecta igualdad) a 1 (máxima desigualdad). En Colombia, el Gini del ingreso laboral típicamente está entre 0.45 y 0.55, más alto que el de muchos países de la región.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6E4F0" w:val="clear"/>
            <w:tcMar>
              <w:top w:type="dxa" w:w="140"/>
              <w:left w:type="dxa" w:w="200"/>
              <w:bottom w:type="dxa" w:w="140"/>
              <w:right w:type="dxa" w:w="200"/>
            </w:tcMar>
          </w:tcPr>
          <w:p>
            <w:pPr>
              <w:spacing w:after="60"/>
            </w:pPr>
            <w:r>
              <w:rPr>
                <w:rFonts w:ascii="Arial" w:cs="Arial" w:eastAsia="Arial" w:hAnsi="Arial"/>
                <w:b/>
                <w:bCs/>
                <w:color w:val="2E6DA4"/>
                <w:sz w:val="20"/>
                <w:szCs w:val="20"/>
              </w:rPr>
              <w:t xml:space="preserve">Gini laboral vs Gini de ingreso total</w:t>
            </w:r>
          </w:p>
          <w:p>
            <w:pPr>
              <w:spacing w:before="0" w:after="0"/>
            </w:pPr>
            <w:r>
              <w:rPr>
                <w:rFonts w:ascii="Arial" w:cs="Arial" w:eastAsia="Arial" w:hAnsi="Arial"/>
                <w:color w:val="1A1A1A"/>
                <w:sz w:val="19"/>
                <w:szCs w:val="19"/>
              </w:rPr>
              <w:t xml:space="preserve">El notebook calcula el Gini sobre INGLABO (ingresos laborales únicamente). El Gini oficial del DANE incluye todas las fuentes de ingreso del hogar (transferencias, rentas, pensiones). El Gini laboral suele ser mayor porque excluye las transferencias redistributivas del Estado que reducen la desigualdad total.</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07</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Correlativas Externas: CIIU y DIVIPOLA</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7.1  CIIU Rev.4 Adaptada para Colombia</w:t>
      </w:r>
    </w:p>
    <w:p>
      <w:pPr>
        <w:spacing w:before="80" w:after="120"/>
        <w:jc w:val="both"/>
      </w:pPr>
      <w:r>
        <w:rPr>
          <w:rFonts w:ascii="Arial" w:cs="Arial" w:eastAsia="Arial" w:hAnsi="Arial"/>
          <w:b w:val="false"/>
          <w:bCs w:val="false"/>
          <w:i w:val="false"/>
          <w:iCs w:val="false"/>
          <w:color w:val="000000"/>
          <w:sz w:val="20"/>
          <w:szCs w:val="20"/>
        </w:rPr>
        <w:t xml:space="preserve">La Clasificación Industrial Internacional Uniforme (CIIU) Revisión 4 es el estándar internacional para clasificar las actividades económicas. El DANE adoptó una versión adaptada para Colombia. Los archivos de la GEIH incluyen el código de 2 dígitos (RAMA2D_R4) y el de 4 dígitos (RAMA4D_R4).</w:t>
      </w:r>
    </w:p>
    <w:p>
      <w:pPr>
        <w:pStyle w:val="ListParagraph"/>
        <w:numPr>
          <w:ilvl w:val="0"/>
          <w:numId w:val="3"/>
        </w:numPr>
        <w:spacing w:before="40" w:after="60"/>
      </w:pPr>
      <w:r>
        <w:rPr>
          <w:rFonts w:ascii="Arial" w:cs="Arial" w:eastAsia="Arial" w:hAnsi="Arial"/>
          <w:sz w:val="20"/>
          <w:szCs w:val="20"/>
        </w:rPr>
        <w:t xml:space="preserve">RAMA2D_R4 = código de 2 dígitos → identifica la División CIIU (ej: 47 = Comercio al por menor).</w:t>
      </w:r>
    </w:p>
    <w:p>
      <w:pPr>
        <w:pStyle w:val="ListParagraph"/>
        <w:numPr>
          <w:ilvl w:val="0"/>
          <w:numId w:val="3"/>
        </w:numPr>
        <w:spacing w:before="40" w:after="60"/>
      </w:pPr>
      <w:r>
        <w:rPr>
          <w:rFonts w:ascii="Arial" w:cs="Arial" w:eastAsia="Arial" w:hAnsi="Arial"/>
          <w:sz w:val="20"/>
          <w:szCs w:val="20"/>
        </w:rPr>
        <w:t xml:space="preserve">RAMA4D_R4 = código de 4 dígitos → identifica el Grupo CIIU (ej: 4711 = Comercio al por menor en establecimientos no especializados con surtido compuesto principalmente de alimentos, bebidas y tabaco).</w:t>
      </w:r>
    </w:p>
    <w:p>
      <w:pPr>
        <w:spacing w:before="80" w:after="120"/>
        <w:jc w:val="both"/>
      </w:pPr>
      <w:r>
        <w:rPr>
          <w:rFonts w:ascii="Arial" w:cs="Arial" w:eastAsia="Arial" w:hAnsi="Arial"/>
          <w:b w:val="false"/>
          <w:bCs w:val="false"/>
          <w:i w:val="false"/>
          <w:iCs w:val="false"/>
          <w:color w:val="000000"/>
          <w:sz w:val="20"/>
          <w:szCs w:val="20"/>
        </w:rPr>
        <w:t xml:space="preserve">El notebook incluye el merge con el archivo de correlativa CIIU para agregar la descripción textual completa de cada código, permitiendo identificar con precisión el tipo de actividad económica.</w:t>
      </w:r>
    </w:p>
    <w:p>
      <w:pPr>
        <w:pStyle w:val="Heading3"/>
        <w:spacing w:before="240" w:after="120"/>
      </w:pPr>
      <w:r>
        <w:rPr>
          <w:rFonts w:ascii="Arial" w:cs="Arial" w:eastAsia="Arial" w:hAnsi="Arial"/>
          <w:b/>
          <w:bCs/>
          <w:color w:val="5D6D7E"/>
          <w:sz w:val="22"/>
          <w:szCs w:val="22"/>
        </w:rPr>
        <w:t xml:space="preserve">Estandarización del código CIIU</w:t>
      </w:r>
    </w:p>
    <w:p>
      <w:pPr>
        <w:spacing w:before="80" w:after="120"/>
        <w:jc w:val="both"/>
      </w:pPr>
      <w:r>
        <w:rPr>
          <w:rFonts w:ascii="Arial" w:cs="Arial" w:eastAsia="Arial" w:hAnsi="Arial"/>
          <w:b w:val="false"/>
          <w:bCs w:val="false"/>
          <w:i w:val="false"/>
          <w:iCs w:val="false"/>
          <w:color w:val="000000"/>
          <w:sz w:val="20"/>
          <w:szCs w:val="20"/>
        </w:rPr>
        <w:t xml:space="preserve">Un error frecuente: Python lee los códigos como float (ej: 111.0, 4711.0) porque los CSVs no tienen el tipo forzado. Para el merge correcto se requiere:</w:t>
      </w:r>
    </w:p>
    <w:p>
      <w:pPr>
        <w:pStyle w:val="ListParagraph"/>
        <w:numPr>
          <w:ilvl w:val="0"/>
          <w:numId w:val="3"/>
        </w:numPr>
        <w:spacing w:before="40" w:after="60"/>
      </w:pPr>
      <w:r>
        <w:rPr>
          <w:rFonts w:ascii="Arial" w:cs="Arial" w:eastAsia="Arial" w:hAnsi="Arial"/>
          <w:sz w:val="20"/>
          <w:szCs w:val="20"/>
        </w:rPr>
        <w:t xml:space="preserve">Convertir a string → quitar sufijo .0 → rellenar con ceros a la izquierda (zfill(4)) → comparar con los códigos de la correlativa que sí tienen el formato estándar.</w:t>
      </w:r>
    </w:p>
    <w:p>
      <w:pPr>
        <w:pStyle w:val="Heading2"/>
        <w:spacing w:before="320" w:after="160"/>
      </w:pPr>
      <w:r>
        <w:rPr>
          <w:rFonts w:ascii="Arial" w:cs="Arial" w:eastAsia="Arial" w:hAnsi="Arial"/>
          <w:b/>
          <w:bCs/>
          <w:color w:val="2E6DA4"/>
          <w:sz w:val="26"/>
          <w:szCs w:val="26"/>
        </w:rPr>
        <w:t xml:space="preserve">7.2  DIVIPOLA</w:t>
      </w:r>
    </w:p>
    <w:p>
      <w:pPr>
        <w:spacing w:before="80" w:after="120"/>
        <w:jc w:val="both"/>
      </w:pPr>
      <w:r>
        <w:rPr>
          <w:rFonts w:ascii="Arial" w:cs="Arial" w:eastAsia="Arial" w:hAnsi="Arial"/>
          <w:b w:val="false"/>
          <w:bCs w:val="false"/>
          <w:i w:val="false"/>
          <w:iCs w:val="false"/>
          <w:color w:val="000000"/>
          <w:sz w:val="20"/>
          <w:szCs w:val="20"/>
        </w:rPr>
        <w:t xml:space="preserve">El Directorio de Divisiones Político-Administrativas de Colombia (DIVIPOLA) es el estándar del DANE para los códigos geográficos. La variable DPTO en la GEIH usa los códigos DIVIPOLA de 2 dígitos para departamentos (ej: '05' = Antioquia, '11' = Bogotá D.C., '76' = Valle del Cauca).</w:t>
      </w:r>
    </w:p>
    <w:p>
      <w:pPr>
        <w:spacing w:before="80" w:after="120"/>
        <w:jc w:val="both"/>
      </w:pPr>
      <w:r>
        <w:rPr>
          <w:rFonts w:ascii="Arial" w:cs="Arial" w:eastAsia="Arial" w:hAnsi="Arial"/>
          <w:b w:val="false"/>
          <w:bCs w:val="false"/>
          <w:i w:val="false"/>
          <w:iCs w:val="false"/>
          <w:color w:val="000000"/>
          <w:sz w:val="20"/>
          <w:szCs w:val="20"/>
        </w:rPr>
        <w:t xml:space="preserve">El cero a la izquierda es esencial: Antioquia es '05', no '5'. Si se trata como numérico, el 5 no coincide con '05' en un merge y se pierden todos los datos de ese departamento.</w:t>
      </w:r>
    </w:p>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08</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Extensiones de Valor: Análisis Adicionales Posibles con la GEIH</w:t>
            </w:r>
          </w:p>
        </w:tc>
      </w:tr>
    </w:tbl>
    <w:p>
      <w:pPr>
        <w:spacing w:before="0" w:after="120"/>
      </w:pPr>
      <w:r>
        <w:t xml:space="preserve"/>
      </w:r>
    </w:p>
    <w:p>
      <w:pPr>
        <w:spacing w:before="80" w:after="120"/>
        <w:jc w:val="both"/>
      </w:pPr>
      <w:r>
        <w:rPr>
          <w:rFonts w:ascii="Arial" w:cs="Arial" w:eastAsia="Arial" w:hAnsi="Arial"/>
          <w:b w:val="false"/>
          <w:bCs w:val="false"/>
          <w:i w:val="false"/>
          <w:iCs w:val="false"/>
          <w:color w:val="000000"/>
          <w:sz w:val="20"/>
          <w:szCs w:val="20"/>
        </w:rPr>
        <w:t xml:space="preserve">La GEIH 2025 contiene variables que el notebook actual no explota completamente. Las siguientes extensiones son de alto valor para análisis económico, comercio exterior e inversión:</w:t>
      </w:r>
    </w:p>
    <w:p>
      <w:pPr>
        <w:pStyle w:val="Heading2"/>
        <w:spacing w:before="320" w:after="160"/>
      </w:pPr>
      <w:r>
        <w:rPr>
          <w:rFonts w:ascii="Arial" w:cs="Arial" w:eastAsia="Arial" w:hAnsi="Arial"/>
          <w:b/>
          <w:bCs/>
          <w:color w:val="2E6DA4"/>
          <w:sz w:val="26"/>
          <w:szCs w:val="26"/>
        </w:rPr>
        <w:t xml:space="preserve">8.1  Análisis de salarios en especie (P6590, P6600, P6610, P6620)</w:t>
      </w:r>
    </w:p>
    <w:p>
      <w:pPr>
        <w:spacing w:before="80" w:after="120"/>
        <w:jc w:val="both"/>
      </w:pPr>
      <w:r>
        <w:rPr>
          <w:rFonts w:ascii="Arial" w:cs="Arial" w:eastAsia="Arial" w:hAnsi="Arial"/>
          <w:b w:val="false"/>
          <w:bCs w:val="false"/>
          <w:i w:val="false"/>
          <w:iCs w:val="false"/>
          <w:color w:val="000000"/>
          <w:sz w:val="20"/>
          <w:szCs w:val="20"/>
        </w:rPr>
        <w:t xml:space="preserve">Estas variables capturan el pago en especie que reciben los trabajadores: alimentación, vivienda, transporte, etc. El INGLABO ya incluye una estimación de estos valores, pero los componentes separados permiten analizar las prácticas de compensación por sector y región. En departamentos rurales con agricultura de exportación, el pago en especie puede representar el 20–40% del ingreso total.</w:t>
      </w:r>
    </w:p>
    <w:p>
      <w:pPr>
        <w:pStyle w:val="Heading2"/>
        <w:spacing w:before="320" w:after="160"/>
      </w:pPr>
      <w:r>
        <w:rPr>
          <w:rFonts w:ascii="Arial" w:cs="Arial" w:eastAsia="Arial" w:hAnsi="Arial"/>
          <w:b/>
          <w:bCs/>
          <w:color w:val="2E6DA4"/>
          <w:sz w:val="26"/>
          <w:szCs w:val="26"/>
        </w:rPr>
        <w:t xml:space="preserve">8.2  Análisis de segundos empleos (P7040, P7045, P7050, P7075)</w:t>
      </w:r>
    </w:p>
    <w:p>
      <w:pPr>
        <w:spacing w:before="80" w:after="120"/>
        <w:jc w:val="both"/>
      </w:pPr>
      <w:r>
        <w:rPr>
          <w:rFonts w:ascii="Arial" w:cs="Arial" w:eastAsia="Arial" w:hAnsi="Arial"/>
          <w:b w:val="false"/>
          <w:bCs w:val="false"/>
          <w:i w:val="false"/>
          <w:iCs w:val="false"/>
          <w:color w:val="000000"/>
          <w:sz w:val="20"/>
          <w:szCs w:val="20"/>
        </w:rPr>
        <w:t xml:space="preserve">P7040 identifica si el ocupado tiene un segundo trabajo. P7045 y P7050 dan las horas y el tipo de posición ocupacional en ese segundo empleo. Este análisis, que el notebook no incluye, revela la prevalencia del pluriempleo: cuántas personas necesitan más de un trabajo para cubrir sus necesidades, y en qué sectores concentran su segundo empleo.</w:t>
      </w:r>
    </w:p>
    <w:p>
      <w:pPr>
        <w:pStyle w:val="Heading2"/>
        <w:spacing w:before="320" w:after="160"/>
      </w:pPr>
      <w:r>
        <w:rPr>
          <w:rFonts w:ascii="Arial" w:cs="Arial" w:eastAsia="Arial" w:hAnsi="Arial"/>
          <w:b/>
          <w:bCs/>
          <w:color w:val="2E6DA4"/>
          <w:sz w:val="26"/>
          <w:szCs w:val="26"/>
        </w:rPr>
        <w:t xml:space="preserve">8.3  Análisis de transición hacia el desempleo (P6760)</w:t>
      </w:r>
    </w:p>
    <w:p>
      <w:pPr>
        <w:spacing w:before="80" w:after="120"/>
        <w:jc w:val="both"/>
      </w:pPr>
      <w:r>
        <w:rPr>
          <w:rFonts w:ascii="Arial" w:cs="Arial" w:eastAsia="Arial" w:hAnsi="Arial"/>
          <w:b w:val="false"/>
          <w:bCs w:val="false"/>
          <w:i w:val="false"/>
          <w:iCs w:val="false"/>
          <w:color w:val="000000"/>
          <w:sz w:val="20"/>
          <w:szCs w:val="20"/>
        </w:rPr>
        <w:t xml:space="preserve">P6760 mide "hace cuántos meses empezó a trabajar en este trabajo". Combinada con información de desocupados recientes, permite estimar la duración promedio en el empleo por sector, un indicador directo de la estabilidad laboral. Un sector con alta rotación tiene trabajadores con pocos meses de antigüedad de manera sistemática.</w:t>
      </w:r>
    </w:p>
    <w:p>
      <w:pPr>
        <w:pStyle w:val="Heading2"/>
        <w:spacing w:before="320" w:after="160"/>
      </w:pPr>
      <w:r>
        <w:rPr>
          <w:rFonts w:ascii="Arial" w:cs="Arial" w:eastAsia="Arial" w:hAnsi="Arial"/>
          <w:b/>
          <w:bCs/>
          <w:color w:val="2E6DA4"/>
          <w:sz w:val="26"/>
          <w:szCs w:val="26"/>
        </w:rPr>
        <w:t xml:space="preserve">8.4  Ingresos no laborales del hogar (P7422, P7500S1–S7)</w:t>
      </w:r>
    </w:p>
    <w:p>
      <w:pPr>
        <w:spacing w:before="80" w:after="120"/>
        <w:jc w:val="both"/>
      </w:pPr>
      <w:r>
        <w:rPr>
          <w:rFonts w:ascii="Arial" w:cs="Arial" w:eastAsia="Arial" w:hAnsi="Arial"/>
          <w:b w:val="false"/>
          <w:bCs w:val="false"/>
          <w:i w:val="false"/>
          <w:iCs w:val="false"/>
          <w:color w:val="000000"/>
          <w:sz w:val="20"/>
          <w:szCs w:val="20"/>
        </w:rPr>
        <w:t xml:space="preserve">El módulo Otros Ingresos captura: remesas del exterior (P7500S2), pensiones de jubilación (P7500S3), arriendos (P7500S1), subsidios del Estado (P7500S6), y otras fuentes. Para análisis de pobreza y desigualdad real del hogar, estos ingresos son fundamentales. En departamentos con alta emigración (Nariño, Valle, Risaralda), las remesas pueden representar el 15–25% del ingreso total del hogar.</w:t>
      </w:r>
    </w:p>
    <w:p>
      <w:pPr>
        <w:pStyle w:val="Heading2"/>
        <w:spacing w:before="320" w:after="160"/>
      </w:pPr>
      <w:r>
        <w:rPr>
          <w:rFonts w:ascii="Arial" w:cs="Arial" w:eastAsia="Arial" w:hAnsi="Arial"/>
          <w:b/>
          <w:bCs/>
          <w:color w:val="2E6DA4"/>
          <w:sz w:val="26"/>
          <w:szCs w:val="26"/>
        </w:rPr>
        <w:t xml:space="preserve">8.5  Análisis de trabajo de cuidado no remunerado (Módulo K)</w:t>
      </w:r>
    </w:p>
    <w:p>
      <w:pPr>
        <w:spacing w:before="80" w:after="120"/>
        <w:jc w:val="both"/>
      </w:pPr>
      <w:r>
        <w:rPr>
          <w:rFonts w:ascii="Arial" w:cs="Arial" w:eastAsia="Arial" w:hAnsi="Arial"/>
          <w:b w:val="false"/>
          <w:bCs w:val="false"/>
          <w:i w:val="false"/>
          <w:iCs w:val="false"/>
          <w:color w:val="000000"/>
          <w:sz w:val="20"/>
          <w:szCs w:val="20"/>
        </w:rPr>
        <w:t xml:space="preserve">El módulo de Otras Formas de Trabajo (P3054–P3056) captura el trabajo doméstico no remunerado, el trabajo voluntario y el autoconsumo. Cuantificar el trabajo de cuidado es esencial para el análisis de género: en Colombia, las mujeres dedican en promedio 7 horas diarias más que los hombres al trabajo de cuidado no remunerado, lo que explica en gran parte su menor participación laboral.</w:t>
      </w:r>
    </w:p>
    <w:p>
      <w:pPr>
        <w:pStyle w:val="Heading2"/>
        <w:spacing w:before="320" w:after="160"/>
      </w:pPr>
      <w:r>
        <w:rPr>
          <w:rFonts w:ascii="Arial" w:cs="Arial" w:eastAsia="Arial" w:hAnsi="Arial"/>
          <w:b/>
          <w:bCs/>
          <w:color w:val="2E6DA4"/>
          <w:sz w:val="26"/>
          <w:szCs w:val="26"/>
        </w:rPr>
        <w:t xml:space="preserve">8.6  Análisis de micronegocios (Módulo de Micronegocios)</w:t>
      </w:r>
    </w:p>
    <w:p>
      <w:pPr>
        <w:spacing w:before="80" w:after="120"/>
        <w:jc w:val="both"/>
      </w:pPr>
      <w:r>
        <w:rPr>
          <w:rFonts w:ascii="Arial" w:cs="Arial" w:eastAsia="Arial" w:hAnsi="Arial"/>
          <w:b w:val="false"/>
          <w:bCs w:val="false"/>
          <w:i w:val="false"/>
          <w:iCs w:val="false"/>
          <w:color w:val="000000"/>
          <w:sz w:val="20"/>
          <w:szCs w:val="20"/>
        </w:rPr>
        <w:t xml:space="preserve">El módulo de micronegocios (disponible en la GEIH desde 2017) captura información sobre establecimientos de hasta 10 personas: tipo de actividad, acceso a crédito, uso de tecnología, formalidad tributaria y separación de cuentas. Para análisis de competitividad y financiamiento PYME, este módulo es de alto valor y raramente es explotado en análisis de mercado laboral.</w:t>
      </w:r>
    </w:p>
    <w:p>
      <w:pPr>
        <w:pStyle w:val="Heading2"/>
        <w:spacing w:before="320" w:after="160"/>
      </w:pPr>
      <w:r>
        <w:rPr>
          <w:rFonts w:ascii="Arial" w:cs="Arial" w:eastAsia="Arial" w:hAnsi="Arial"/>
          <w:b/>
          <w:bCs/>
          <w:color w:val="2E6DA4"/>
          <w:sz w:val="26"/>
          <w:szCs w:val="26"/>
        </w:rPr>
        <w:t xml:space="preserve">8.7  Análisis de disponibilidad para trabajar (P6280, P6300, P6310)</w:t>
      </w:r>
    </w:p>
    <w:p>
      <w:pPr>
        <w:spacing w:before="80" w:after="120"/>
        <w:jc w:val="both"/>
      </w:pPr>
      <w:r>
        <w:rPr>
          <w:rFonts w:ascii="Arial" w:cs="Arial" w:eastAsia="Arial" w:hAnsi="Arial"/>
          <w:b w:val="false"/>
          <w:bCs w:val="false"/>
          <w:i w:val="false"/>
          <w:iCs w:val="false"/>
          <w:color w:val="000000"/>
          <w:sz w:val="20"/>
          <w:szCs w:val="20"/>
        </w:rPr>
        <w:t xml:space="preserve">Entre la población fuera de la fuerza de trabajo existe un subgrupo que desearía trabajar pero no busca activamente: los "desanimados" (P6300=1: desea conseguir un trabajo). Este grupo no se cuenta en el desempleo oficial pero representa capacidad laboral latente. En periodos de crecimiento económico, los desanimados son los primeros en re-ingresar al mercado, moderando presiones salariales.</w:t>
      </w:r>
    </w:p>
    <w:p>
      <w:pPr>
        <w:pStyle w:val="Heading2"/>
        <w:spacing w:before="320" w:after="160"/>
      </w:pPr>
      <w:r>
        <w:rPr>
          <w:rFonts w:ascii="Arial" w:cs="Arial" w:eastAsia="Arial" w:hAnsi="Arial"/>
          <w:b/>
          <w:bCs/>
          <w:color w:val="2E6DA4"/>
          <w:sz w:val="26"/>
          <w:szCs w:val="26"/>
        </w:rPr>
        <w:t xml:space="preserve">8.8  Panel de seguimiento urbano-rural por rama y departamento</w:t>
      </w:r>
    </w:p>
    <w:p>
      <w:pPr>
        <w:spacing w:before="80" w:after="120"/>
        <w:jc w:val="both"/>
      </w:pPr>
      <w:r>
        <w:rPr>
          <w:rFonts w:ascii="Arial" w:cs="Arial" w:eastAsia="Arial" w:hAnsi="Arial"/>
          <w:b w:val="false"/>
          <w:bCs w:val="false"/>
          <w:i w:val="false"/>
          <w:iCs w:val="false"/>
          <w:color w:val="000000"/>
          <w:sz w:val="20"/>
          <w:szCs w:val="20"/>
        </w:rPr>
        <w:t xml:space="preserve">Combinar simultáneamente CLASE (urbano/rural), DPTO y RAMA permite construir un mapa de la estructura productiva a nivel subnacional con detalles sobre el tipo de empleo (formal/informal, asalariado/cuenta propia) en cada combinación. Es el insumo más directo para análisis de encadenamientos productivos regionales y oportunidades de inversión en zonas específicas.</w:t>
      </w:r>
    </w:p>
    <w:p>
      <w:pPr>
        <w:pStyle w:val="Heading2"/>
        <w:spacing w:before="320" w:after="160"/>
      </w:pPr>
      <w:r>
        <w:rPr>
          <w:rFonts w:ascii="Arial" w:cs="Arial" w:eastAsia="Arial" w:hAnsi="Arial"/>
          <w:b/>
          <w:bCs/>
          <w:color w:val="2E6DA4"/>
          <w:sz w:val="26"/>
          <w:szCs w:val="26"/>
        </w:rPr>
        <w:t xml:space="preserve">8.9  Análisis étnico-racial cruzado con educación e ingreso (P6080)</w:t>
      </w:r>
    </w:p>
    <w:p>
      <w:pPr>
        <w:spacing w:before="80" w:after="120"/>
        <w:jc w:val="both"/>
      </w:pPr>
      <w:r>
        <w:rPr>
          <w:rFonts w:ascii="Arial" w:cs="Arial" w:eastAsia="Arial" w:hAnsi="Arial"/>
          <w:b w:val="false"/>
          <w:bCs w:val="false"/>
          <w:i w:val="false"/>
          <w:iCs w:val="false"/>
          <w:color w:val="000000"/>
          <w:sz w:val="20"/>
          <w:szCs w:val="20"/>
        </w:rPr>
        <w:t xml:space="preserve">La variable P6080 (autorreconocimiento étnico-racial) permite cuantificar brechas de acceso al mercado laboral y de ingreso entre grupos: indígenas, afrocolombianos y la población sin pertenencia étnica. Cruzada con educación e ingreso, revela si las brechas son principalmente por diferencias en capital humano o si hay evidencia de discriminación residual en el mercado laboral. Dato de diciembre 2025: TD afrocolombianos = 11.0% vs TD población sin grupo étnico = 8.8%.</w:t>
      </w:r>
    </w:p>
    <w:p>
      <w:pPr>
        <w:pStyle w:val="Heading2"/>
        <w:spacing w:before="320" w:after="160"/>
      </w:pPr>
      <w:r>
        <w:rPr>
          <w:rFonts w:ascii="Arial" w:cs="Arial" w:eastAsia="Arial" w:hAnsi="Arial"/>
          <w:b/>
          <w:bCs/>
          <w:color w:val="2E6DA4"/>
          <w:sz w:val="26"/>
          <w:szCs w:val="26"/>
        </w:rPr>
        <w:t xml:space="preserve">8.10  Series históricas multi-año</w:t>
      </w:r>
    </w:p>
    <w:p>
      <w:pPr>
        <w:spacing w:before="80" w:after="120"/>
        <w:jc w:val="both"/>
      </w:pPr>
      <w:r>
        <w:rPr>
          <w:rFonts w:ascii="Arial" w:cs="Arial" w:eastAsia="Arial" w:hAnsi="Arial"/>
          <w:b w:val="false"/>
          <w:bCs w:val="false"/>
          <w:i w:val="false"/>
          <w:iCs w:val="false"/>
          <w:color w:val="000000"/>
          <w:sz w:val="20"/>
          <w:szCs w:val="20"/>
        </w:rPr>
        <w:t xml:space="preserve">El notebook actual cubre solo 2025. La misma estructura metodológica puede aplicarse a los años 2018–2024 (disponibles en el DANE) para construir series de tiempo que permitan:</w:t>
      </w:r>
    </w:p>
    <w:p>
      <w:pPr>
        <w:pStyle w:val="ListParagraph"/>
        <w:numPr>
          <w:ilvl w:val="0"/>
          <w:numId w:val="3"/>
        </w:numPr>
        <w:spacing w:before="40" w:after="60"/>
      </w:pPr>
      <w:r>
        <w:rPr>
          <w:rFonts w:ascii="Arial" w:cs="Arial" w:eastAsia="Arial" w:hAnsi="Arial"/>
          <w:sz w:val="20"/>
          <w:szCs w:val="20"/>
        </w:rPr>
        <w:t xml:space="preserve">Medir el impacto del COVID-19 en el mercado laboral (2020–2021).</w:t>
      </w:r>
    </w:p>
    <w:p>
      <w:pPr>
        <w:pStyle w:val="ListParagraph"/>
        <w:numPr>
          <w:ilvl w:val="0"/>
          <w:numId w:val="3"/>
        </w:numPr>
        <w:spacing w:before="40" w:after="60"/>
      </w:pPr>
      <w:r>
        <w:rPr>
          <w:rFonts w:ascii="Arial" w:cs="Arial" w:eastAsia="Arial" w:hAnsi="Arial"/>
          <w:sz w:val="20"/>
          <w:szCs w:val="20"/>
        </w:rPr>
        <w:t xml:space="preserve">Rastrear la recuperación por sector y departamento (2022–2024).</w:t>
      </w:r>
    </w:p>
    <w:p>
      <w:pPr>
        <w:pStyle w:val="ListParagraph"/>
        <w:numPr>
          <w:ilvl w:val="0"/>
          <w:numId w:val="3"/>
        </w:numPr>
        <w:spacing w:before="40" w:after="60"/>
      </w:pPr>
      <w:r>
        <w:rPr>
          <w:rFonts w:ascii="Arial" w:cs="Arial" w:eastAsia="Arial" w:hAnsi="Arial"/>
          <w:sz w:val="20"/>
          <w:szCs w:val="20"/>
        </w:rPr>
        <w:t xml:space="preserve">Evaluar tendencias de largo plazo en formalización, brechas de género y retornos a la educación.</w:t>
      </w:r>
    </w:p>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09</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Glosario de Términos y Variables Clave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 / Variable</w:t>
            </w:r>
          </w:p>
        </w:tc>
        <w:tc>
          <w:tcPr>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FEX_C18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Factor de Expansión Marco 2018. Peso estadístico mensual de cada registro. Rango: 9.3 a 12,062 personas. Fuente: Módulo Características generales.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OCI</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Ocupado (=1). Persona que trabajó al menos 1 hora remunerada la semana de referencia. Fuente: Módulo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DSI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Desocupado (=1). Sin empleo, buscó trabajo en las últimas 4 semanas y está disponible. Fuente: Módulo No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FT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Fuerza de Trabajo / PEA (=1). OCI + DSI. Fuente: Módulo Fuerza de trabajo.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FFT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Fuera de la Fuerza de Trabajo (=1). Inactivos. Fuente: Módulo No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PET</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Población en Edad de Trabajar (=1). Personas de 10+ años. Fuente: Módulo Fuerza de trabajo.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INGLABO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Ingreso laboral mensual en COP. Incluye especie. 0 = solo especie / sin remuneración. Fuente: Módulo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RAMA2D_R4</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Código CIIU Rev.4 a 2 dígitos (División). Tipo: string, zfill(2). Fuente: Módulo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RAMA4D_R4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Código CIIU Rev.4 a 4 dígitos (Grupo). Tipo: string, zfill(4). Fuente: Módulo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P3271</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Sexo al nacer. 1=Hombre, 2=Mujer. Fuente: Módulo Características generales.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P6040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Edad en años cumplidos. Continua, rango 0–99. Fuente: Módulo Características generales.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P3042</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Nivel educativo máximo alcanzado. 1=Ninguno … 13=Doctorado. 99=No informa. Fuente: Módulo Características generales.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P6430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Posición ocupacional. 1=Obrero privado, 2=Obrero gobierno, 3=Doméstico, 4=Cuenta propia, 5=Patrón, 6=Familiar s/rem., 8=Jornalero. Fuente: Módulo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P6800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Horas normales semanales en el empleo principal. Continua, 1–126. Fuente: Módulo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P6850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Horas realmente trabajadas la semana pasada. Continua. Fuente: Módulo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P6920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Cotiza actualmente a pensión. 1=Sí, 2=No, 3=Ya pensionado. Fuente: Módulo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P6090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Está afiliado al sistema de salud. 1=Sí, 2=No. Fuente: Módulo Características generales.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P9450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Afiliado a caja de compensación familiar. 1=Sí, 2=No. Fuente: Módulo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P3069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Tamaño de la empresa donde trabaja. 1=Solo … 10=201+ personas. Fuente: Módulo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P6880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Lugar donde realiza el trabajo. 1=En vivienda, 7=Local fijo/oficina/fábrica, etc. Fuente: Módulo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P7130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Desea cambiar el trabajo actual. 1=Sí, 2=No. Proxy de subempleo subjetivo. Fuente: Módulo Ocupados.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P7250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Semanas buscando empleo (desocupados). Continua. Fuente: Módulo No ocupados.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P6240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Actividad semana pasada. 1=Trabajando, 2=Buscando, 3=Estudiando, 4=Hogar, 5=Incapacitado, 6=Otra. Fuente: Módulo Fuerza de trabajo.</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P6080</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Autorreconocimiento étnico-racial. 1=Indígena, 3=Raizal, 4=Palenquero, 5=Negro/Afrocolombiano, 6=Ninguno. Fuente: Módulo Características generales.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CLASE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Zona geográfica. 1=Urbano (cabecera), 2=Rural (centros poblados y disperso). Fuente: Múltiples módulos.</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DPTO</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Código DIVIPOLA de departamento. String de 2 dígitos con cero a la izquierda. Fuente: Múltiples módulos.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MES_NUM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Número de mes. 1=Enero … 12=Diciembre. Variable agregada en el loop de consolidación (no existe en los CSV del DANE).</w:t>
            </w:r>
          </w:p>
        </w:tc>
      </w:tr>
      <w:tr>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left"/>
            </w:pPr>
            <w:r>
              <w:rPr>
                <w:rFonts w:ascii="Arial" w:cs="Arial" w:eastAsia="Arial" w:hAnsi="Arial"/>
                <w:sz w:val="18"/>
                <w:szCs w:val="18"/>
              </w:rPr>
              <w:t xml:space="preserve">SMMLV 2025</w:t>
            </w:r>
          </w:p>
        </w:tc>
        <w:tc>
          <w:tcPr>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vAlign w:val="center"/>
          </w:tcPr>
          <w:p>
            <w:pPr>
              <w:jc w:val="center"/>
            </w:pPr>
            <w:r>
              <w:rPr>
                <w:rFonts w:ascii="Arial" w:cs="Arial" w:eastAsia="Arial" w:hAnsi="Arial"/>
                <w:sz w:val="18"/>
                <w:szCs w:val="18"/>
              </w:rPr>
              <w:t xml:space="preserve">$1,423,500 COP mensuales. Base para expresar ingresos en múltiplos comparables entre sectores y regiones.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Carga prestacional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~54% sobre el salario base. Incluye: pensión 12%, salud 8.5%, parafiscales 9%, cesantías 8.33%, intereses 1%, prima 8.33%, vacaciones 4.17%, riesgos profesionales variable.</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8B1A4A"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10</w:t>
            </w:r>
          </w:p>
        </w:tc>
        <w:tc>
          <w:tcPr>
            <w:tcW w:type="dxa" w:w="8160"/>
            <w:tcBorders>
              <w:top w:val="none"/>
              <w:left w:val="none"/>
              <w:bottom w:val="none"/>
              <w:right w:val="none"/>
            </w:tcBorders>
            <w:shd w:fill="D6E4F0" w:val="clear"/>
            <w:tcMar>
              <w:top w:type="dxa" w:w="100"/>
              <w:left w:type="dxa" w:w="200"/>
              <w:bottom w:type="dxa" w:w="100"/>
              <w:right w:type="dxa" w:w="150"/>
            </w:tcMar>
            <w:vAlign w:val="center"/>
          </w:tcPr>
          <w:p>
            <w:r>
              <w:rPr>
                <w:rFonts w:ascii="Arial" w:cs="Arial" w:eastAsia="Arial" w:hAnsi="Arial"/>
                <w:b/>
                <w:bCs/>
                <w:color w:val="2E6DA4"/>
                <w:sz w:val="24"/>
                <w:szCs w:val="24"/>
              </w:rPr>
              <w:t xml:space="preserve">Referencias y Fuentes</w:t>
            </w:r>
          </w:p>
        </w:tc>
      </w:tr>
    </w:tbl>
    <w:p>
      <w:pPr>
        <w:spacing w:before="0" w:after="120"/>
      </w:pPr>
      <w:r>
        <w:t xml:space="preserve"/>
      </w:r>
    </w:p>
    <w:p>
      <w:pPr>
        <w:pStyle w:val="Heading2"/>
        <w:spacing w:before="320" w:after="160"/>
      </w:pPr>
      <w:r>
        <w:rPr>
          <w:rFonts w:ascii="Arial" w:cs="Arial" w:eastAsia="Arial" w:hAnsi="Arial"/>
          <w:b/>
          <w:bCs/>
          <w:color w:val="2E6DA4"/>
          <w:sz w:val="26"/>
          <w:szCs w:val="26"/>
        </w:rPr>
        <w:t xml:space="preserve">10.1  Documentación oficial del DANE</w:t>
      </w:r>
    </w:p>
    <w:p>
      <w:pPr>
        <w:pStyle w:val="ListParagraph"/>
        <w:numPr>
          <w:ilvl w:val="0"/>
          <w:numId w:val="3"/>
        </w:numPr>
        <w:spacing w:before="40" w:after="60"/>
      </w:pPr>
      <w:r>
        <w:rPr>
          <w:rFonts w:ascii="Arial" w:cs="Arial" w:eastAsia="Arial" w:hAnsi="Arial"/>
          <w:sz w:val="20"/>
          <w:szCs w:val="20"/>
        </w:rPr>
        <w:t xml:space="preserve">DANE (2025). Gran Encuesta Integrada de Hogares — GEIH 2025. Boletín técnico Diciembre 2025. Bogotá: Departamento Administrativo Nacional de Estadística.</w:t>
      </w:r>
    </w:p>
    <w:p>
      <w:pPr>
        <w:pStyle w:val="ListParagraph"/>
        <w:numPr>
          <w:ilvl w:val="0"/>
          <w:numId w:val="3"/>
        </w:numPr>
        <w:spacing w:before="40" w:after="60"/>
      </w:pPr>
      <w:r>
        <w:rPr>
          <w:rFonts w:ascii="Arial" w:cs="Arial" w:eastAsia="Arial" w:hAnsi="Arial"/>
          <w:sz w:val="20"/>
          <w:szCs w:val="20"/>
        </w:rPr>
        <w:t xml:space="preserve">DANE (2025). Metodología GEIH Marco 2018. DDI Documentation Spanish. Documento ddi-documentation-spanish-853.</w:t>
      </w:r>
    </w:p>
    <w:p>
      <w:pPr>
        <w:pStyle w:val="ListParagraph"/>
        <w:numPr>
          <w:ilvl w:val="0"/>
          <w:numId w:val="3"/>
        </w:numPr>
        <w:spacing w:before="40" w:after="60"/>
      </w:pPr>
      <w:r>
        <w:rPr>
          <w:rFonts w:ascii="Arial" w:cs="Arial" w:eastAsia="Arial" w:hAnsi="Arial"/>
          <w:sz w:val="20"/>
          <w:szCs w:val="20"/>
        </w:rPr>
        <w:t xml:space="preserve">DANE (2025). Anexo estadístico GEIH — Serie histórica 2017–2025. Microdatos anonimizados. Disponibles en: dane.gov.co/geih-historicos.</w:t>
      </w:r>
    </w:p>
    <w:p>
      <w:pPr>
        <w:pStyle w:val="ListParagraph"/>
        <w:numPr>
          <w:ilvl w:val="0"/>
          <w:numId w:val="3"/>
        </w:numPr>
        <w:spacing w:before="40" w:after="60"/>
      </w:pPr>
      <w:r>
        <w:rPr>
          <w:rFonts w:ascii="Arial" w:cs="Arial" w:eastAsia="Arial" w:hAnsi="Arial"/>
          <w:sz w:val="20"/>
          <w:szCs w:val="20"/>
        </w:rPr>
        <w:t xml:space="preserve">DANE (2025). Guía para el acceso y uso de bases de datos anonimizadas GEIH. Marco Muestral 2018.</w:t>
      </w:r>
    </w:p>
    <w:p>
      <w:pPr>
        <w:pStyle w:val="Heading2"/>
        <w:spacing w:before="320" w:after="160"/>
      </w:pPr>
      <w:r>
        <w:rPr>
          <w:rFonts w:ascii="Arial" w:cs="Arial" w:eastAsia="Arial" w:hAnsi="Arial"/>
          <w:b/>
          <w:bCs/>
          <w:color w:val="2E6DA4"/>
          <w:sz w:val="26"/>
          <w:szCs w:val="26"/>
        </w:rPr>
        <w:t xml:space="preserve">10.2  Marco conceptual y metodológico</w:t>
      </w:r>
    </w:p>
    <w:p>
      <w:pPr>
        <w:pStyle w:val="ListParagraph"/>
        <w:numPr>
          <w:ilvl w:val="0"/>
          <w:numId w:val="3"/>
        </w:numPr>
        <w:spacing w:before="40" w:after="60"/>
      </w:pPr>
      <w:r>
        <w:rPr>
          <w:rFonts w:ascii="Arial" w:cs="Arial" w:eastAsia="Arial" w:hAnsi="Arial"/>
          <w:sz w:val="20"/>
          <w:szCs w:val="20"/>
        </w:rPr>
        <w:t xml:space="preserve">OIT — Organización Internacional del Trabajo (2013). Resolución I sobre las estadísticas del trabajo, la ocupación y la subutilización de la fuerza de trabajo. 19.ª Conferencia Internacional de Estadísticos del Trabajo (CIET). Ginebra.</w:t>
      </w:r>
    </w:p>
    <w:p>
      <w:pPr>
        <w:pStyle w:val="ListParagraph"/>
        <w:numPr>
          <w:ilvl w:val="0"/>
          <w:numId w:val="3"/>
        </w:numPr>
        <w:spacing w:before="40" w:after="60"/>
      </w:pPr>
      <w:r>
        <w:rPr>
          <w:rFonts w:ascii="Arial" w:cs="Arial" w:eastAsia="Arial" w:hAnsi="Arial"/>
          <w:sz w:val="20"/>
          <w:szCs w:val="20"/>
        </w:rPr>
        <w:t xml:space="preserve">Mincer, J. (1974). Schooling, Experience and Earnings. Columbia University Press. Base teórica del Módulo C de retorno a la educación.</w:t>
      </w:r>
    </w:p>
    <w:p>
      <w:pPr>
        <w:pStyle w:val="ListParagraph"/>
        <w:numPr>
          <w:ilvl w:val="0"/>
          <w:numId w:val="3"/>
        </w:numPr>
        <w:spacing w:before="40" w:after="60"/>
      </w:pPr>
      <w:r>
        <w:rPr>
          <w:rFonts w:ascii="Arial" w:cs="Arial" w:eastAsia="Arial" w:hAnsi="Arial"/>
          <w:sz w:val="20"/>
          <w:szCs w:val="20"/>
        </w:rPr>
        <w:t xml:space="preserve">Lorenz, M.O. (1905). Methods of measuring the concentration of wealth. Publications of the American Statistical Association, 9(70), 209–219. Base del Módulo 5 (Curva de Lorenz y Gini).</w:t>
      </w:r>
    </w:p>
    <w:p>
      <w:pPr>
        <w:pStyle w:val="Heading2"/>
        <w:spacing w:before="320" w:after="160"/>
      </w:pPr>
      <w:r>
        <w:rPr>
          <w:rFonts w:ascii="Arial" w:cs="Arial" w:eastAsia="Arial" w:hAnsi="Arial"/>
          <w:b/>
          <w:bCs/>
          <w:color w:val="2E6DA4"/>
          <w:sz w:val="26"/>
          <w:szCs w:val="26"/>
        </w:rPr>
        <w:t xml:space="preserve">10.3  Clasificaciones y correlativas</w:t>
      </w:r>
    </w:p>
    <w:p>
      <w:pPr>
        <w:pStyle w:val="ListParagraph"/>
        <w:numPr>
          <w:ilvl w:val="0"/>
          <w:numId w:val="3"/>
        </w:numPr>
        <w:spacing w:before="40" w:after="60"/>
      </w:pPr>
      <w:r>
        <w:rPr>
          <w:rFonts w:ascii="Arial" w:cs="Arial" w:eastAsia="Arial" w:hAnsi="Arial"/>
          <w:sz w:val="20"/>
          <w:szCs w:val="20"/>
        </w:rPr>
        <w:t xml:space="preserve">DANE (2022). Clasificación Industrial Internacional Uniforme de Todas las Actividades Económicas — CIIU Rev.4 Adaptada para Colombia. Bogotá.</w:t>
      </w:r>
    </w:p>
    <w:p>
      <w:pPr>
        <w:pStyle w:val="ListParagraph"/>
        <w:numPr>
          <w:ilvl w:val="0"/>
          <w:numId w:val="3"/>
        </w:numPr>
        <w:spacing w:before="40" w:after="60"/>
      </w:pPr>
      <w:r>
        <w:rPr>
          <w:rFonts w:ascii="Arial" w:cs="Arial" w:eastAsia="Arial" w:hAnsi="Arial"/>
          <w:sz w:val="20"/>
          <w:szCs w:val="20"/>
        </w:rPr>
        <w:t xml:space="preserve">DANE (2018). Directorio de Divisiones Político-Administrativas de Colombia — DIVIPOLA. Versión posterior al Censo 2018.</w:t>
      </w:r>
    </w:p>
    <w:p>
      <w:pPr>
        <w:pStyle w:val="Heading2"/>
        <w:spacing w:before="320" w:after="160"/>
      </w:pPr>
      <w:r>
        <w:rPr>
          <w:rFonts w:ascii="Arial" w:cs="Arial" w:eastAsia="Arial" w:hAnsi="Arial"/>
          <w:b/>
          <w:bCs/>
          <w:color w:val="2E6DA4"/>
          <w:sz w:val="26"/>
          <w:szCs w:val="26"/>
        </w:rPr>
        <w:t xml:space="preserve">10.4  Bases de datos y herramientas</w:t>
      </w:r>
    </w:p>
    <w:p>
      <w:pPr>
        <w:pStyle w:val="ListParagraph"/>
        <w:numPr>
          <w:ilvl w:val="0"/>
          <w:numId w:val="3"/>
        </w:numPr>
        <w:spacing w:before="40" w:after="60"/>
      </w:pPr>
      <w:r>
        <w:rPr>
          <w:rFonts w:ascii="Arial" w:cs="Arial" w:eastAsia="Arial" w:hAnsi="Arial"/>
          <w:sz w:val="20"/>
          <w:szCs w:val="20"/>
        </w:rPr>
        <w:t xml:space="preserve">Base de datos: geih_2025_final — Consolidación propia ProColombia de los 12 meses de microdatos GEIH 2025 (Enero–Diciembre). Marco Muestral 2018.</w:t>
      </w:r>
    </w:p>
    <w:p>
      <w:pPr>
        <w:pStyle w:val="ListParagraph"/>
        <w:numPr>
          <w:ilvl w:val="0"/>
          <w:numId w:val="3"/>
        </w:numPr>
        <w:spacing w:before="40" w:after="60"/>
      </w:pPr>
      <w:r>
        <w:rPr>
          <w:rFonts w:ascii="Arial" w:cs="Arial" w:eastAsia="Arial" w:hAnsi="Arial"/>
          <w:sz w:val="20"/>
          <w:szCs w:val="20"/>
        </w:rPr>
        <w:t xml:space="preserve">Entorno de análisis: Google Colab (Python 3.12). Librerías: pandas 2.x, numpy 1.26, matplotlib 3.8, plotly 5.x.</w:t>
      </w:r>
    </w:p>
    <w:p>
      <w:pPr>
        <w:pStyle w:val="ListParagraph"/>
        <w:numPr>
          <w:ilvl w:val="0"/>
          <w:numId w:val="3"/>
        </w:numPr>
        <w:spacing w:before="40" w:after="60"/>
      </w:pPr>
      <w:r>
        <w:rPr>
          <w:rFonts w:ascii="Arial" w:cs="Arial" w:eastAsia="Arial" w:hAnsi="Arial"/>
          <w:sz w:val="20"/>
          <w:szCs w:val="20"/>
        </w:rPr>
        <w:t xml:space="preserve">Correlativa CIIU: archivo "2025-01-14 Correlativa CIIU Rev4 - Cadenas ProColombia.xlsx", Gerencia de Inteligencia Comercial, ProColombia.</w:t>
      </w:r>
    </w:p>
    <w:p>
      <w:pPr>
        <w:spacing w:before="0" w:after="240"/>
      </w:pPr>
      <w:r>
        <w:t xml:space="preserve"/>
      </w:r>
    </w:p>
    <w:p>
      <w:pPr>
        <w:pBdr>
          <w:bottom w:val="single" w:color="8B1A4A" w:sz="6" w:space="1"/>
        </w:pBdr>
        <w:spacing w:before="200" w:after="200"/>
      </w:pPr>
      <w:r>
        <w:t xml:space="preserve"/>
      </w:r>
    </w:p>
    <w:p>
      <w:pPr>
        <w:spacing w:before="200" w:after="80"/>
        <w:jc w:val="center"/>
      </w:pPr>
      <w:r>
        <w:rPr>
          <w:rFonts w:ascii="Arial" w:cs="Arial" w:eastAsia="Arial" w:hAnsi="Arial"/>
          <w:b/>
          <w:bCs/>
          <w:color w:val="8B1A4A"/>
          <w:sz w:val="18"/>
          <w:szCs w:val="18"/>
        </w:rPr>
        <w:t xml:space="preserve">ProColombia · Gerencia de Inteligencia Comercial</w:t>
      </w:r>
    </w:p>
    <w:p>
      <w:pPr>
        <w:jc w:val="center"/>
      </w:pPr>
      <w:r>
        <w:rPr>
          <w:rFonts w:ascii="Arial" w:cs="Arial" w:eastAsia="Arial" w:hAnsi="Arial"/>
          <w:i/>
          <w:iCs/>
          <w:color w:val="5D6D7E"/>
          <w:sz w:val="16"/>
          <w:szCs w:val="16"/>
        </w:rPr>
        <w:t xml:space="preserve">Equipo de Analítica de Datos · Bogotá, Colombia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4A" w:sz="4" w:space="1"/>
      </w:pBdr>
      <w:jc w:val="center"/>
    </w:pPr>
    <w:r>
      <w:rPr>
        <w:rFonts w:ascii="Arial" w:cs="Arial" w:eastAsia="Arial" w:hAnsi="Arial"/>
        <w:color w:val="5D6D7E"/>
        <w:sz w:val="16"/>
        <w:szCs w:val="16"/>
      </w:rPr>
      <w:t xml:space="preserve">ProColombia · Gerencia de Inteligencia Comercial · 2025   |   Página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4A" w:sz="4" w:space="1"/>
      </w:pBdr>
      <w:jc w:val="right"/>
    </w:pPr>
    <w:r>
      <w:rPr>
        <w:rFonts w:ascii="Arial" w:cs="Arial" w:eastAsia="Arial" w:hAnsi="Arial"/>
        <w:color w:val="5D6D7E"/>
        <w:sz w:val="16"/>
        <w:szCs w:val="16"/>
      </w:rPr>
      <w:t xml:space="preserve">Guía Académica GEIH 2025 · ProColombia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8B1A4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6DA4"/>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2026-03-26T00:29:52.312Z</dcterms:created>
  <dcterms:modified xsi:type="dcterms:W3CDTF">2026-03-26T00:29:52.313Z</dcterms:modified>
</cp:coreProperties>
</file>

<file path=docProps/custom.xml><?xml version="1.0" encoding="utf-8"?>
<Properties xmlns="http://schemas.openxmlformats.org/officeDocument/2006/custom-properties" xmlns:vt="http://schemas.openxmlformats.org/officeDocument/2006/docPropsVTypes"/>
</file>