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6128FE" w14:textId="4ABAF724" w:rsidR="00091BCE" w:rsidRDefault="00BA567D">
      <w:r>
        <w:rPr>
          <w:rFonts w:ascii="Century Gothic" w:hAnsi="Century Gothic"/>
          <w:b/>
          <w:bCs/>
          <w:noProof/>
        </w:rPr>
        <mc:AlternateContent>
          <mc:Choice Requires="wps">
            <w:drawing>
              <wp:anchor distT="0" distB="0" distL="114300" distR="114300" simplePos="0" relativeHeight="251659264" behindDoc="0" locked="0" layoutInCell="1" allowOverlap="1" wp14:anchorId="01A7F3C7" wp14:editId="66C62590">
                <wp:simplePos x="0" y="0"/>
                <wp:positionH relativeFrom="column">
                  <wp:posOffset>-1184910</wp:posOffset>
                </wp:positionH>
                <wp:positionV relativeFrom="paragraph">
                  <wp:posOffset>33654</wp:posOffset>
                </wp:positionV>
                <wp:extent cx="8140700" cy="904875"/>
                <wp:effectExtent l="0" t="0" r="0" b="0"/>
                <wp:wrapNone/>
                <wp:docPr id="1570220250" name="Rectangle 2"/>
                <wp:cNvGraphicFramePr/>
                <a:graphic xmlns:a="http://schemas.openxmlformats.org/drawingml/2006/main">
                  <a:graphicData uri="http://schemas.microsoft.com/office/word/2010/wordprocessingShape">
                    <wps:wsp>
                      <wps:cNvSpPr/>
                      <wps:spPr>
                        <a:xfrm>
                          <a:off x="0" y="0"/>
                          <a:ext cx="8140700" cy="904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1DE1E90" w14:textId="77777777" w:rsidR="000C584F" w:rsidRDefault="00C3702D" w:rsidP="005416C0">
                            <w:pPr>
                              <w:spacing w:after="0" w:line="240" w:lineRule="auto"/>
                              <w:ind w:left="1418"/>
                              <w:rPr>
                                <w:rFonts w:ascii="Century Gothic" w:hAnsi="Century Gothic"/>
                                <w:b/>
                                <w:bCs/>
                                <w:color w:val="0F265F" w:themeColor="accent1" w:themeShade="80"/>
                                <w:sz w:val="36"/>
                                <w:szCs w:val="36"/>
                              </w:rPr>
                            </w:pPr>
                            <w:r w:rsidRPr="00C3702D">
                              <w:rPr>
                                <w:rFonts w:ascii="Century Gothic" w:hAnsi="Century Gothic"/>
                                <w:b/>
                                <w:bCs/>
                                <w:color w:val="0F265F" w:themeColor="accent1" w:themeShade="80"/>
                                <w:sz w:val="36"/>
                                <w:szCs w:val="36"/>
                              </w:rPr>
                              <w:t>Herramienta de Segmentación para Exportaciones</w:t>
                            </w:r>
                          </w:p>
                          <w:p w14:paraId="462A40DB" w14:textId="16772000" w:rsidR="00BA567D" w:rsidRPr="008610C5" w:rsidRDefault="00BA567D" w:rsidP="005416C0">
                            <w:pPr>
                              <w:spacing w:after="0" w:line="240" w:lineRule="auto"/>
                              <w:ind w:left="1418"/>
                              <w:rPr>
                                <w:rFonts w:ascii="Century Gothic" w:hAnsi="Century Gothic"/>
                                <w:b/>
                                <w:bCs/>
                                <w:color w:val="0F265F" w:themeColor="accent1" w:themeShade="80"/>
                                <w:sz w:val="36"/>
                                <w:szCs w:val="36"/>
                              </w:rPr>
                            </w:pPr>
                            <w:r>
                              <w:rPr>
                                <w:rFonts w:ascii="Century Gothic" w:hAnsi="Century Gothic"/>
                                <w:b/>
                                <w:bCs/>
                                <w:color w:val="0F265F" w:themeColor="accent1" w:themeShade="80"/>
                                <w:sz w:val="36"/>
                                <w:szCs w:val="36"/>
                              </w:rPr>
                              <w:t>Glosario</w:t>
                            </w:r>
                          </w:p>
                          <w:p w14:paraId="5E06ECE5" w14:textId="77777777" w:rsidR="00BA567D" w:rsidRPr="008610C5" w:rsidRDefault="00BA567D" w:rsidP="00BA567D">
                            <w:pPr>
                              <w:spacing w:after="0" w:line="240" w:lineRule="auto"/>
                              <w:ind w:left="1418"/>
                              <w:rPr>
                                <w:color w:val="1F4DBE" w:themeColor="accent1"/>
                                <w:sz w:val="20"/>
                                <w:szCs w:val="20"/>
                              </w:rPr>
                            </w:pPr>
                            <w:r w:rsidRPr="008610C5">
                              <w:rPr>
                                <w:rFonts w:ascii="Century Gothic" w:hAnsi="Century Gothic"/>
                                <w:color w:val="1F4DBE" w:themeColor="accent1"/>
                                <w:sz w:val="20"/>
                                <w:szCs w:val="20"/>
                              </w:rPr>
                              <w:t>Coordinación de Analítica – Gerencia de Inteligencia Com</w:t>
                            </w:r>
                            <w:r>
                              <w:rPr>
                                <w:rFonts w:ascii="Century Gothic" w:hAnsi="Century Gothic"/>
                                <w:color w:val="1F4DBE" w:themeColor="accent1"/>
                                <w:sz w:val="20"/>
                                <w:szCs w:val="20"/>
                              </w:rPr>
                              <w:t>e</w:t>
                            </w:r>
                            <w:r w:rsidRPr="008610C5">
                              <w:rPr>
                                <w:rFonts w:ascii="Century Gothic" w:hAnsi="Century Gothic"/>
                                <w:color w:val="1F4DBE" w:themeColor="accent1"/>
                                <w:sz w:val="20"/>
                                <w:szCs w:val="20"/>
                              </w:rPr>
                              <w:t>rcial GIC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A7F3C7" id="Rectangle 2" o:spid="_x0000_s1026" style="position:absolute;margin-left:-93.3pt;margin-top:2.65pt;width:641pt;height:7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" filled="f" stroked="f" strokeweight="1pt">
                <v:textbox>
                  <w:txbxContent>
                    <w:p w14:paraId="31DE1E90" w14:textId="77777777" w:rsidR="000C584F" w:rsidRDefault="00C3702D" w:rsidP="005416C0">
                      <w:pPr>
                        <w:spacing w:after="0" w:line="240" w:lineRule="auto"/>
                        <w:ind w:left="1418"/>
                        <w:rPr>
                          <w:rFonts w:ascii="Century Gothic" w:hAnsi="Century Gothic"/>
                          <w:b/>
                          <w:bCs/>
                          <w:color w:val="0F265F" w:themeColor="accent1" w:themeShade="80"/>
                          <w:sz w:val="36"/>
                          <w:szCs w:val="36"/>
                        </w:rPr>
                      </w:pPr>
                      <w:r w:rsidRPr="00C3702D">
                        <w:rPr>
                          <w:rFonts w:ascii="Century Gothic" w:hAnsi="Century Gothic"/>
                          <w:b/>
                          <w:bCs/>
                          <w:color w:val="0F265F" w:themeColor="accent1" w:themeShade="80"/>
                          <w:sz w:val="36"/>
                          <w:szCs w:val="36"/>
                        </w:rPr>
                        <w:t>Herramienta de Segmentación para Exportaciones</w:t>
                      </w:r>
                    </w:p>
                    <w:p w14:paraId="462A40DB" w14:textId="16772000" w:rsidR="00BA567D" w:rsidRPr="008610C5" w:rsidRDefault="00BA567D" w:rsidP="005416C0">
                      <w:pPr>
                        <w:spacing w:after="0" w:line="240" w:lineRule="auto"/>
                        <w:ind w:left="1418"/>
                        <w:rPr>
                          <w:rFonts w:ascii="Century Gothic" w:hAnsi="Century Gothic"/>
                          <w:b/>
                          <w:bCs/>
                          <w:color w:val="0F265F" w:themeColor="accent1" w:themeShade="80"/>
                          <w:sz w:val="36"/>
                          <w:szCs w:val="36"/>
                        </w:rPr>
                      </w:pPr>
                      <w:r>
                        <w:rPr>
                          <w:rFonts w:ascii="Century Gothic" w:hAnsi="Century Gothic"/>
                          <w:b/>
                          <w:bCs/>
                          <w:color w:val="0F265F" w:themeColor="accent1" w:themeShade="80"/>
                          <w:sz w:val="36"/>
                          <w:szCs w:val="36"/>
                        </w:rPr>
                        <w:t>Glosario</w:t>
                      </w:r>
                    </w:p>
                    <w:p w14:paraId="5E06ECE5" w14:textId="77777777" w:rsidR="00BA567D" w:rsidRPr="008610C5" w:rsidRDefault="00BA567D" w:rsidP="00BA567D">
                      <w:pPr>
                        <w:spacing w:after="0" w:line="240" w:lineRule="auto"/>
                        <w:ind w:left="1418"/>
                        <w:rPr>
                          <w:color w:val="1F4DBE" w:themeColor="accent1"/>
                          <w:sz w:val="20"/>
                          <w:szCs w:val="20"/>
                        </w:rPr>
                      </w:pPr>
                      <w:r w:rsidRPr="008610C5">
                        <w:rPr>
                          <w:rFonts w:ascii="Century Gothic" w:hAnsi="Century Gothic"/>
                          <w:color w:val="1F4DBE" w:themeColor="accent1"/>
                          <w:sz w:val="20"/>
                          <w:szCs w:val="20"/>
                        </w:rPr>
                        <w:t>Coordinación de Analítica – Gerencia de Inteligencia Com</w:t>
                      </w:r>
                      <w:r>
                        <w:rPr>
                          <w:rFonts w:ascii="Century Gothic" w:hAnsi="Century Gothic"/>
                          <w:color w:val="1F4DBE" w:themeColor="accent1"/>
                          <w:sz w:val="20"/>
                          <w:szCs w:val="20"/>
                        </w:rPr>
                        <w:t>e</w:t>
                      </w:r>
                      <w:r w:rsidRPr="008610C5">
                        <w:rPr>
                          <w:rFonts w:ascii="Century Gothic" w:hAnsi="Century Gothic"/>
                          <w:color w:val="1F4DBE" w:themeColor="accent1"/>
                          <w:sz w:val="20"/>
                          <w:szCs w:val="20"/>
                        </w:rPr>
                        <w:t>rcial GIC</w:t>
                      </w:r>
                    </w:p>
                  </w:txbxContent>
                </v:textbox>
              </v:rect>
            </w:pict>
          </mc:Fallback>
        </mc:AlternateContent>
      </w:r>
    </w:p>
    <w:p w14:paraId="636D3C18" w14:textId="77777777" w:rsidR="00091BCE" w:rsidRDefault="00091BCE"/>
    <w:p w14:paraId="0B0D44C4" w14:textId="77777777" w:rsidR="00091BCE" w:rsidRDefault="00091BCE"/>
    <w:p w14:paraId="5F14C45E" w14:textId="77777777" w:rsidR="00091BCE" w:rsidRDefault="00091BCE"/>
    <w:tbl>
      <w:tblPr>
        <w:tblW w:w="5000" w:type="pct"/>
        <w:tblCellMar>
          <w:left w:w="70" w:type="dxa"/>
          <w:right w:w="70" w:type="dxa"/>
        </w:tblCellMar>
        <w:tblLook w:val="04A0" w:firstRow="1" w:lastRow="0" w:firstColumn="1" w:lastColumn="0" w:noHBand="0" w:noVBand="1"/>
      </w:tblPr>
      <w:tblGrid>
        <w:gridCol w:w="1595"/>
        <w:gridCol w:w="5363"/>
        <w:gridCol w:w="1870"/>
      </w:tblGrid>
      <w:tr w:rsidR="00EE5D22" w:rsidRPr="00984DA8" w14:paraId="3E7AE309" w14:textId="77777777" w:rsidTr="00984DA8">
        <w:trPr>
          <w:cantSplit/>
          <w:trHeight w:val="567"/>
          <w:tblHeader/>
        </w:trPr>
        <w:tc>
          <w:tcPr>
            <w:tcW w:w="90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0D1DA4" w14:textId="77777777" w:rsidR="00EE5D22" w:rsidRPr="00984DA8" w:rsidRDefault="00EE5D22" w:rsidP="00EE5D22">
            <w:pPr>
              <w:spacing w:after="0" w:line="240" w:lineRule="auto"/>
              <w:rPr>
                <w:rFonts w:ascii="Century Gothic" w:eastAsia="Times New Roman" w:hAnsi="Century Gothic" w:cs="Calibri"/>
                <w:b/>
                <w:bCs/>
                <w:color w:val="000000"/>
                <w:kern w:val="0"/>
                <w:sz w:val="20"/>
                <w:szCs w:val="20"/>
                <w:lang w:eastAsia="es-CO"/>
                <w14:ligatures w14:val="none"/>
              </w:rPr>
            </w:pPr>
            <w:r w:rsidRPr="00984DA8">
              <w:rPr>
                <w:rFonts w:ascii="Century Gothic" w:eastAsia="Times New Roman" w:hAnsi="Century Gothic" w:cs="Calibri"/>
                <w:b/>
                <w:bCs/>
                <w:color w:val="000000"/>
                <w:kern w:val="0"/>
                <w:sz w:val="20"/>
                <w:szCs w:val="20"/>
                <w:lang w:eastAsia="es-CO"/>
                <w14:ligatures w14:val="none"/>
              </w:rPr>
              <w:t>Variable</w:t>
            </w:r>
          </w:p>
        </w:tc>
        <w:tc>
          <w:tcPr>
            <w:tcW w:w="3108" w:type="pct"/>
            <w:tcBorders>
              <w:top w:val="single" w:sz="4" w:space="0" w:color="auto"/>
              <w:left w:val="nil"/>
              <w:bottom w:val="single" w:sz="4" w:space="0" w:color="auto"/>
              <w:right w:val="single" w:sz="4" w:space="0" w:color="auto"/>
            </w:tcBorders>
            <w:shd w:val="clear" w:color="auto" w:fill="auto"/>
            <w:vAlign w:val="center"/>
            <w:hideMark/>
          </w:tcPr>
          <w:p w14:paraId="6C36E52E" w14:textId="77777777" w:rsidR="00EE5D22" w:rsidRPr="00984DA8" w:rsidRDefault="00EE5D22" w:rsidP="00EE5D22">
            <w:pPr>
              <w:spacing w:after="0" w:line="240" w:lineRule="auto"/>
              <w:rPr>
                <w:rFonts w:ascii="Century Gothic" w:eastAsia="Times New Roman" w:hAnsi="Century Gothic" w:cs="Calibri"/>
                <w:b/>
                <w:bCs/>
                <w:color w:val="000000"/>
                <w:kern w:val="0"/>
                <w:sz w:val="20"/>
                <w:szCs w:val="20"/>
                <w:lang w:eastAsia="es-CO"/>
                <w14:ligatures w14:val="none"/>
              </w:rPr>
            </w:pPr>
            <w:r w:rsidRPr="00984DA8">
              <w:rPr>
                <w:rFonts w:ascii="Century Gothic" w:eastAsia="Times New Roman" w:hAnsi="Century Gothic" w:cs="Calibri"/>
                <w:b/>
                <w:bCs/>
                <w:color w:val="000000"/>
                <w:kern w:val="0"/>
                <w:sz w:val="20"/>
                <w:szCs w:val="20"/>
                <w:lang w:eastAsia="es-CO"/>
                <w14:ligatures w14:val="none"/>
              </w:rPr>
              <w:t>Descripción</w:t>
            </w:r>
          </w:p>
        </w:tc>
        <w:tc>
          <w:tcPr>
            <w:tcW w:w="988" w:type="pct"/>
            <w:tcBorders>
              <w:top w:val="single" w:sz="4" w:space="0" w:color="auto"/>
              <w:left w:val="nil"/>
              <w:bottom w:val="single" w:sz="4" w:space="0" w:color="auto"/>
              <w:right w:val="single" w:sz="4" w:space="0" w:color="auto"/>
            </w:tcBorders>
            <w:shd w:val="clear" w:color="auto" w:fill="auto"/>
            <w:vAlign w:val="center"/>
            <w:hideMark/>
          </w:tcPr>
          <w:p w14:paraId="1103164B" w14:textId="77777777" w:rsidR="00EE5D22" w:rsidRPr="00984DA8" w:rsidRDefault="00EE5D22" w:rsidP="00EE5D22">
            <w:pPr>
              <w:spacing w:after="0" w:line="240" w:lineRule="auto"/>
              <w:rPr>
                <w:rFonts w:ascii="Century Gothic" w:eastAsia="Times New Roman" w:hAnsi="Century Gothic" w:cs="Calibri"/>
                <w:b/>
                <w:bCs/>
                <w:color w:val="000000"/>
                <w:kern w:val="0"/>
                <w:sz w:val="20"/>
                <w:szCs w:val="20"/>
                <w:lang w:eastAsia="es-CO"/>
                <w14:ligatures w14:val="none"/>
              </w:rPr>
            </w:pPr>
            <w:r w:rsidRPr="00984DA8">
              <w:rPr>
                <w:rFonts w:ascii="Century Gothic" w:eastAsia="Times New Roman" w:hAnsi="Century Gothic" w:cs="Calibri"/>
                <w:b/>
                <w:bCs/>
                <w:color w:val="000000"/>
                <w:kern w:val="0"/>
                <w:sz w:val="20"/>
                <w:szCs w:val="20"/>
                <w:lang w:eastAsia="es-CO"/>
                <w14:ligatures w14:val="none"/>
              </w:rPr>
              <w:t>Fuente</w:t>
            </w:r>
          </w:p>
        </w:tc>
      </w:tr>
      <w:tr w:rsidR="00EE5D22" w:rsidRPr="00984DA8" w14:paraId="1A5A652C"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0B64950F"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Antigüedad empresa</w:t>
            </w:r>
          </w:p>
        </w:tc>
        <w:tc>
          <w:tcPr>
            <w:tcW w:w="3108" w:type="pct"/>
            <w:tcBorders>
              <w:top w:val="nil"/>
              <w:left w:val="nil"/>
              <w:bottom w:val="single" w:sz="4" w:space="0" w:color="auto"/>
              <w:right w:val="single" w:sz="4" w:space="0" w:color="auto"/>
            </w:tcBorders>
            <w:shd w:val="clear" w:color="auto" w:fill="auto"/>
            <w:vAlign w:val="center"/>
            <w:hideMark/>
          </w:tcPr>
          <w:p w14:paraId="2CB70A30"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Años de antigüedad de la empresa a cierre del año 2022.</w:t>
            </w:r>
          </w:p>
        </w:tc>
        <w:tc>
          <w:tcPr>
            <w:tcW w:w="988" w:type="pct"/>
            <w:tcBorders>
              <w:top w:val="nil"/>
              <w:left w:val="nil"/>
              <w:bottom w:val="single" w:sz="4" w:space="0" w:color="auto"/>
              <w:right w:val="single" w:sz="4" w:space="0" w:color="auto"/>
            </w:tcBorders>
            <w:shd w:val="clear" w:color="auto" w:fill="auto"/>
            <w:vAlign w:val="center"/>
            <w:hideMark/>
          </w:tcPr>
          <w:p w14:paraId="050E8D96"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RUES y </w:t>
            </w:r>
            <w:proofErr w:type="spellStart"/>
            <w:r w:rsidRPr="00984DA8">
              <w:rPr>
                <w:rFonts w:ascii="Century Gothic" w:eastAsia="Times New Roman" w:hAnsi="Century Gothic" w:cs="Calibri"/>
                <w:color w:val="000000"/>
                <w:kern w:val="0"/>
                <w:sz w:val="20"/>
                <w:szCs w:val="20"/>
                <w:lang w:eastAsia="es-CO"/>
                <w14:ligatures w14:val="none"/>
              </w:rPr>
              <w:t>Supersociedades</w:t>
            </w:r>
            <w:proofErr w:type="spellEnd"/>
            <w:r w:rsidRPr="00984DA8">
              <w:rPr>
                <w:rFonts w:ascii="Century Gothic" w:eastAsia="Times New Roman" w:hAnsi="Century Gothic" w:cs="Calibri"/>
                <w:color w:val="000000"/>
                <w:kern w:val="0"/>
                <w:sz w:val="20"/>
                <w:szCs w:val="20"/>
                <w:lang w:eastAsia="es-CO"/>
                <w14:ligatures w14:val="none"/>
              </w:rPr>
              <w:t>.</w:t>
            </w:r>
          </w:p>
        </w:tc>
      </w:tr>
      <w:tr w:rsidR="00EE5D22" w:rsidRPr="00984DA8" w14:paraId="7F7BF64F"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18E80CDF"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Atendida por ProColombia</w:t>
            </w:r>
          </w:p>
        </w:tc>
        <w:tc>
          <w:tcPr>
            <w:tcW w:w="3108" w:type="pct"/>
            <w:tcBorders>
              <w:top w:val="nil"/>
              <w:left w:val="nil"/>
              <w:bottom w:val="single" w:sz="4" w:space="0" w:color="auto"/>
              <w:right w:val="single" w:sz="4" w:space="0" w:color="auto"/>
            </w:tcBorders>
            <w:shd w:val="clear" w:color="auto" w:fill="auto"/>
            <w:vAlign w:val="center"/>
            <w:hideMark/>
          </w:tcPr>
          <w:p w14:paraId="19429038"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Identifica las empresas que recibieron servicios de ProColombia o que tenían registradas oportunidades o negocios en el CRM de ProColombia en los últimos 3 años. </w:t>
            </w:r>
          </w:p>
        </w:tc>
        <w:tc>
          <w:tcPr>
            <w:tcW w:w="988" w:type="pct"/>
            <w:tcBorders>
              <w:top w:val="nil"/>
              <w:left w:val="nil"/>
              <w:bottom w:val="single" w:sz="4" w:space="0" w:color="auto"/>
              <w:right w:val="single" w:sz="4" w:space="0" w:color="auto"/>
            </w:tcBorders>
            <w:shd w:val="clear" w:color="auto" w:fill="auto"/>
            <w:vAlign w:val="center"/>
            <w:hideMark/>
          </w:tcPr>
          <w:p w14:paraId="29A37994"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CRM ProColombia.</w:t>
            </w:r>
          </w:p>
        </w:tc>
      </w:tr>
      <w:tr w:rsidR="00EE5D22" w:rsidRPr="00984DA8" w14:paraId="2FD60F07"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51A522D8"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Cadena segmentación</w:t>
            </w:r>
          </w:p>
        </w:tc>
        <w:tc>
          <w:tcPr>
            <w:tcW w:w="3108" w:type="pct"/>
            <w:tcBorders>
              <w:top w:val="nil"/>
              <w:left w:val="nil"/>
              <w:bottom w:val="single" w:sz="4" w:space="0" w:color="auto"/>
              <w:right w:val="single" w:sz="4" w:space="0" w:color="auto"/>
            </w:tcBorders>
            <w:shd w:val="clear" w:color="auto" w:fill="auto"/>
            <w:vAlign w:val="center"/>
            <w:hideMark/>
          </w:tcPr>
          <w:p w14:paraId="473692E8"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Para las empresas exportadoras, corresponde a la cadena productiva que más ha exportado la empresa en los últimos 10 años (2013-2022), según clasificación ProColombia. Para las empresas no exportadoras, corresponde a la cadena productiva asociada al CIIU principal de la empresa, según clasificación ProColombia.</w:t>
            </w:r>
          </w:p>
        </w:tc>
        <w:tc>
          <w:tcPr>
            <w:tcW w:w="988" w:type="pct"/>
            <w:tcBorders>
              <w:top w:val="nil"/>
              <w:left w:val="nil"/>
              <w:bottom w:val="single" w:sz="4" w:space="0" w:color="auto"/>
              <w:right w:val="single" w:sz="4" w:space="0" w:color="auto"/>
            </w:tcBorders>
            <w:shd w:val="clear" w:color="auto" w:fill="auto"/>
            <w:vAlign w:val="center"/>
            <w:hideMark/>
          </w:tcPr>
          <w:p w14:paraId="13AEB157"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Cálculos ProColombia.</w:t>
            </w:r>
          </w:p>
        </w:tc>
      </w:tr>
      <w:tr w:rsidR="00EE5D22" w:rsidRPr="00984DA8" w14:paraId="46B88332"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420B50C4"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Código CIIU </w:t>
            </w:r>
            <w:proofErr w:type="spellStart"/>
            <w:r w:rsidRPr="00984DA8">
              <w:rPr>
                <w:rFonts w:ascii="Century Gothic" w:eastAsia="Times New Roman" w:hAnsi="Century Gothic" w:cs="Calibri"/>
                <w:color w:val="000000"/>
                <w:kern w:val="0"/>
                <w:sz w:val="20"/>
                <w:szCs w:val="20"/>
                <w:lang w:eastAsia="es-CO"/>
                <w14:ligatures w14:val="none"/>
              </w:rPr>
              <w:t>Rev</w:t>
            </w:r>
            <w:proofErr w:type="spellEnd"/>
            <w:r w:rsidRPr="00984DA8">
              <w:rPr>
                <w:rFonts w:ascii="Century Gothic" w:eastAsia="Times New Roman" w:hAnsi="Century Gothic" w:cs="Calibri"/>
                <w:color w:val="000000"/>
                <w:kern w:val="0"/>
                <w:sz w:val="20"/>
                <w:szCs w:val="20"/>
                <w:lang w:eastAsia="es-CO"/>
                <w14:ligatures w14:val="none"/>
              </w:rPr>
              <w:t xml:space="preserve"> 4 - Actividad principal</w:t>
            </w:r>
          </w:p>
        </w:tc>
        <w:tc>
          <w:tcPr>
            <w:tcW w:w="3108" w:type="pct"/>
            <w:tcBorders>
              <w:top w:val="nil"/>
              <w:left w:val="nil"/>
              <w:bottom w:val="single" w:sz="4" w:space="0" w:color="auto"/>
              <w:right w:val="single" w:sz="4" w:space="0" w:color="auto"/>
            </w:tcBorders>
            <w:shd w:val="clear" w:color="auto" w:fill="auto"/>
            <w:vAlign w:val="center"/>
            <w:hideMark/>
          </w:tcPr>
          <w:p w14:paraId="47264525" w14:textId="398A34E6"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Código de 4 </w:t>
            </w:r>
            <w:r w:rsidR="00885A95" w:rsidRPr="00984DA8">
              <w:rPr>
                <w:rFonts w:ascii="Century Gothic" w:eastAsia="Times New Roman" w:hAnsi="Century Gothic" w:cs="Calibri"/>
                <w:color w:val="000000"/>
                <w:kern w:val="0"/>
                <w:sz w:val="20"/>
                <w:szCs w:val="20"/>
                <w:lang w:eastAsia="es-CO"/>
                <w14:ligatures w14:val="none"/>
              </w:rPr>
              <w:t>dígitos</w:t>
            </w:r>
            <w:r w:rsidRPr="00984DA8">
              <w:rPr>
                <w:rFonts w:ascii="Century Gothic" w:eastAsia="Times New Roman" w:hAnsi="Century Gothic" w:cs="Calibri"/>
                <w:color w:val="000000"/>
                <w:kern w:val="0"/>
                <w:sz w:val="20"/>
                <w:szCs w:val="20"/>
                <w:lang w:eastAsia="es-CO"/>
                <w14:ligatures w14:val="none"/>
              </w:rPr>
              <w:t xml:space="preserve"> de la actividad económica principal a la que se dedica la empresa, según la Clasificación Industrial Internacional Uniforme (CIIU) Revisión 4 Adaptada para Colombia.</w:t>
            </w:r>
          </w:p>
        </w:tc>
        <w:tc>
          <w:tcPr>
            <w:tcW w:w="988" w:type="pct"/>
            <w:tcBorders>
              <w:top w:val="nil"/>
              <w:left w:val="nil"/>
              <w:bottom w:val="single" w:sz="4" w:space="0" w:color="auto"/>
              <w:right w:val="single" w:sz="4" w:space="0" w:color="auto"/>
            </w:tcBorders>
            <w:shd w:val="clear" w:color="auto" w:fill="auto"/>
            <w:vAlign w:val="center"/>
            <w:hideMark/>
          </w:tcPr>
          <w:p w14:paraId="22378365"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CIIU Rev. 4 Adaptada para Colombia, DANE.</w:t>
            </w:r>
          </w:p>
        </w:tc>
      </w:tr>
      <w:tr w:rsidR="00EE5D22" w:rsidRPr="00984DA8" w14:paraId="7069126F"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2F8DF646"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Departamento HQ</w:t>
            </w:r>
          </w:p>
        </w:tc>
        <w:tc>
          <w:tcPr>
            <w:tcW w:w="3108" w:type="pct"/>
            <w:tcBorders>
              <w:top w:val="nil"/>
              <w:left w:val="nil"/>
              <w:bottom w:val="single" w:sz="4" w:space="0" w:color="auto"/>
              <w:right w:val="single" w:sz="4" w:space="0" w:color="auto"/>
            </w:tcBorders>
            <w:shd w:val="clear" w:color="auto" w:fill="auto"/>
            <w:vAlign w:val="center"/>
            <w:hideMark/>
          </w:tcPr>
          <w:p w14:paraId="742D9E7D"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Nombre del departamento de ubicación comercial de la empresa.</w:t>
            </w:r>
          </w:p>
        </w:tc>
        <w:tc>
          <w:tcPr>
            <w:tcW w:w="988" w:type="pct"/>
            <w:tcBorders>
              <w:top w:val="nil"/>
              <w:left w:val="nil"/>
              <w:bottom w:val="single" w:sz="4" w:space="0" w:color="auto"/>
              <w:right w:val="single" w:sz="4" w:space="0" w:color="auto"/>
            </w:tcBorders>
            <w:shd w:val="clear" w:color="auto" w:fill="auto"/>
            <w:vAlign w:val="center"/>
            <w:hideMark/>
          </w:tcPr>
          <w:p w14:paraId="1526110E"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RUES, </w:t>
            </w:r>
            <w:proofErr w:type="spellStart"/>
            <w:r w:rsidRPr="00984DA8">
              <w:rPr>
                <w:rFonts w:ascii="Century Gothic" w:eastAsia="Times New Roman" w:hAnsi="Century Gothic" w:cs="Calibri"/>
                <w:color w:val="000000"/>
                <w:kern w:val="0"/>
                <w:sz w:val="20"/>
                <w:szCs w:val="20"/>
                <w:lang w:eastAsia="es-CO"/>
                <w14:ligatures w14:val="none"/>
              </w:rPr>
              <w:t>Supersociedades</w:t>
            </w:r>
            <w:proofErr w:type="spellEnd"/>
            <w:r w:rsidRPr="00984DA8">
              <w:rPr>
                <w:rFonts w:ascii="Century Gothic" w:eastAsia="Times New Roman" w:hAnsi="Century Gothic" w:cs="Calibri"/>
                <w:color w:val="000000"/>
                <w:kern w:val="0"/>
                <w:sz w:val="20"/>
                <w:szCs w:val="20"/>
                <w:lang w:eastAsia="es-CO"/>
                <w14:ligatures w14:val="none"/>
              </w:rPr>
              <w:t xml:space="preserve"> y Directorio DANE.</w:t>
            </w:r>
          </w:p>
        </w:tc>
      </w:tr>
      <w:tr w:rsidR="00EE5D22" w:rsidRPr="00984DA8" w14:paraId="11951F8D"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09F5300D"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Departamento origen</w:t>
            </w:r>
          </w:p>
        </w:tc>
        <w:tc>
          <w:tcPr>
            <w:tcW w:w="3108" w:type="pct"/>
            <w:tcBorders>
              <w:top w:val="nil"/>
              <w:left w:val="nil"/>
              <w:bottom w:val="single" w:sz="4" w:space="0" w:color="auto"/>
              <w:right w:val="single" w:sz="4" w:space="0" w:color="auto"/>
            </w:tcBorders>
            <w:shd w:val="clear" w:color="auto" w:fill="auto"/>
            <w:vAlign w:val="center"/>
            <w:hideMark/>
          </w:tcPr>
          <w:p w14:paraId="1E4122CA"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Departamento de origen de la exportación.</w:t>
            </w:r>
          </w:p>
        </w:tc>
        <w:tc>
          <w:tcPr>
            <w:tcW w:w="988" w:type="pct"/>
            <w:tcBorders>
              <w:top w:val="nil"/>
              <w:left w:val="nil"/>
              <w:bottom w:val="single" w:sz="4" w:space="0" w:color="auto"/>
              <w:right w:val="single" w:sz="4" w:space="0" w:color="auto"/>
            </w:tcBorders>
            <w:shd w:val="clear" w:color="auto" w:fill="auto"/>
            <w:vAlign w:val="center"/>
            <w:hideMark/>
          </w:tcPr>
          <w:p w14:paraId="43E05E79"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DANE-DIAN, CRM negocios.</w:t>
            </w:r>
          </w:p>
        </w:tc>
      </w:tr>
      <w:tr w:rsidR="00EE5D22" w:rsidRPr="00984DA8" w14:paraId="7454BD2C"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20E824AA"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Descripción CIIU actividad principal</w:t>
            </w:r>
          </w:p>
        </w:tc>
        <w:tc>
          <w:tcPr>
            <w:tcW w:w="3108" w:type="pct"/>
            <w:tcBorders>
              <w:top w:val="nil"/>
              <w:left w:val="nil"/>
              <w:bottom w:val="single" w:sz="4" w:space="0" w:color="auto"/>
              <w:right w:val="single" w:sz="4" w:space="0" w:color="auto"/>
            </w:tcBorders>
            <w:shd w:val="clear" w:color="auto" w:fill="auto"/>
            <w:vAlign w:val="center"/>
            <w:hideMark/>
          </w:tcPr>
          <w:p w14:paraId="04D34954"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Descripción de la actividad económica principal a la que se dedica la empresa, según la Clasificación Industrial Internacional Uniforme (CIIU) Revisión 4 Adaptada para Colombia.</w:t>
            </w:r>
          </w:p>
        </w:tc>
        <w:tc>
          <w:tcPr>
            <w:tcW w:w="988" w:type="pct"/>
            <w:tcBorders>
              <w:top w:val="nil"/>
              <w:left w:val="nil"/>
              <w:bottom w:val="single" w:sz="4" w:space="0" w:color="auto"/>
              <w:right w:val="single" w:sz="4" w:space="0" w:color="auto"/>
            </w:tcBorders>
            <w:shd w:val="clear" w:color="auto" w:fill="auto"/>
            <w:vAlign w:val="center"/>
            <w:hideMark/>
          </w:tcPr>
          <w:p w14:paraId="38B0DE81"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CIIU Rev. 4 Adaptada para Colombia, DANE.</w:t>
            </w:r>
          </w:p>
        </w:tc>
      </w:tr>
      <w:tr w:rsidR="00EE5D22" w:rsidRPr="00984DA8" w14:paraId="6A6517A8"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71EA37AB"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Dirección</w:t>
            </w:r>
          </w:p>
        </w:tc>
        <w:tc>
          <w:tcPr>
            <w:tcW w:w="3108" w:type="pct"/>
            <w:tcBorders>
              <w:top w:val="nil"/>
              <w:left w:val="nil"/>
              <w:bottom w:val="single" w:sz="4" w:space="0" w:color="auto"/>
              <w:right w:val="single" w:sz="4" w:space="0" w:color="auto"/>
            </w:tcBorders>
            <w:shd w:val="clear" w:color="auto" w:fill="auto"/>
            <w:vAlign w:val="center"/>
            <w:hideMark/>
          </w:tcPr>
          <w:p w14:paraId="41669089"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Dirección comercial de la empresa.</w:t>
            </w:r>
          </w:p>
        </w:tc>
        <w:tc>
          <w:tcPr>
            <w:tcW w:w="988" w:type="pct"/>
            <w:tcBorders>
              <w:top w:val="nil"/>
              <w:left w:val="nil"/>
              <w:bottom w:val="single" w:sz="4" w:space="0" w:color="auto"/>
              <w:right w:val="single" w:sz="4" w:space="0" w:color="auto"/>
            </w:tcBorders>
            <w:shd w:val="clear" w:color="auto" w:fill="auto"/>
            <w:vAlign w:val="center"/>
            <w:hideMark/>
          </w:tcPr>
          <w:p w14:paraId="16C3A386"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RUES, </w:t>
            </w:r>
            <w:proofErr w:type="spellStart"/>
            <w:r w:rsidRPr="00984DA8">
              <w:rPr>
                <w:rFonts w:ascii="Century Gothic" w:eastAsia="Times New Roman" w:hAnsi="Century Gothic" w:cs="Calibri"/>
                <w:color w:val="000000"/>
                <w:kern w:val="0"/>
                <w:sz w:val="20"/>
                <w:szCs w:val="20"/>
                <w:lang w:eastAsia="es-CO"/>
                <w14:ligatures w14:val="none"/>
              </w:rPr>
              <w:t>Supersociedades</w:t>
            </w:r>
            <w:proofErr w:type="spellEnd"/>
            <w:r w:rsidRPr="00984DA8">
              <w:rPr>
                <w:rFonts w:ascii="Century Gothic" w:eastAsia="Times New Roman" w:hAnsi="Century Gothic" w:cs="Calibri"/>
                <w:color w:val="000000"/>
                <w:kern w:val="0"/>
                <w:sz w:val="20"/>
                <w:szCs w:val="20"/>
                <w:lang w:eastAsia="es-CO"/>
                <w14:ligatures w14:val="none"/>
              </w:rPr>
              <w:t xml:space="preserve"> y Directorio DANE.</w:t>
            </w:r>
          </w:p>
        </w:tc>
      </w:tr>
      <w:tr w:rsidR="00EE5D22" w:rsidRPr="00984DA8" w14:paraId="4FE4D017"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434968EA"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Email</w:t>
            </w:r>
          </w:p>
        </w:tc>
        <w:tc>
          <w:tcPr>
            <w:tcW w:w="3108" w:type="pct"/>
            <w:tcBorders>
              <w:top w:val="nil"/>
              <w:left w:val="nil"/>
              <w:bottom w:val="single" w:sz="4" w:space="0" w:color="auto"/>
              <w:right w:val="single" w:sz="4" w:space="0" w:color="auto"/>
            </w:tcBorders>
            <w:shd w:val="clear" w:color="auto" w:fill="auto"/>
            <w:vAlign w:val="center"/>
            <w:hideMark/>
          </w:tcPr>
          <w:p w14:paraId="724AAD86"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Correo electrónico de la empresa.</w:t>
            </w:r>
          </w:p>
        </w:tc>
        <w:tc>
          <w:tcPr>
            <w:tcW w:w="988" w:type="pct"/>
            <w:tcBorders>
              <w:top w:val="nil"/>
              <w:left w:val="nil"/>
              <w:bottom w:val="single" w:sz="4" w:space="0" w:color="auto"/>
              <w:right w:val="single" w:sz="4" w:space="0" w:color="auto"/>
            </w:tcBorders>
            <w:shd w:val="clear" w:color="auto" w:fill="auto"/>
            <w:vAlign w:val="center"/>
            <w:hideMark/>
          </w:tcPr>
          <w:p w14:paraId="35EFE9B0"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RUES y </w:t>
            </w:r>
            <w:proofErr w:type="spellStart"/>
            <w:r w:rsidRPr="00984DA8">
              <w:rPr>
                <w:rFonts w:ascii="Century Gothic" w:eastAsia="Times New Roman" w:hAnsi="Century Gothic" w:cs="Calibri"/>
                <w:color w:val="000000"/>
                <w:kern w:val="0"/>
                <w:sz w:val="20"/>
                <w:szCs w:val="20"/>
                <w:lang w:eastAsia="es-CO"/>
                <w14:ligatures w14:val="none"/>
              </w:rPr>
              <w:t>Supersociedades</w:t>
            </w:r>
            <w:proofErr w:type="spellEnd"/>
            <w:r w:rsidRPr="00984DA8">
              <w:rPr>
                <w:rFonts w:ascii="Century Gothic" w:eastAsia="Times New Roman" w:hAnsi="Century Gothic" w:cs="Calibri"/>
                <w:color w:val="000000"/>
                <w:kern w:val="0"/>
                <w:sz w:val="20"/>
                <w:szCs w:val="20"/>
                <w:lang w:eastAsia="es-CO"/>
                <w14:ligatures w14:val="none"/>
              </w:rPr>
              <w:t>.</w:t>
            </w:r>
          </w:p>
        </w:tc>
      </w:tr>
      <w:tr w:rsidR="00EE5D22" w:rsidRPr="00984DA8" w14:paraId="410B5BD7"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180FE351"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Empresas Identificadas</w:t>
            </w:r>
          </w:p>
        </w:tc>
        <w:tc>
          <w:tcPr>
            <w:tcW w:w="3108" w:type="pct"/>
            <w:tcBorders>
              <w:top w:val="nil"/>
              <w:left w:val="nil"/>
              <w:bottom w:val="single" w:sz="4" w:space="0" w:color="auto"/>
              <w:right w:val="single" w:sz="4" w:space="0" w:color="auto"/>
            </w:tcBorders>
            <w:shd w:val="clear" w:color="auto" w:fill="auto"/>
            <w:vAlign w:val="center"/>
            <w:hideMark/>
          </w:tcPr>
          <w:p w14:paraId="34904F8D"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Es el número total de empresas identificadas de las diferentes fuentes de información que hacen parte de las actividades que atiende Procolombia o exportan productos no minero-energéticos.</w:t>
            </w:r>
          </w:p>
        </w:tc>
        <w:tc>
          <w:tcPr>
            <w:tcW w:w="988" w:type="pct"/>
            <w:tcBorders>
              <w:top w:val="nil"/>
              <w:left w:val="nil"/>
              <w:bottom w:val="single" w:sz="4" w:space="0" w:color="auto"/>
              <w:right w:val="single" w:sz="4" w:space="0" w:color="auto"/>
            </w:tcBorders>
            <w:shd w:val="clear" w:color="auto" w:fill="auto"/>
            <w:vAlign w:val="center"/>
            <w:hideMark/>
          </w:tcPr>
          <w:p w14:paraId="1F48A5BF"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RUES, </w:t>
            </w:r>
            <w:proofErr w:type="spellStart"/>
            <w:r w:rsidRPr="00984DA8">
              <w:rPr>
                <w:rFonts w:ascii="Century Gothic" w:eastAsia="Times New Roman" w:hAnsi="Century Gothic" w:cs="Calibri"/>
                <w:color w:val="000000"/>
                <w:kern w:val="0"/>
                <w:sz w:val="20"/>
                <w:szCs w:val="20"/>
                <w:lang w:eastAsia="es-CO"/>
                <w14:ligatures w14:val="none"/>
              </w:rPr>
              <w:t>Supersociedades</w:t>
            </w:r>
            <w:proofErr w:type="spellEnd"/>
            <w:r w:rsidRPr="00984DA8">
              <w:rPr>
                <w:rFonts w:ascii="Century Gothic" w:eastAsia="Times New Roman" w:hAnsi="Century Gothic" w:cs="Calibri"/>
                <w:color w:val="000000"/>
                <w:kern w:val="0"/>
                <w:sz w:val="20"/>
                <w:szCs w:val="20"/>
                <w:lang w:eastAsia="es-CO"/>
                <w14:ligatures w14:val="none"/>
              </w:rPr>
              <w:t>, Directorio DANE, Exportaciones de bienes y servicios y CRM ProColombia.</w:t>
            </w:r>
          </w:p>
        </w:tc>
      </w:tr>
      <w:tr w:rsidR="00EE5D22" w:rsidRPr="00984DA8" w14:paraId="2E04B713"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6BCF1D92"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lastRenderedPageBreak/>
              <w:t>Exporta a LATAM y el Caribe</w:t>
            </w:r>
          </w:p>
        </w:tc>
        <w:tc>
          <w:tcPr>
            <w:tcW w:w="3108" w:type="pct"/>
            <w:tcBorders>
              <w:top w:val="nil"/>
              <w:left w:val="nil"/>
              <w:bottom w:val="single" w:sz="4" w:space="0" w:color="auto"/>
              <w:right w:val="single" w:sz="4" w:space="0" w:color="auto"/>
            </w:tcBorders>
            <w:shd w:val="clear" w:color="auto" w:fill="auto"/>
            <w:vAlign w:val="center"/>
            <w:hideMark/>
          </w:tcPr>
          <w:p w14:paraId="03AE5B69"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Indica si la empresa ha exportado a algún país de América Latina y el Caribe en los últimos 3 años (2020-2022).</w:t>
            </w:r>
          </w:p>
        </w:tc>
        <w:tc>
          <w:tcPr>
            <w:tcW w:w="988" w:type="pct"/>
            <w:tcBorders>
              <w:top w:val="nil"/>
              <w:left w:val="nil"/>
              <w:bottom w:val="single" w:sz="4" w:space="0" w:color="auto"/>
              <w:right w:val="single" w:sz="4" w:space="0" w:color="auto"/>
            </w:tcBorders>
            <w:shd w:val="clear" w:color="auto" w:fill="auto"/>
            <w:vAlign w:val="center"/>
            <w:hideMark/>
          </w:tcPr>
          <w:p w14:paraId="52F577E0"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Cálculos ProColombia.</w:t>
            </w:r>
          </w:p>
        </w:tc>
      </w:tr>
      <w:tr w:rsidR="00EE5D22" w:rsidRPr="00984DA8" w14:paraId="6EBD6C9F"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05F0208F"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Exportaciones NME 2022 USD</w:t>
            </w:r>
          </w:p>
        </w:tc>
        <w:tc>
          <w:tcPr>
            <w:tcW w:w="3108" w:type="pct"/>
            <w:tcBorders>
              <w:top w:val="nil"/>
              <w:left w:val="nil"/>
              <w:bottom w:val="single" w:sz="4" w:space="0" w:color="auto"/>
              <w:right w:val="single" w:sz="4" w:space="0" w:color="auto"/>
            </w:tcBorders>
            <w:shd w:val="clear" w:color="auto" w:fill="auto"/>
            <w:vAlign w:val="center"/>
            <w:hideMark/>
          </w:tcPr>
          <w:p w14:paraId="681DBA74"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Valor de las exportaciones no minero-energéticas en USD FOB en el año 2022.</w:t>
            </w:r>
          </w:p>
        </w:tc>
        <w:tc>
          <w:tcPr>
            <w:tcW w:w="988" w:type="pct"/>
            <w:tcBorders>
              <w:top w:val="nil"/>
              <w:left w:val="nil"/>
              <w:bottom w:val="single" w:sz="4" w:space="0" w:color="auto"/>
              <w:right w:val="single" w:sz="4" w:space="0" w:color="auto"/>
            </w:tcBorders>
            <w:shd w:val="clear" w:color="auto" w:fill="auto"/>
            <w:vAlign w:val="center"/>
            <w:hideMark/>
          </w:tcPr>
          <w:p w14:paraId="5786F04C"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DANE-DIAN, CRM negocios.</w:t>
            </w:r>
          </w:p>
        </w:tc>
      </w:tr>
      <w:tr w:rsidR="00EE5D22" w:rsidRPr="00984DA8" w14:paraId="1543F74A"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73FD07DE"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Exportaciones NME Promedio 5 años USD</w:t>
            </w:r>
          </w:p>
        </w:tc>
        <w:tc>
          <w:tcPr>
            <w:tcW w:w="3108" w:type="pct"/>
            <w:tcBorders>
              <w:top w:val="nil"/>
              <w:left w:val="nil"/>
              <w:bottom w:val="single" w:sz="4" w:space="0" w:color="auto"/>
              <w:right w:val="single" w:sz="4" w:space="0" w:color="auto"/>
            </w:tcBorders>
            <w:shd w:val="clear" w:color="auto" w:fill="auto"/>
            <w:vAlign w:val="center"/>
            <w:hideMark/>
          </w:tcPr>
          <w:p w14:paraId="4D23D672"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Valor promedio de las exportaciones no minero-energéticas entre 2018-2022 (USD FOB).</w:t>
            </w:r>
          </w:p>
        </w:tc>
        <w:tc>
          <w:tcPr>
            <w:tcW w:w="988" w:type="pct"/>
            <w:tcBorders>
              <w:top w:val="nil"/>
              <w:left w:val="nil"/>
              <w:bottom w:val="single" w:sz="4" w:space="0" w:color="auto"/>
              <w:right w:val="single" w:sz="4" w:space="0" w:color="auto"/>
            </w:tcBorders>
            <w:shd w:val="clear" w:color="auto" w:fill="auto"/>
            <w:vAlign w:val="center"/>
            <w:hideMark/>
          </w:tcPr>
          <w:p w14:paraId="72E6A48F"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Cálculos ProColombia.</w:t>
            </w:r>
          </w:p>
        </w:tc>
      </w:tr>
      <w:tr w:rsidR="00EE5D22" w:rsidRPr="00984DA8" w14:paraId="1F9C252F"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6B7296BD"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Fuente</w:t>
            </w:r>
          </w:p>
        </w:tc>
        <w:tc>
          <w:tcPr>
            <w:tcW w:w="3108" w:type="pct"/>
            <w:tcBorders>
              <w:top w:val="nil"/>
              <w:left w:val="nil"/>
              <w:bottom w:val="single" w:sz="4" w:space="0" w:color="auto"/>
              <w:right w:val="single" w:sz="4" w:space="0" w:color="auto"/>
            </w:tcBorders>
            <w:shd w:val="clear" w:color="auto" w:fill="auto"/>
            <w:vAlign w:val="center"/>
            <w:hideMark/>
          </w:tcPr>
          <w:p w14:paraId="260DCE18"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Indica las diferentes bases de datos donde se encontró la empresa, entre ellas: RUES, </w:t>
            </w:r>
            <w:proofErr w:type="spellStart"/>
            <w:r w:rsidRPr="00984DA8">
              <w:rPr>
                <w:rFonts w:ascii="Century Gothic" w:eastAsia="Times New Roman" w:hAnsi="Century Gothic" w:cs="Calibri"/>
                <w:color w:val="000000"/>
                <w:kern w:val="0"/>
                <w:sz w:val="20"/>
                <w:szCs w:val="20"/>
                <w:lang w:eastAsia="es-CO"/>
                <w14:ligatures w14:val="none"/>
              </w:rPr>
              <w:t>Supersociedades</w:t>
            </w:r>
            <w:proofErr w:type="spellEnd"/>
            <w:r w:rsidRPr="00984DA8">
              <w:rPr>
                <w:rFonts w:ascii="Century Gothic" w:eastAsia="Times New Roman" w:hAnsi="Century Gothic" w:cs="Calibri"/>
                <w:color w:val="000000"/>
                <w:kern w:val="0"/>
                <w:sz w:val="20"/>
                <w:szCs w:val="20"/>
                <w:lang w:eastAsia="es-CO"/>
                <w14:ligatures w14:val="none"/>
              </w:rPr>
              <w:t>, Directorio Empresarial del DANE, Base de Exportaciones de Bienes y Servicios y CRM ProColombia.</w:t>
            </w:r>
          </w:p>
        </w:tc>
        <w:tc>
          <w:tcPr>
            <w:tcW w:w="988" w:type="pct"/>
            <w:tcBorders>
              <w:top w:val="nil"/>
              <w:left w:val="nil"/>
              <w:bottom w:val="single" w:sz="4" w:space="0" w:color="auto"/>
              <w:right w:val="single" w:sz="4" w:space="0" w:color="auto"/>
            </w:tcBorders>
            <w:shd w:val="clear" w:color="auto" w:fill="auto"/>
            <w:vAlign w:val="center"/>
            <w:hideMark/>
          </w:tcPr>
          <w:p w14:paraId="7AA824E3"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Cálculos ProColombia.</w:t>
            </w:r>
          </w:p>
        </w:tc>
      </w:tr>
      <w:tr w:rsidR="00EE5D22" w:rsidRPr="00984DA8" w14:paraId="09165E56"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444B3458"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HQ</w:t>
            </w:r>
          </w:p>
        </w:tc>
        <w:tc>
          <w:tcPr>
            <w:tcW w:w="3108" w:type="pct"/>
            <w:tcBorders>
              <w:top w:val="nil"/>
              <w:left w:val="nil"/>
              <w:bottom w:val="single" w:sz="4" w:space="0" w:color="auto"/>
              <w:right w:val="single" w:sz="4" w:space="0" w:color="auto"/>
            </w:tcBorders>
            <w:shd w:val="clear" w:color="auto" w:fill="auto"/>
            <w:vAlign w:val="center"/>
            <w:hideMark/>
          </w:tcPr>
          <w:p w14:paraId="1423FD9F"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proofErr w:type="spellStart"/>
            <w:r w:rsidRPr="00984DA8">
              <w:rPr>
                <w:rFonts w:ascii="Century Gothic" w:eastAsia="Times New Roman" w:hAnsi="Century Gothic" w:cs="Calibri"/>
                <w:color w:val="000000"/>
                <w:kern w:val="0"/>
                <w:sz w:val="20"/>
                <w:szCs w:val="20"/>
                <w:lang w:eastAsia="es-CO"/>
                <w14:ligatures w14:val="none"/>
              </w:rPr>
              <w:t>Headquarter</w:t>
            </w:r>
            <w:proofErr w:type="spellEnd"/>
            <w:r w:rsidRPr="00984DA8">
              <w:rPr>
                <w:rFonts w:ascii="Century Gothic" w:eastAsia="Times New Roman" w:hAnsi="Century Gothic" w:cs="Calibri"/>
                <w:color w:val="000000"/>
                <w:kern w:val="0"/>
                <w:sz w:val="20"/>
                <w:szCs w:val="20"/>
                <w:lang w:eastAsia="es-CO"/>
                <w14:ligatures w14:val="none"/>
              </w:rPr>
              <w:t xml:space="preserve"> de la empresa. Se refiere a la ubicación comercial principal de la empresa.</w:t>
            </w:r>
          </w:p>
        </w:tc>
        <w:tc>
          <w:tcPr>
            <w:tcW w:w="988" w:type="pct"/>
            <w:tcBorders>
              <w:top w:val="nil"/>
              <w:left w:val="nil"/>
              <w:bottom w:val="single" w:sz="4" w:space="0" w:color="auto"/>
              <w:right w:val="single" w:sz="4" w:space="0" w:color="auto"/>
            </w:tcBorders>
            <w:shd w:val="clear" w:color="auto" w:fill="auto"/>
            <w:vAlign w:val="center"/>
            <w:hideMark/>
          </w:tcPr>
          <w:p w14:paraId="43C57495"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RUES, </w:t>
            </w:r>
            <w:proofErr w:type="spellStart"/>
            <w:r w:rsidRPr="00984DA8">
              <w:rPr>
                <w:rFonts w:ascii="Century Gothic" w:eastAsia="Times New Roman" w:hAnsi="Century Gothic" w:cs="Calibri"/>
                <w:color w:val="000000"/>
                <w:kern w:val="0"/>
                <w:sz w:val="20"/>
                <w:szCs w:val="20"/>
                <w:lang w:eastAsia="es-CO"/>
                <w14:ligatures w14:val="none"/>
              </w:rPr>
              <w:t>Supersociedades</w:t>
            </w:r>
            <w:proofErr w:type="spellEnd"/>
            <w:r w:rsidRPr="00984DA8">
              <w:rPr>
                <w:rFonts w:ascii="Century Gothic" w:eastAsia="Times New Roman" w:hAnsi="Century Gothic" w:cs="Calibri"/>
                <w:color w:val="000000"/>
                <w:kern w:val="0"/>
                <w:sz w:val="20"/>
                <w:szCs w:val="20"/>
                <w:lang w:eastAsia="es-CO"/>
                <w14:ligatures w14:val="none"/>
              </w:rPr>
              <w:t xml:space="preserve"> y Directorio DANE.</w:t>
            </w:r>
          </w:p>
        </w:tc>
      </w:tr>
      <w:tr w:rsidR="00EE5D22" w:rsidRPr="00984DA8" w14:paraId="4732D20D"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3A2DB36D"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proofErr w:type="gramStart"/>
            <w:r w:rsidRPr="00984DA8">
              <w:rPr>
                <w:rFonts w:ascii="Century Gothic" w:eastAsia="Times New Roman" w:hAnsi="Century Gothic" w:cs="Calibri"/>
                <w:color w:val="000000"/>
                <w:kern w:val="0"/>
                <w:sz w:val="20"/>
                <w:szCs w:val="20"/>
                <w:lang w:eastAsia="es-CO"/>
                <w14:ligatures w14:val="none"/>
              </w:rPr>
              <w:t>Hub</w:t>
            </w:r>
            <w:proofErr w:type="gramEnd"/>
            <w:r w:rsidRPr="00984DA8">
              <w:rPr>
                <w:rFonts w:ascii="Century Gothic" w:eastAsia="Times New Roman" w:hAnsi="Century Gothic" w:cs="Calibri"/>
                <w:color w:val="000000"/>
                <w:kern w:val="0"/>
                <w:sz w:val="20"/>
                <w:szCs w:val="20"/>
                <w:lang w:eastAsia="es-CO"/>
                <w14:ligatures w14:val="none"/>
              </w:rPr>
              <w:t xml:space="preserve"> de destino</w:t>
            </w:r>
          </w:p>
        </w:tc>
        <w:tc>
          <w:tcPr>
            <w:tcW w:w="3108" w:type="pct"/>
            <w:tcBorders>
              <w:top w:val="nil"/>
              <w:left w:val="nil"/>
              <w:bottom w:val="single" w:sz="4" w:space="0" w:color="auto"/>
              <w:right w:val="single" w:sz="4" w:space="0" w:color="auto"/>
            </w:tcBorders>
            <w:shd w:val="clear" w:color="auto" w:fill="auto"/>
            <w:vAlign w:val="center"/>
            <w:hideMark/>
          </w:tcPr>
          <w:p w14:paraId="0649408E"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proofErr w:type="gramStart"/>
            <w:r w:rsidRPr="00984DA8">
              <w:rPr>
                <w:rFonts w:ascii="Century Gothic" w:eastAsia="Times New Roman" w:hAnsi="Century Gothic" w:cs="Calibri"/>
                <w:color w:val="000000"/>
                <w:kern w:val="0"/>
                <w:sz w:val="20"/>
                <w:szCs w:val="20"/>
                <w:lang w:eastAsia="es-CO"/>
                <w14:ligatures w14:val="none"/>
              </w:rPr>
              <w:t>Hub</w:t>
            </w:r>
            <w:proofErr w:type="gramEnd"/>
            <w:r w:rsidRPr="00984DA8">
              <w:rPr>
                <w:rFonts w:ascii="Century Gothic" w:eastAsia="Times New Roman" w:hAnsi="Century Gothic" w:cs="Calibri"/>
                <w:color w:val="000000"/>
                <w:kern w:val="0"/>
                <w:sz w:val="20"/>
                <w:szCs w:val="20"/>
                <w:lang w:eastAsia="es-CO"/>
                <w14:ligatures w14:val="none"/>
              </w:rPr>
              <w:t xml:space="preserve"> destino de la exportación, según la clasificación establecida por la Vicepresidencia de Planeación de ProColombia.</w:t>
            </w:r>
          </w:p>
        </w:tc>
        <w:tc>
          <w:tcPr>
            <w:tcW w:w="988" w:type="pct"/>
            <w:tcBorders>
              <w:top w:val="nil"/>
              <w:left w:val="nil"/>
              <w:bottom w:val="single" w:sz="4" w:space="0" w:color="auto"/>
              <w:right w:val="single" w:sz="4" w:space="0" w:color="auto"/>
            </w:tcBorders>
            <w:shd w:val="clear" w:color="auto" w:fill="auto"/>
            <w:vAlign w:val="center"/>
            <w:hideMark/>
          </w:tcPr>
          <w:p w14:paraId="433E46E7"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Clasificación ProColombia.</w:t>
            </w:r>
          </w:p>
        </w:tc>
      </w:tr>
      <w:tr w:rsidR="00EE5D22" w:rsidRPr="00984DA8" w14:paraId="3555AE09"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03B1172A"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Índice potencial de atención</w:t>
            </w:r>
          </w:p>
        </w:tc>
        <w:tc>
          <w:tcPr>
            <w:tcW w:w="3108" w:type="pct"/>
            <w:tcBorders>
              <w:top w:val="nil"/>
              <w:left w:val="nil"/>
              <w:bottom w:val="single" w:sz="4" w:space="0" w:color="auto"/>
              <w:right w:val="single" w:sz="4" w:space="0" w:color="auto"/>
            </w:tcBorders>
            <w:shd w:val="clear" w:color="auto" w:fill="auto"/>
            <w:vAlign w:val="center"/>
            <w:hideMark/>
          </w:tcPr>
          <w:p w14:paraId="3BD262F3"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Con el fin de guiar la priorización y segmentación de las empresas para contactarlas y/o atenderlas, se construyó un índice que tiene en cuenta el nivel y calidad de las ventas y la solidez de la empresa. Este índice se ubica entre 0 y 1, donde 1 indica un alto potencial y 0 que no tiene potencial. Sirve para organizar las empresas de mayor a menor potencial de atención.</w:t>
            </w:r>
          </w:p>
        </w:tc>
        <w:tc>
          <w:tcPr>
            <w:tcW w:w="988" w:type="pct"/>
            <w:tcBorders>
              <w:top w:val="nil"/>
              <w:left w:val="nil"/>
              <w:bottom w:val="single" w:sz="4" w:space="0" w:color="auto"/>
              <w:right w:val="single" w:sz="4" w:space="0" w:color="auto"/>
            </w:tcBorders>
            <w:shd w:val="clear" w:color="auto" w:fill="auto"/>
            <w:vAlign w:val="center"/>
            <w:hideMark/>
          </w:tcPr>
          <w:p w14:paraId="112AE311"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Cálculos ProColombia.</w:t>
            </w:r>
          </w:p>
        </w:tc>
      </w:tr>
      <w:tr w:rsidR="00EE5D22" w:rsidRPr="00984DA8" w14:paraId="7DEADEAD"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33026537"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Ingresos operacionales COP</w:t>
            </w:r>
          </w:p>
        </w:tc>
        <w:tc>
          <w:tcPr>
            <w:tcW w:w="3108" w:type="pct"/>
            <w:tcBorders>
              <w:top w:val="nil"/>
              <w:left w:val="nil"/>
              <w:bottom w:val="single" w:sz="4" w:space="0" w:color="auto"/>
              <w:right w:val="single" w:sz="4" w:space="0" w:color="auto"/>
            </w:tcBorders>
            <w:shd w:val="clear" w:color="auto" w:fill="auto"/>
            <w:vAlign w:val="center"/>
            <w:hideMark/>
          </w:tcPr>
          <w:p w14:paraId="7DF1AF91"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Ingresos operacionales de la empresa en pesos colombianos.</w:t>
            </w:r>
          </w:p>
        </w:tc>
        <w:tc>
          <w:tcPr>
            <w:tcW w:w="988" w:type="pct"/>
            <w:tcBorders>
              <w:top w:val="nil"/>
              <w:left w:val="nil"/>
              <w:bottom w:val="single" w:sz="4" w:space="0" w:color="auto"/>
              <w:right w:val="single" w:sz="4" w:space="0" w:color="auto"/>
            </w:tcBorders>
            <w:shd w:val="clear" w:color="auto" w:fill="auto"/>
            <w:vAlign w:val="center"/>
            <w:hideMark/>
          </w:tcPr>
          <w:p w14:paraId="3BE93D8B"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proofErr w:type="spellStart"/>
            <w:r w:rsidRPr="00984DA8">
              <w:rPr>
                <w:rFonts w:ascii="Century Gothic" w:eastAsia="Times New Roman" w:hAnsi="Century Gothic" w:cs="Calibri"/>
                <w:color w:val="000000"/>
                <w:kern w:val="0"/>
                <w:sz w:val="20"/>
                <w:szCs w:val="20"/>
                <w:lang w:eastAsia="es-CO"/>
                <w14:ligatures w14:val="none"/>
              </w:rPr>
              <w:t>Supersociedades</w:t>
            </w:r>
            <w:proofErr w:type="spellEnd"/>
            <w:r w:rsidRPr="00984DA8">
              <w:rPr>
                <w:rFonts w:ascii="Century Gothic" w:eastAsia="Times New Roman" w:hAnsi="Century Gothic" w:cs="Calibri"/>
                <w:color w:val="000000"/>
                <w:kern w:val="0"/>
                <w:sz w:val="20"/>
                <w:szCs w:val="20"/>
                <w:lang w:eastAsia="es-CO"/>
                <w14:ligatures w14:val="none"/>
              </w:rPr>
              <w:t xml:space="preserve"> y RUES.</w:t>
            </w:r>
          </w:p>
        </w:tc>
      </w:tr>
      <w:tr w:rsidR="00EE5D22" w:rsidRPr="00984DA8" w14:paraId="19042813"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366D833E"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Menor 200K Habitantes</w:t>
            </w:r>
          </w:p>
        </w:tc>
        <w:tc>
          <w:tcPr>
            <w:tcW w:w="3108" w:type="pct"/>
            <w:tcBorders>
              <w:top w:val="nil"/>
              <w:left w:val="nil"/>
              <w:bottom w:val="single" w:sz="4" w:space="0" w:color="auto"/>
              <w:right w:val="single" w:sz="4" w:space="0" w:color="auto"/>
            </w:tcBorders>
            <w:shd w:val="clear" w:color="auto" w:fill="auto"/>
            <w:vAlign w:val="center"/>
            <w:hideMark/>
          </w:tcPr>
          <w:p w14:paraId="2250A6AF"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Indica si el municipio de ubicación comercial de la empresa tiene menos de 200.000 habitantes.</w:t>
            </w:r>
          </w:p>
        </w:tc>
        <w:tc>
          <w:tcPr>
            <w:tcW w:w="988" w:type="pct"/>
            <w:tcBorders>
              <w:top w:val="nil"/>
              <w:left w:val="nil"/>
              <w:bottom w:val="single" w:sz="4" w:space="0" w:color="auto"/>
              <w:right w:val="single" w:sz="4" w:space="0" w:color="auto"/>
            </w:tcBorders>
            <w:shd w:val="clear" w:color="auto" w:fill="auto"/>
            <w:vAlign w:val="center"/>
            <w:hideMark/>
          </w:tcPr>
          <w:p w14:paraId="0B175428"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Proyecciones de población municipal por área, sexo y edad para 2022, DANE.</w:t>
            </w:r>
          </w:p>
        </w:tc>
      </w:tr>
      <w:tr w:rsidR="00EE5D22" w:rsidRPr="00984DA8" w14:paraId="5EE2B9B2"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4F821474"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Municipio HQ</w:t>
            </w:r>
          </w:p>
        </w:tc>
        <w:tc>
          <w:tcPr>
            <w:tcW w:w="3108" w:type="pct"/>
            <w:tcBorders>
              <w:top w:val="nil"/>
              <w:left w:val="nil"/>
              <w:bottom w:val="single" w:sz="4" w:space="0" w:color="auto"/>
              <w:right w:val="single" w:sz="4" w:space="0" w:color="auto"/>
            </w:tcBorders>
            <w:shd w:val="clear" w:color="auto" w:fill="auto"/>
            <w:vAlign w:val="center"/>
            <w:hideMark/>
          </w:tcPr>
          <w:p w14:paraId="4C577EC8"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Nombre del municipio de ubicación comercial de la empresa.</w:t>
            </w:r>
          </w:p>
        </w:tc>
        <w:tc>
          <w:tcPr>
            <w:tcW w:w="988" w:type="pct"/>
            <w:tcBorders>
              <w:top w:val="nil"/>
              <w:left w:val="nil"/>
              <w:bottom w:val="single" w:sz="4" w:space="0" w:color="auto"/>
              <w:right w:val="single" w:sz="4" w:space="0" w:color="auto"/>
            </w:tcBorders>
            <w:shd w:val="clear" w:color="auto" w:fill="auto"/>
            <w:vAlign w:val="center"/>
            <w:hideMark/>
          </w:tcPr>
          <w:p w14:paraId="53A793EC"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RUES, </w:t>
            </w:r>
            <w:proofErr w:type="spellStart"/>
            <w:r w:rsidRPr="00984DA8">
              <w:rPr>
                <w:rFonts w:ascii="Century Gothic" w:eastAsia="Times New Roman" w:hAnsi="Century Gothic" w:cs="Calibri"/>
                <w:color w:val="000000"/>
                <w:kern w:val="0"/>
                <w:sz w:val="20"/>
                <w:szCs w:val="20"/>
                <w:lang w:eastAsia="es-CO"/>
                <w14:ligatures w14:val="none"/>
              </w:rPr>
              <w:t>Supersociedades</w:t>
            </w:r>
            <w:proofErr w:type="spellEnd"/>
            <w:r w:rsidRPr="00984DA8">
              <w:rPr>
                <w:rFonts w:ascii="Century Gothic" w:eastAsia="Times New Roman" w:hAnsi="Century Gothic" w:cs="Calibri"/>
                <w:color w:val="000000"/>
                <w:kern w:val="0"/>
                <w:sz w:val="20"/>
                <w:szCs w:val="20"/>
                <w:lang w:eastAsia="es-CO"/>
                <w14:ligatures w14:val="none"/>
              </w:rPr>
              <w:t xml:space="preserve"> y Directorio DANE.</w:t>
            </w:r>
          </w:p>
        </w:tc>
      </w:tr>
      <w:tr w:rsidR="00EE5D22" w:rsidRPr="00984DA8" w14:paraId="0875754A"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3AFAD042"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Negocios facilitados por ProColombia 2020-2022</w:t>
            </w:r>
          </w:p>
        </w:tc>
        <w:tc>
          <w:tcPr>
            <w:tcW w:w="3108" w:type="pct"/>
            <w:tcBorders>
              <w:top w:val="nil"/>
              <w:left w:val="nil"/>
              <w:bottom w:val="single" w:sz="4" w:space="0" w:color="auto"/>
              <w:right w:val="single" w:sz="4" w:space="0" w:color="auto"/>
            </w:tcBorders>
            <w:shd w:val="clear" w:color="auto" w:fill="auto"/>
            <w:vAlign w:val="center"/>
            <w:hideMark/>
          </w:tcPr>
          <w:p w14:paraId="431451B6"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Indica si una empresa tiene negocios registrados en el CRM de ProColombia en los últimos 3 años (2020-2022).</w:t>
            </w:r>
          </w:p>
        </w:tc>
        <w:tc>
          <w:tcPr>
            <w:tcW w:w="988" w:type="pct"/>
            <w:tcBorders>
              <w:top w:val="nil"/>
              <w:left w:val="nil"/>
              <w:bottom w:val="single" w:sz="4" w:space="0" w:color="auto"/>
              <w:right w:val="single" w:sz="4" w:space="0" w:color="auto"/>
            </w:tcBorders>
            <w:shd w:val="clear" w:color="auto" w:fill="auto"/>
            <w:vAlign w:val="center"/>
            <w:hideMark/>
          </w:tcPr>
          <w:p w14:paraId="7D8F95DF"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CRM ProColombia.</w:t>
            </w:r>
          </w:p>
        </w:tc>
      </w:tr>
      <w:tr w:rsidR="00EE5D22" w:rsidRPr="00984DA8" w14:paraId="3520C9E4"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1D21534E"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lastRenderedPageBreak/>
              <w:t>NIT</w:t>
            </w:r>
          </w:p>
        </w:tc>
        <w:tc>
          <w:tcPr>
            <w:tcW w:w="3108" w:type="pct"/>
            <w:tcBorders>
              <w:top w:val="nil"/>
              <w:left w:val="nil"/>
              <w:bottom w:val="single" w:sz="4" w:space="0" w:color="auto"/>
              <w:right w:val="single" w:sz="4" w:space="0" w:color="auto"/>
            </w:tcBorders>
            <w:shd w:val="clear" w:color="auto" w:fill="auto"/>
            <w:vAlign w:val="center"/>
            <w:hideMark/>
          </w:tcPr>
          <w:p w14:paraId="22858C63"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Número de Identificación Tributaria (NIT) de la empresa.</w:t>
            </w:r>
          </w:p>
        </w:tc>
        <w:tc>
          <w:tcPr>
            <w:tcW w:w="988" w:type="pct"/>
            <w:tcBorders>
              <w:top w:val="nil"/>
              <w:left w:val="nil"/>
              <w:bottom w:val="single" w:sz="4" w:space="0" w:color="auto"/>
              <w:right w:val="single" w:sz="4" w:space="0" w:color="auto"/>
            </w:tcBorders>
            <w:shd w:val="clear" w:color="auto" w:fill="auto"/>
            <w:vAlign w:val="center"/>
            <w:hideMark/>
          </w:tcPr>
          <w:p w14:paraId="78677C84"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RUES, </w:t>
            </w:r>
            <w:proofErr w:type="spellStart"/>
            <w:r w:rsidRPr="00984DA8">
              <w:rPr>
                <w:rFonts w:ascii="Century Gothic" w:eastAsia="Times New Roman" w:hAnsi="Century Gothic" w:cs="Calibri"/>
                <w:color w:val="000000"/>
                <w:kern w:val="0"/>
                <w:sz w:val="20"/>
                <w:szCs w:val="20"/>
                <w:lang w:eastAsia="es-CO"/>
                <w14:ligatures w14:val="none"/>
              </w:rPr>
              <w:t>Supersociedades</w:t>
            </w:r>
            <w:proofErr w:type="spellEnd"/>
            <w:r w:rsidRPr="00984DA8">
              <w:rPr>
                <w:rFonts w:ascii="Century Gothic" w:eastAsia="Times New Roman" w:hAnsi="Century Gothic" w:cs="Calibri"/>
                <w:color w:val="000000"/>
                <w:kern w:val="0"/>
                <w:sz w:val="20"/>
                <w:szCs w:val="20"/>
                <w:lang w:eastAsia="es-CO"/>
                <w14:ligatures w14:val="none"/>
              </w:rPr>
              <w:t>, Directorio DANE, Exportaciones de bienes y servicios y CRM ProColombia.</w:t>
            </w:r>
          </w:p>
        </w:tc>
      </w:tr>
      <w:tr w:rsidR="00EE5D22" w:rsidRPr="00984DA8" w14:paraId="0902FA36"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45EE0612"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País de destino</w:t>
            </w:r>
          </w:p>
        </w:tc>
        <w:tc>
          <w:tcPr>
            <w:tcW w:w="3108" w:type="pct"/>
            <w:tcBorders>
              <w:top w:val="nil"/>
              <w:left w:val="nil"/>
              <w:bottom w:val="single" w:sz="4" w:space="0" w:color="auto"/>
              <w:right w:val="single" w:sz="4" w:space="0" w:color="auto"/>
            </w:tcBorders>
            <w:shd w:val="clear" w:color="auto" w:fill="auto"/>
            <w:vAlign w:val="center"/>
            <w:hideMark/>
          </w:tcPr>
          <w:p w14:paraId="576BBD00"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País destino de la exportación.</w:t>
            </w:r>
          </w:p>
        </w:tc>
        <w:tc>
          <w:tcPr>
            <w:tcW w:w="988" w:type="pct"/>
            <w:tcBorders>
              <w:top w:val="nil"/>
              <w:left w:val="nil"/>
              <w:bottom w:val="single" w:sz="4" w:space="0" w:color="auto"/>
              <w:right w:val="single" w:sz="4" w:space="0" w:color="auto"/>
            </w:tcBorders>
            <w:shd w:val="clear" w:color="auto" w:fill="auto"/>
            <w:vAlign w:val="center"/>
            <w:hideMark/>
          </w:tcPr>
          <w:p w14:paraId="5B3E8862"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DANE-DIAN, CRM negocios.</w:t>
            </w:r>
          </w:p>
        </w:tc>
      </w:tr>
      <w:tr w:rsidR="00EE5D22" w:rsidRPr="00984DA8" w14:paraId="31025120"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52459E97"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PDET</w:t>
            </w:r>
          </w:p>
        </w:tc>
        <w:tc>
          <w:tcPr>
            <w:tcW w:w="3108" w:type="pct"/>
            <w:tcBorders>
              <w:top w:val="nil"/>
              <w:left w:val="nil"/>
              <w:bottom w:val="single" w:sz="4" w:space="0" w:color="auto"/>
              <w:right w:val="single" w:sz="4" w:space="0" w:color="auto"/>
            </w:tcBorders>
            <w:shd w:val="clear" w:color="auto" w:fill="auto"/>
            <w:vAlign w:val="center"/>
            <w:hideMark/>
          </w:tcPr>
          <w:p w14:paraId="53E1F0CE"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Indica si el municipio hace parte de los Programas de Desarrollo con Enfoque Territorial (PDET).</w:t>
            </w:r>
          </w:p>
        </w:tc>
        <w:tc>
          <w:tcPr>
            <w:tcW w:w="988" w:type="pct"/>
            <w:tcBorders>
              <w:top w:val="nil"/>
              <w:left w:val="nil"/>
              <w:bottom w:val="single" w:sz="4" w:space="0" w:color="auto"/>
              <w:right w:val="single" w:sz="4" w:space="0" w:color="auto"/>
            </w:tcBorders>
            <w:shd w:val="clear" w:color="auto" w:fill="auto"/>
            <w:vAlign w:val="center"/>
            <w:hideMark/>
          </w:tcPr>
          <w:p w14:paraId="1DDFE289"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ProColombia.</w:t>
            </w:r>
          </w:p>
        </w:tc>
      </w:tr>
      <w:tr w:rsidR="00EE5D22" w:rsidRPr="00984DA8" w14:paraId="5659FAD6"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40EF0AAC"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Potencial de atención</w:t>
            </w:r>
          </w:p>
        </w:tc>
        <w:tc>
          <w:tcPr>
            <w:tcW w:w="3108" w:type="pct"/>
            <w:tcBorders>
              <w:top w:val="nil"/>
              <w:left w:val="nil"/>
              <w:bottom w:val="single" w:sz="4" w:space="0" w:color="auto"/>
              <w:right w:val="single" w:sz="4" w:space="0" w:color="auto"/>
            </w:tcBorders>
            <w:shd w:val="clear" w:color="auto" w:fill="auto"/>
            <w:vAlign w:val="center"/>
            <w:hideMark/>
          </w:tcPr>
          <w:p w14:paraId="2D793E5B"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Con el fin de guiar la priorización y segmentación de las empresas para contactarlas y/o atenderlas, se construyó un índice que tiene en cuenta el nivel y calidad de las ventas y la solidez de la empresa. Con base en los resultados del índice, se clasificaron las empresas en potencial muy alto, alto, medio, bajo y sin potencial. </w:t>
            </w:r>
          </w:p>
        </w:tc>
        <w:tc>
          <w:tcPr>
            <w:tcW w:w="988" w:type="pct"/>
            <w:tcBorders>
              <w:top w:val="nil"/>
              <w:left w:val="nil"/>
              <w:bottom w:val="single" w:sz="4" w:space="0" w:color="auto"/>
              <w:right w:val="single" w:sz="4" w:space="0" w:color="auto"/>
            </w:tcBorders>
            <w:shd w:val="clear" w:color="auto" w:fill="auto"/>
            <w:vAlign w:val="center"/>
            <w:hideMark/>
          </w:tcPr>
          <w:p w14:paraId="1F59E2AE"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Cálculos ProColombia.</w:t>
            </w:r>
          </w:p>
        </w:tc>
      </w:tr>
      <w:tr w:rsidR="00EE5D22" w:rsidRPr="00984DA8" w14:paraId="40612A2A"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54F8C479"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Razón Social</w:t>
            </w:r>
          </w:p>
        </w:tc>
        <w:tc>
          <w:tcPr>
            <w:tcW w:w="3108" w:type="pct"/>
            <w:tcBorders>
              <w:top w:val="nil"/>
              <w:left w:val="nil"/>
              <w:bottom w:val="single" w:sz="4" w:space="0" w:color="auto"/>
              <w:right w:val="single" w:sz="4" w:space="0" w:color="auto"/>
            </w:tcBorders>
            <w:shd w:val="clear" w:color="auto" w:fill="auto"/>
            <w:vAlign w:val="center"/>
            <w:hideMark/>
          </w:tcPr>
          <w:p w14:paraId="669642E7"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Razón social de la empresa.</w:t>
            </w:r>
          </w:p>
        </w:tc>
        <w:tc>
          <w:tcPr>
            <w:tcW w:w="988" w:type="pct"/>
            <w:tcBorders>
              <w:top w:val="nil"/>
              <w:left w:val="nil"/>
              <w:bottom w:val="single" w:sz="4" w:space="0" w:color="auto"/>
              <w:right w:val="single" w:sz="4" w:space="0" w:color="auto"/>
            </w:tcBorders>
            <w:shd w:val="clear" w:color="auto" w:fill="auto"/>
            <w:vAlign w:val="center"/>
            <w:hideMark/>
          </w:tcPr>
          <w:p w14:paraId="2D9175CE"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RUES, </w:t>
            </w:r>
            <w:proofErr w:type="spellStart"/>
            <w:r w:rsidRPr="00984DA8">
              <w:rPr>
                <w:rFonts w:ascii="Century Gothic" w:eastAsia="Times New Roman" w:hAnsi="Century Gothic" w:cs="Calibri"/>
                <w:color w:val="000000"/>
                <w:kern w:val="0"/>
                <w:sz w:val="20"/>
                <w:szCs w:val="20"/>
                <w:lang w:eastAsia="es-CO"/>
                <w14:ligatures w14:val="none"/>
              </w:rPr>
              <w:t>Supersociedades</w:t>
            </w:r>
            <w:proofErr w:type="spellEnd"/>
            <w:r w:rsidRPr="00984DA8">
              <w:rPr>
                <w:rFonts w:ascii="Century Gothic" w:eastAsia="Times New Roman" w:hAnsi="Century Gothic" w:cs="Calibri"/>
                <w:color w:val="000000"/>
                <w:kern w:val="0"/>
                <w:sz w:val="20"/>
                <w:szCs w:val="20"/>
                <w:lang w:eastAsia="es-CO"/>
                <w14:ligatures w14:val="none"/>
              </w:rPr>
              <w:t>, Directorio DANE, Exportaciones de bienes y servicios y CRM ProColombia.</w:t>
            </w:r>
          </w:p>
        </w:tc>
      </w:tr>
      <w:tr w:rsidR="00EE5D22" w:rsidRPr="00984DA8" w14:paraId="35FADA8E"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6A9B6E4A"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Representante legal</w:t>
            </w:r>
          </w:p>
        </w:tc>
        <w:tc>
          <w:tcPr>
            <w:tcW w:w="3108" w:type="pct"/>
            <w:tcBorders>
              <w:top w:val="nil"/>
              <w:left w:val="nil"/>
              <w:bottom w:val="single" w:sz="4" w:space="0" w:color="auto"/>
              <w:right w:val="single" w:sz="4" w:space="0" w:color="auto"/>
            </w:tcBorders>
            <w:shd w:val="clear" w:color="auto" w:fill="auto"/>
            <w:vAlign w:val="center"/>
            <w:hideMark/>
          </w:tcPr>
          <w:p w14:paraId="67E2EF56"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Representante legal de la empresa.</w:t>
            </w:r>
          </w:p>
        </w:tc>
        <w:tc>
          <w:tcPr>
            <w:tcW w:w="988" w:type="pct"/>
            <w:tcBorders>
              <w:top w:val="nil"/>
              <w:left w:val="nil"/>
              <w:bottom w:val="single" w:sz="4" w:space="0" w:color="auto"/>
              <w:right w:val="single" w:sz="4" w:space="0" w:color="auto"/>
            </w:tcBorders>
            <w:shd w:val="clear" w:color="auto" w:fill="auto"/>
            <w:vAlign w:val="center"/>
            <w:hideMark/>
          </w:tcPr>
          <w:p w14:paraId="0804AA03"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RUES.</w:t>
            </w:r>
          </w:p>
        </w:tc>
      </w:tr>
      <w:tr w:rsidR="00EE5D22" w:rsidRPr="00984DA8" w14:paraId="40E6F1D1"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739F4C87"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Sector exportaciones 2020-2022</w:t>
            </w:r>
          </w:p>
        </w:tc>
        <w:tc>
          <w:tcPr>
            <w:tcW w:w="3108" w:type="pct"/>
            <w:tcBorders>
              <w:top w:val="nil"/>
              <w:left w:val="nil"/>
              <w:bottom w:val="single" w:sz="4" w:space="0" w:color="auto"/>
              <w:right w:val="single" w:sz="4" w:space="0" w:color="auto"/>
            </w:tcBorders>
            <w:shd w:val="clear" w:color="auto" w:fill="auto"/>
            <w:vAlign w:val="center"/>
            <w:hideMark/>
          </w:tcPr>
          <w:p w14:paraId="4147DA2B"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Sector de la exportación, según Clasificación ProColombia.</w:t>
            </w:r>
          </w:p>
        </w:tc>
        <w:tc>
          <w:tcPr>
            <w:tcW w:w="988" w:type="pct"/>
            <w:tcBorders>
              <w:top w:val="nil"/>
              <w:left w:val="nil"/>
              <w:bottom w:val="single" w:sz="4" w:space="0" w:color="auto"/>
              <w:right w:val="single" w:sz="4" w:space="0" w:color="auto"/>
            </w:tcBorders>
            <w:shd w:val="clear" w:color="auto" w:fill="auto"/>
            <w:vAlign w:val="center"/>
            <w:hideMark/>
          </w:tcPr>
          <w:p w14:paraId="7C8978A9"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Clasificación ProColombia.</w:t>
            </w:r>
          </w:p>
        </w:tc>
      </w:tr>
      <w:tr w:rsidR="00EE5D22" w:rsidRPr="00984DA8" w14:paraId="4A096962"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76D7B3AB"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Sector* </w:t>
            </w:r>
            <w:proofErr w:type="spellStart"/>
            <w:r w:rsidRPr="00984DA8">
              <w:rPr>
                <w:rFonts w:ascii="Century Gothic" w:eastAsia="Times New Roman" w:hAnsi="Century Gothic" w:cs="Calibri"/>
                <w:color w:val="000000"/>
                <w:kern w:val="0"/>
                <w:sz w:val="20"/>
                <w:szCs w:val="20"/>
                <w:lang w:eastAsia="es-CO"/>
                <w14:ligatures w14:val="none"/>
              </w:rPr>
              <w:t>ult</w:t>
            </w:r>
            <w:proofErr w:type="spellEnd"/>
            <w:r w:rsidRPr="00984DA8">
              <w:rPr>
                <w:rFonts w:ascii="Century Gothic" w:eastAsia="Times New Roman" w:hAnsi="Century Gothic" w:cs="Calibri"/>
                <w:color w:val="000000"/>
                <w:kern w:val="0"/>
                <w:sz w:val="20"/>
                <w:szCs w:val="20"/>
                <w:lang w:eastAsia="es-CO"/>
                <w14:ligatures w14:val="none"/>
              </w:rPr>
              <w:t xml:space="preserve"> 10 años</w:t>
            </w:r>
          </w:p>
        </w:tc>
        <w:tc>
          <w:tcPr>
            <w:tcW w:w="3108" w:type="pct"/>
            <w:tcBorders>
              <w:top w:val="nil"/>
              <w:left w:val="nil"/>
              <w:bottom w:val="single" w:sz="4" w:space="0" w:color="auto"/>
              <w:right w:val="single" w:sz="4" w:space="0" w:color="auto"/>
            </w:tcBorders>
            <w:shd w:val="clear" w:color="auto" w:fill="auto"/>
            <w:vAlign w:val="center"/>
            <w:hideMark/>
          </w:tcPr>
          <w:p w14:paraId="4C1491AB"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Sector que más ha exportado la empresa en los últimos 10 años, según clasificación ProColombia.</w:t>
            </w:r>
          </w:p>
        </w:tc>
        <w:tc>
          <w:tcPr>
            <w:tcW w:w="988" w:type="pct"/>
            <w:tcBorders>
              <w:top w:val="nil"/>
              <w:left w:val="nil"/>
              <w:bottom w:val="single" w:sz="4" w:space="0" w:color="auto"/>
              <w:right w:val="single" w:sz="4" w:space="0" w:color="auto"/>
            </w:tcBorders>
            <w:shd w:val="clear" w:color="auto" w:fill="auto"/>
            <w:vAlign w:val="center"/>
            <w:hideMark/>
          </w:tcPr>
          <w:p w14:paraId="4C253259"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Cálculos ProColombia.</w:t>
            </w:r>
          </w:p>
        </w:tc>
      </w:tr>
      <w:tr w:rsidR="00EE5D22" w:rsidRPr="00984DA8" w14:paraId="1249689B"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661CA167"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Servicios prestados por ProColombia 2020-2022</w:t>
            </w:r>
          </w:p>
        </w:tc>
        <w:tc>
          <w:tcPr>
            <w:tcW w:w="3108" w:type="pct"/>
            <w:tcBorders>
              <w:top w:val="nil"/>
              <w:left w:val="nil"/>
              <w:bottom w:val="single" w:sz="4" w:space="0" w:color="auto"/>
              <w:right w:val="single" w:sz="4" w:space="0" w:color="auto"/>
            </w:tcBorders>
            <w:shd w:val="clear" w:color="auto" w:fill="auto"/>
            <w:vAlign w:val="center"/>
            <w:hideMark/>
          </w:tcPr>
          <w:p w14:paraId="7368CD39"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Indica si una empresa ha recibido servicios de parte de ProColombia en los últimos 3 años (2020-2022).</w:t>
            </w:r>
          </w:p>
        </w:tc>
        <w:tc>
          <w:tcPr>
            <w:tcW w:w="988" w:type="pct"/>
            <w:tcBorders>
              <w:top w:val="nil"/>
              <w:left w:val="nil"/>
              <w:bottom w:val="single" w:sz="4" w:space="0" w:color="auto"/>
              <w:right w:val="single" w:sz="4" w:space="0" w:color="auto"/>
            </w:tcBorders>
            <w:shd w:val="clear" w:color="auto" w:fill="auto"/>
            <w:vAlign w:val="center"/>
            <w:hideMark/>
          </w:tcPr>
          <w:p w14:paraId="1695F7A0"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CRM ProColombia.</w:t>
            </w:r>
          </w:p>
        </w:tc>
      </w:tr>
      <w:tr w:rsidR="00EE5D22" w:rsidRPr="00984DA8" w14:paraId="6798AA6C"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253EAD9E"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Subsector exportaciones 2020-2022</w:t>
            </w:r>
          </w:p>
        </w:tc>
        <w:tc>
          <w:tcPr>
            <w:tcW w:w="3108" w:type="pct"/>
            <w:tcBorders>
              <w:top w:val="nil"/>
              <w:left w:val="nil"/>
              <w:bottom w:val="single" w:sz="4" w:space="0" w:color="auto"/>
              <w:right w:val="single" w:sz="4" w:space="0" w:color="auto"/>
            </w:tcBorders>
            <w:shd w:val="clear" w:color="auto" w:fill="auto"/>
            <w:vAlign w:val="center"/>
            <w:hideMark/>
          </w:tcPr>
          <w:p w14:paraId="70975FC9"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En el caso de bienes, corresponde al subsector de la exportación, según Clasificación ProColombia. En el caso de servicios, corresponde al sector de la exportación, según Clasificación ProColombia, ya que no hay una clasificación por subsectores en servicios.</w:t>
            </w:r>
          </w:p>
        </w:tc>
        <w:tc>
          <w:tcPr>
            <w:tcW w:w="988" w:type="pct"/>
            <w:tcBorders>
              <w:top w:val="nil"/>
              <w:left w:val="nil"/>
              <w:bottom w:val="single" w:sz="4" w:space="0" w:color="auto"/>
              <w:right w:val="single" w:sz="4" w:space="0" w:color="auto"/>
            </w:tcBorders>
            <w:shd w:val="clear" w:color="auto" w:fill="auto"/>
            <w:vAlign w:val="center"/>
            <w:hideMark/>
          </w:tcPr>
          <w:p w14:paraId="7A42969B"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Clasificación ProColombia.</w:t>
            </w:r>
          </w:p>
        </w:tc>
      </w:tr>
      <w:tr w:rsidR="00EE5D22" w:rsidRPr="00984DA8" w14:paraId="654DCD7A"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66CEE3A6"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Subsector* </w:t>
            </w:r>
            <w:proofErr w:type="spellStart"/>
            <w:r w:rsidRPr="00984DA8">
              <w:rPr>
                <w:rFonts w:ascii="Century Gothic" w:eastAsia="Times New Roman" w:hAnsi="Century Gothic" w:cs="Calibri"/>
                <w:color w:val="000000"/>
                <w:kern w:val="0"/>
                <w:sz w:val="20"/>
                <w:szCs w:val="20"/>
                <w:lang w:eastAsia="es-CO"/>
                <w14:ligatures w14:val="none"/>
              </w:rPr>
              <w:t>ult</w:t>
            </w:r>
            <w:proofErr w:type="spellEnd"/>
            <w:r w:rsidRPr="00984DA8">
              <w:rPr>
                <w:rFonts w:ascii="Century Gothic" w:eastAsia="Times New Roman" w:hAnsi="Century Gothic" w:cs="Calibri"/>
                <w:color w:val="000000"/>
                <w:kern w:val="0"/>
                <w:sz w:val="20"/>
                <w:szCs w:val="20"/>
                <w:lang w:eastAsia="es-CO"/>
                <w14:ligatures w14:val="none"/>
              </w:rPr>
              <w:t xml:space="preserve"> 10 años</w:t>
            </w:r>
          </w:p>
        </w:tc>
        <w:tc>
          <w:tcPr>
            <w:tcW w:w="3108" w:type="pct"/>
            <w:tcBorders>
              <w:top w:val="nil"/>
              <w:left w:val="nil"/>
              <w:bottom w:val="single" w:sz="4" w:space="0" w:color="auto"/>
              <w:right w:val="single" w:sz="4" w:space="0" w:color="auto"/>
            </w:tcBorders>
            <w:shd w:val="clear" w:color="auto" w:fill="auto"/>
            <w:vAlign w:val="center"/>
            <w:hideMark/>
          </w:tcPr>
          <w:p w14:paraId="2A003F28"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Subsector que más ha exportado la empresa en los últimos 10 años, según clasificación ProColombia.</w:t>
            </w:r>
          </w:p>
        </w:tc>
        <w:tc>
          <w:tcPr>
            <w:tcW w:w="988" w:type="pct"/>
            <w:tcBorders>
              <w:top w:val="nil"/>
              <w:left w:val="nil"/>
              <w:bottom w:val="single" w:sz="4" w:space="0" w:color="auto"/>
              <w:right w:val="single" w:sz="4" w:space="0" w:color="auto"/>
            </w:tcBorders>
            <w:shd w:val="clear" w:color="auto" w:fill="auto"/>
            <w:vAlign w:val="center"/>
            <w:hideMark/>
          </w:tcPr>
          <w:p w14:paraId="6683B1ED"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Cálculos ProColombia.</w:t>
            </w:r>
          </w:p>
        </w:tc>
      </w:tr>
      <w:tr w:rsidR="00EE5D22" w:rsidRPr="00984DA8" w14:paraId="5A2D017B"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74D0AF3D"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Sucursal sociedad extranjera</w:t>
            </w:r>
          </w:p>
        </w:tc>
        <w:tc>
          <w:tcPr>
            <w:tcW w:w="3108" w:type="pct"/>
            <w:tcBorders>
              <w:top w:val="nil"/>
              <w:left w:val="nil"/>
              <w:bottom w:val="single" w:sz="4" w:space="0" w:color="auto"/>
              <w:right w:val="single" w:sz="4" w:space="0" w:color="auto"/>
            </w:tcBorders>
            <w:shd w:val="clear" w:color="auto" w:fill="auto"/>
            <w:vAlign w:val="center"/>
            <w:hideMark/>
          </w:tcPr>
          <w:p w14:paraId="04DFA2E9"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Empresa identificada como sucursal de sociedad extranjera.</w:t>
            </w:r>
          </w:p>
        </w:tc>
        <w:tc>
          <w:tcPr>
            <w:tcW w:w="988" w:type="pct"/>
            <w:tcBorders>
              <w:top w:val="nil"/>
              <w:left w:val="nil"/>
              <w:bottom w:val="single" w:sz="4" w:space="0" w:color="auto"/>
              <w:right w:val="single" w:sz="4" w:space="0" w:color="auto"/>
            </w:tcBorders>
            <w:shd w:val="clear" w:color="auto" w:fill="auto"/>
            <w:vAlign w:val="center"/>
            <w:hideMark/>
          </w:tcPr>
          <w:p w14:paraId="12797FEA"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proofErr w:type="spellStart"/>
            <w:r w:rsidRPr="00984DA8">
              <w:rPr>
                <w:rFonts w:ascii="Century Gothic" w:eastAsia="Times New Roman" w:hAnsi="Century Gothic" w:cs="Calibri"/>
                <w:color w:val="000000"/>
                <w:kern w:val="0"/>
                <w:sz w:val="20"/>
                <w:szCs w:val="20"/>
                <w:lang w:eastAsia="es-CO"/>
                <w14:ligatures w14:val="none"/>
              </w:rPr>
              <w:t>Supersociedades</w:t>
            </w:r>
            <w:proofErr w:type="spellEnd"/>
            <w:r w:rsidRPr="00984DA8">
              <w:rPr>
                <w:rFonts w:ascii="Century Gothic" w:eastAsia="Times New Roman" w:hAnsi="Century Gothic" w:cs="Calibri"/>
                <w:color w:val="000000"/>
                <w:kern w:val="0"/>
                <w:sz w:val="20"/>
                <w:szCs w:val="20"/>
                <w:lang w:eastAsia="es-CO"/>
                <w14:ligatures w14:val="none"/>
              </w:rPr>
              <w:t xml:space="preserve"> y RUES.</w:t>
            </w:r>
          </w:p>
        </w:tc>
      </w:tr>
      <w:tr w:rsidR="00EE5D22" w:rsidRPr="00984DA8" w14:paraId="19A41BFA"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0B9EC4D9"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lastRenderedPageBreak/>
              <w:t>Tamaño empresa</w:t>
            </w:r>
          </w:p>
        </w:tc>
        <w:tc>
          <w:tcPr>
            <w:tcW w:w="3108" w:type="pct"/>
            <w:tcBorders>
              <w:top w:val="nil"/>
              <w:left w:val="nil"/>
              <w:bottom w:val="single" w:sz="4" w:space="0" w:color="auto"/>
              <w:right w:val="single" w:sz="4" w:space="0" w:color="auto"/>
            </w:tcBorders>
            <w:shd w:val="clear" w:color="auto" w:fill="auto"/>
            <w:vAlign w:val="center"/>
            <w:hideMark/>
          </w:tcPr>
          <w:p w14:paraId="64F2614B"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Tamaño de la empresa según Decreto 957 de 2019. Se hizo el cálculo para las empresas que se encuentran entre las 10.000 más grandes del país según </w:t>
            </w:r>
            <w:proofErr w:type="spellStart"/>
            <w:r w:rsidRPr="00984DA8">
              <w:rPr>
                <w:rFonts w:ascii="Century Gothic" w:eastAsia="Times New Roman" w:hAnsi="Century Gothic" w:cs="Calibri"/>
                <w:color w:val="000000"/>
                <w:kern w:val="0"/>
                <w:sz w:val="20"/>
                <w:szCs w:val="20"/>
                <w:lang w:eastAsia="es-CO"/>
                <w14:ligatures w14:val="none"/>
              </w:rPr>
              <w:t>Supersociedades</w:t>
            </w:r>
            <w:proofErr w:type="spellEnd"/>
            <w:r w:rsidRPr="00984DA8">
              <w:rPr>
                <w:rFonts w:ascii="Century Gothic" w:eastAsia="Times New Roman" w:hAnsi="Century Gothic" w:cs="Calibri"/>
                <w:color w:val="000000"/>
                <w:kern w:val="0"/>
                <w:sz w:val="20"/>
                <w:szCs w:val="20"/>
                <w:lang w:eastAsia="es-CO"/>
                <w14:ligatures w14:val="none"/>
              </w:rPr>
              <w:t xml:space="preserve">. Para el resto de </w:t>
            </w:r>
            <w:proofErr w:type="gramStart"/>
            <w:r w:rsidRPr="00984DA8">
              <w:rPr>
                <w:rFonts w:ascii="Century Gothic" w:eastAsia="Times New Roman" w:hAnsi="Century Gothic" w:cs="Calibri"/>
                <w:color w:val="000000"/>
                <w:kern w:val="0"/>
                <w:sz w:val="20"/>
                <w:szCs w:val="20"/>
                <w:lang w:eastAsia="es-CO"/>
                <w14:ligatures w14:val="none"/>
              </w:rPr>
              <w:t>empresas</w:t>
            </w:r>
            <w:proofErr w:type="gramEnd"/>
            <w:r w:rsidRPr="00984DA8">
              <w:rPr>
                <w:rFonts w:ascii="Century Gothic" w:eastAsia="Times New Roman" w:hAnsi="Century Gothic" w:cs="Calibri"/>
                <w:color w:val="000000"/>
                <w:kern w:val="0"/>
                <w:sz w:val="20"/>
                <w:szCs w:val="20"/>
                <w:lang w:eastAsia="es-CO"/>
                <w14:ligatures w14:val="none"/>
              </w:rPr>
              <w:t>, se tomó lo publicado por el RUES con corte a 4 de mayo de 2023.</w:t>
            </w:r>
          </w:p>
        </w:tc>
        <w:tc>
          <w:tcPr>
            <w:tcW w:w="988" w:type="pct"/>
            <w:tcBorders>
              <w:top w:val="nil"/>
              <w:left w:val="nil"/>
              <w:bottom w:val="single" w:sz="4" w:space="0" w:color="auto"/>
              <w:right w:val="single" w:sz="4" w:space="0" w:color="auto"/>
            </w:tcBorders>
            <w:shd w:val="clear" w:color="auto" w:fill="auto"/>
            <w:vAlign w:val="center"/>
            <w:hideMark/>
          </w:tcPr>
          <w:p w14:paraId="418B5762"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Cálculos ProColombia con base en </w:t>
            </w:r>
            <w:proofErr w:type="spellStart"/>
            <w:r w:rsidRPr="00984DA8">
              <w:rPr>
                <w:rFonts w:ascii="Century Gothic" w:eastAsia="Times New Roman" w:hAnsi="Century Gothic" w:cs="Calibri"/>
                <w:color w:val="000000"/>
                <w:kern w:val="0"/>
                <w:sz w:val="20"/>
                <w:szCs w:val="20"/>
                <w:lang w:eastAsia="es-CO"/>
                <w14:ligatures w14:val="none"/>
              </w:rPr>
              <w:t>Supersociedades</w:t>
            </w:r>
            <w:proofErr w:type="spellEnd"/>
            <w:r w:rsidRPr="00984DA8">
              <w:rPr>
                <w:rFonts w:ascii="Century Gothic" w:eastAsia="Times New Roman" w:hAnsi="Century Gothic" w:cs="Calibri"/>
                <w:color w:val="000000"/>
                <w:kern w:val="0"/>
                <w:sz w:val="20"/>
                <w:szCs w:val="20"/>
                <w:lang w:eastAsia="es-CO"/>
                <w14:ligatures w14:val="none"/>
              </w:rPr>
              <w:t xml:space="preserve"> y tamaño reportado en RUES.</w:t>
            </w:r>
          </w:p>
        </w:tc>
      </w:tr>
      <w:tr w:rsidR="00EE5D22" w:rsidRPr="00984DA8" w14:paraId="0BA07542"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47D20356"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Teléfono</w:t>
            </w:r>
          </w:p>
        </w:tc>
        <w:tc>
          <w:tcPr>
            <w:tcW w:w="3108" w:type="pct"/>
            <w:tcBorders>
              <w:top w:val="nil"/>
              <w:left w:val="nil"/>
              <w:bottom w:val="single" w:sz="4" w:space="0" w:color="auto"/>
              <w:right w:val="single" w:sz="4" w:space="0" w:color="auto"/>
            </w:tcBorders>
            <w:shd w:val="clear" w:color="auto" w:fill="auto"/>
            <w:vAlign w:val="center"/>
            <w:hideMark/>
          </w:tcPr>
          <w:p w14:paraId="5ED6D8F3"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Teléfono comercial de la empresa.</w:t>
            </w:r>
          </w:p>
        </w:tc>
        <w:tc>
          <w:tcPr>
            <w:tcW w:w="988" w:type="pct"/>
            <w:tcBorders>
              <w:top w:val="nil"/>
              <w:left w:val="nil"/>
              <w:bottom w:val="single" w:sz="4" w:space="0" w:color="auto"/>
              <w:right w:val="single" w:sz="4" w:space="0" w:color="auto"/>
            </w:tcBorders>
            <w:shd w:val="clear" w:color="auto" w:fill="auto"/>
            <w:vAlign w:val="center"/>
            <w:hideMark/>
          </w:tcPr>
          <w:p w14:paraId="734DD2E4"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RUES, </w:t>
            </w:r>
            <w:proofErr w:type="spellStart"/>
            <w:r w:rsidRPr="00984DA8">
              <w:rPr>
                <w:rFonts w:ascii="Century Gothic" w:eastAsia="Times New Roman" w:hAnsi="Century Gothic" w:cs="Calibri"/>
                <w:color w:val="000000"/>
                <w:kern w:val="0"/>
                <w:sz w:val="20"/>
                <w:szCs w:val="20"/>
                <w:lang w:eastAsia="es-CO"/>
                <w14:ligatures w14:val="none"/>
              </w:rPr>
              <w:t>Supersociedades</w:t>
            </w:r>
            <w:proofErr w:type="spellEnd"/>
            <w:r w:rsidRPr="00984DA8">
              <w:rPr>
                <w:rFonts w:ascii="Century Gothic" w:eastAsia="Times New Roman" w:hAnsi="Century Gothic" w:cs="Calibri"/>
                <w:color w:val="000000"/>
                <w:kern w:val="0"/>
                <w:sz w:val="20"/>
                <w:szCs w:val="20"/>
                <w:lang w:eastAsia="es-CO"/>
                <w14:ligatures w14:val="none"/>
              </w:rPr>
              <w:t xml:space="preserve"> y Directorio DANE.</w:t>
            </w:r>
          </w:p>
        </w:tc>
      </w:tr>
      <w:tr w:rsidR="00EE5D22" w:rsidRPr="00984DA8" w14:paraId="2CE538BE"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25BF2558"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Tipo</w:t>
            </w:r>
          </w:p>
        </w:tc>
        <w:tc>
          <w:tcPr>
            <w:tcW w:w="3108" w:type="pct"/>
            <w:tcBorders>
              <w:top w:val="nil"/>
              <w:left w:val="nil"/>
              <w:bottom w:val="single" w:sz="4" w:space="0" w:color="auto"/>
              <w:right w:val="single" w:sz="4" w:space="0" w:color="auto"/>
            </w:tcBorders>
            <w:shd w:val="clear" w:color="auto" w:fill="auto"/>
            <w:vAlign w:val="center"/>
            <w:hideMark/>
          </w:tcPr>
          <w:p w14:paraId="31085592"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Tipo minero o no minero de la exportación, según Clasificación ProColombia.</w:t>
            </w:r>
          </w:p>
        </w:tc>
        <w:tc>
          <w:tcPr>
            <w:tcW w:w="988" w:type="pct"/>
            <w:tcBorders>
              <w:top w:val="nil"/>
              <w:left w:val="nil"/>
              <w:bottom w:val="single" w:sz="4" w:space="0" w:color="auto"/>
              <w:right w:val="single" w:sz="4" w:space="0" w:color="auto"/>
            </w:tcBorders>
            <w:shd w:val="clear" w:color="auto" w:fill="auto"/>
            <w:vAlign w:val="center"/>
            <w:hideMark/>
          </w:tcPr>
          <w:p w14:paraId="27C78926"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Clasificación ProColombia.</w:t>
            </w:r>
          </w:p>
        </w:tc>
      </w:tr>
      <w:tr w:rsidR="00EE5D22" w:rsidRPr="00984DA8" w14:paraId="27B6E970"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70BEA4DE"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Trayectoria exportadora</w:t>
            </w:r>
          </w:p>
        </w:tc>
        <w:tc>
          <w:tcPr>
            <w:tcW w:w="3108" w:type="pct"/>
            <w:tcBorders>
              <w:top w:val="nil"/>
              <w:left w:val="nil"/>
              <w:bottom w:val="single" w:sz="4" w:space="0" w:color="auto"/>
              <w:right w:val="single" w:sz="4" w:space="0" w:color="auto"/>
            </w:tcBorders>
            <w:shd w:val="clear" w:color="auto" w:fill="auto"/>
            <w:vAlign w:val="center"/>
            <w:hideMark/>
          </w:tcPr>
          <w:p w14:paraId="5CC7BC4D"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Identifica la trayectoria exportadora de las empresas, clasificándolas en: </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Top Exportadora:</w:t>
            </w:r>
            <w:r w:rsidRPr="00984DA8">
              <w:rPr>
                <w:rFonts w:ascii="Century Gothic" w:eastAsia="Times New Roman" w:hAnsi="Century Gothic" w:cs="Calibri"/>
                <w:color w:val="000000"/>
                <w:kern w:val="0"/>
                <w:sz w:val="20"/>
                <w:szCs w:val="20"/>
                <w:lang w:eastAsia="es-CO"/>
                <w14:ligatures w14:val="none"/>
              </w:rPr>
              <w:t xml:space="preserve"> empresas que representan el 80% de las exportaciones colombianas o que en el año 2022 hayan exportado más USD 6.000.000.  Deben haber exportado de manera continua en los últimos tres años (2020-2022).</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PYMEX:</w:t>
            </w:r>
            <w:r w:rsidRPr="00984DA8">
              <w:rPr>
                <w:rFonts w:ascii="Century Gothic" w:eastAsia="Times New Roman" w:hAnsi="Century Gothic" w:cs="Calibri"/>
                <w:color w:val="000000"/>
                <w:kern w:val="0"/>
                <w:sz w:val="20"/>
                <w:szCs w:val="20"/>
                <w:lang w:eastAsia="es-CO"/>
                <w14:ligatures w14:val="none"/>
              </w:rPr>
              <w:t xml:space="preserve"> empresas que por tres años consecutivos (2020-2022) exportaron montos superiores o iguales a USD 10.000.</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No Constantes:</w:t>
            </w:r>
            <w:r w:rsidRPr="00984DA8">
              <w:rPr>
                <w:rFonts w:ascii="Century Gothic" w:eastAsia="Times New Roman" w:hAnsi="Century Gothic" w:cs="Calibri"/>
                <w:color w:val="000000"/>
                <w:kern w:val="0"/>
                <w:sz w:val="20"/>
                <w:szCs w:val="20"/>
                <w:lang w:eastAsia="es-CO"/>
                <w14:ligatures w14:val="none"/>
              </w:rPr>
              <w:t xml:space="preserve"> empresas que han exportado de manera no constante durante los últimos tres años (2020-2022) sin importar el monto y/o exportaron constantemente pero menos de USD 10.000 durante este mismo periodo.</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Futuros exportadores:</w:t>
            </w:r>
            <w:r w:rsidRPr="00984DA8">
              <w:rPr>
                <w:rFonts w:ascii="Century Gothic" w:eastAsia="Times New Roman" w:hAnsi="Century Gothic" w:cs="Calibri"/>
                <w:color w:val="000000"/>
                <w:kern w:val="0"/>
                <w:sz w:val="20"/>
                <w:szCs w:val="20"/>
                <w:lang w:eastAsia="es-CO"/>
                <w14:ligatures w14:val="none"/>
              </w:rPr>
              <w:t xml:space="preserve"> empresas que nunca han exportado o realizaron alguna exportación hace más de 3 años. También incluyen las empresas que exportaron por primera vez en 2022.</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Mineras, chatarra, otros:</w:t>
            </w:r>
            <w:r w:rsidRPr="00984DA8">
              <w:rPr>
                <w:rFonts w:ascii="Century Gothic" w:eastAsia="Times New Roman" w:hAnsi="Century Gothic" w:cs="Calibri"/>
                <w:color w:val="000000"/>
                <w:kern w:val="0"/>
                <w:sz w:val="20"/>
                <w:szCs w:val="20"/>
                <w:lang w:eastAsia="es-CO"/>
                <w14:ligatures w14:val="none"/>
              </w:rPr>
              <w:t xml:space="preserve"> Empresas cuyas exportaciones entre 2013 y 2022 correspondieron principalmente a productos mineros, desperdicios y desechos de minerales metálicos, envíos postales, objetos de arte, antigüedades, menajes, instrumentos musicales o servicios petroleros.</w:t>
            </w:r>
          </w:p>
        </w:tc>
        <w:tc>
          <w:tcPr>
            <w:tcW w:w="988" w:type="pct"/>
            <w:tcBorders>
              <w:top w:val="nil"/>
              <w:left w:val="nil"/>
              <w:bottom w:val="single" w:sz="4" w:space="0" w:color="auto"/>
              <w:right w:val="single" w:sz="4" w:space="0" w:color="auto"/>
            </w:tcBorders>
            <w:shd w:val="clear" w:color="auto" w:fill="auto"/>
            <w:vAlign w:val="center"/>
            <w:hideMark/>
          </w:tcPr>
          <w:p w14:paraId="758FC64A"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Cálculos ProColombia.</w:t>
            </w:r>
          </w:p>
        </w:tc>
      </w:tr>
      <w:tr w:rsidR="00EE5D22" w:rsidRPr="005416C0" w14:paraId="664D80E7"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2F263E89"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lastRenderedPageBreak/>
              <w:t>Valor agregado actividad empresa</w:t>
            </w:r>
          </w:p>
        </w:tc>
        <w:tc>
          <w:tcPr>
            <w:tcW w:w="3108" w:type="pct"/>
            <w:tcBorders>
              <w:top w:val="nil"/>
              <w:left w:val="nil"/>
              <w:bottom w:val="single" w:sz="4" w:space="0" w:color="auto"/>
              <w:right w:val="single" w:sz="4" w:space="0" w:color="auto"/>
            </w:tcBorders>
            <w:shd w:val="clear" w:color="auto" w:fill="auto"/>
            <w:vAlign w:val="center"/>
            <w:hideMark/>
          </w:tcPr>
          <w:p w14:paraId="6939E73B"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Tiene en cuenta la actividad económica principal de la empresa para clasificarla en intensidad tecnológica, si la empresa produce bienes, o en intensidad en conocimiento, si la empresa produce servicios. Según sea el caso, las empresas se clasifican en:</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Bienes primarios:</w:t>
            </w:r>
            <w:r w:rsidRPr="00984DA8">
              <w:rPr>
                <w:rFonts w:ascii="Century Gothic" w:eastAsia="Times New Roman" w:hAnsi="Century Gothic" w:cs="Calibri"/>
                <w:color w:val="000000"/>
                <w:kern w:val="0"/>
                <w:sz w:val="20"/>
                <w:szCs w:val="20"/>
                <w:lang w:eastAsia="es-CO"/>
                <w14:ligatures w14:val="none"/>
              </w:rPr>
              <w:t xml:space="preserve"> Se refiere al cultivo de productos agrícolas, cría de animales, pesca y extracción de minerales y otros recursos directamente de la naturaleza.</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Bienes de tecnología baja:</w:t>
            </w:r>
            <w:r w:rsidRPr="00984DA8">
              <w:rPr>
                <w:rFonts w:ascii="Century Gothic" w:eastAsia="Times New Roman" w:hAnsi="Century Gothic" w:cs="Calibri"/>
                <w:color w:val="000000"/>
                <w:kern w:val="0"/>
                <w:sz w:val="20"/>
                <w:szCs w:val="20"/>
                <w:lang w:eastAsia="es-CO"/>
                <w14:ligatures w14:val="none"/>
              </w:rPr>
              <w:t xml:space="preserve"> Incluye la producción de alimentos procesados, madera, muebles, papel, textiles, ropa, calzado y joyas.</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 xml:space="preserve">Bienes de tecnología media-baja: </w:t>
            </w:r>
            <w:r w:rsidRPr="00984DA8">
              <w:rPr>
                <w:rFonts w:ascii="Century Gothic" w:eastAsia="Times New Roman" w:hAnsi="Century Gothic" w:cs="Calibri"/>
                <w:color w:val="000000"/>
                <w:kern w:val="0"/>
                <w:sz w:val="20"/>
                <w:szCs w:val="20"/>
                <w:lang w:eastAsia="es-CO"/>
                <w14:ligatures w14:val="none"/>
              </w:rPr>
              <w:t>Comprende productos de la refinación del petróleo, mezcla de combustibles, llantas, neumáticos, artículos de plástico y caucho, productos de vidrio, cerámica y porcelana, materiales para la construcción y productos elaborados de metal.</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Bienes de tecnología media-alta:</w:t>
            </w:r>
            <w:r w:rsidRPr="00984DA8">
              <w:rPr>
                <w:rFonts w:ascii="Century Gothic" w:eastAsia="Times New Roman" w:hAnsi="Century Gothic" w:cs="Calibri"/>
                <w:color w:val="000000"/>
                <w:kern w:val="0"/>
                <w:sz w:val="20"/>
                <w:szCs w:val="20"/>
                <w:lang w:eastAsia="es-CO"/>
                <w14:ligatures w14:val="none"/>
              </w:rPr>
              <w:t xml:space="preserve"> incluye fabricación de sustancias y productos químicos, maquinaria y equipo, aparatos de uso doméstico, vehículos, motocicletas, barcos, locomotoras y aeronaves.</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Bienes de tecnología alta:</w:t>
            </w:r>
            <w:r w:rsidRPr="00984DA8">
              <w:rPr>
                <w:rFonts w:ascii="Century Gothic" w:eastAsia="Times New Roman" w:hAnsi="Century Gothic" w:cs="Calibri"/>
                <w:color w:val="000000"/>
                <w:kern w:val="0"/>
                <w:sz w:val="20"/>
                <w:szCs w:val="20"/>
                <w:lang w:eastAsia="es-CO"/>
                <w14:ligatures w14:val="none"/>
              </w:rPr>
              <w:t xml:space="preserve"> Incluye fabricación de productos farmacéuticos, componentes y tableros electrónicos, computadoras, equipos de comunicación, aparatos electrónicos, equipo de medición e instrumentos ópticos.</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 xml:space="preserve">Servicios menos intensivos en conocimiento: </w:t>
            </w:r>
            <w:r w:rsidRPr="00984DA8">
              <w:rPr>
                <w:rFonts w:ascii="Century Gothic" w:eastAsia="Times New Roman" w:hAnsi="Century Gothic" w:cs="Calibri"/>
                <w:color w:val="000000"/>
                <w:kern w:val="0"/>
                <w:sz w:val="20"/>
                <w:szCs w:val="20"/>
                <w:lang w:eastAsia="es-CO"/>
                <w14:ligatures w14:val="none"/>
              </w:rPr>
              <w:t xml:space="preserve">Comprende actividades como comercio, mantenimiento, reparación, transporte terrestre, almacenamiento, actividades postales, alojamiento, alimentación, agencias de viaje y actividades inmobiliarias. </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 xml:space="preserve">Servicios de mercado intensivos en conocimiento: </w:t>
            </w:r>
            <w:r w:rsidRPr="00984DA8">
              <w:rPr>
                <w:rFonts w:ascii="Century Gothic" w:eastAsia="Times New Roman" w:hAnsi="Century Gothic" w:cs="Calibri"/>
                <w:color w:val="000000"/>
                <w:kern w:val="0"/>
                <w:sz w:val="20"/>
                <w:szCs w:val="20"/>
                <w:lang w:eastAsia="es-CO"/>
                <w14:ligatures w14:val="none"/>
              </w:rPr>
              <w:t>Comprende servicios como transporte aéreo y acuático, actividades legales, contables, arquitectura, ingeniería, publicidad, investigación de mercados, BPO.</w:t>
            </w:r>
            <w:r w:rsidRPr="00984DA8">
              <w:rPr>
                <w:rFonts w:ascii="Century Gothic" w:eastAsia="Times New Roman" w:hAnsi="Century Gothic" w:cs="Calibri"/>
                <w:b/>
                <w:bCs/>
                <w:color w:val="000000"/>
                <w:kern w:val="0"/>
                <w:sz w:val="20"/>
                <w:szCs w:val="20"/>
                <w:lang w:eastAsia="es-CO"/>
                <w14:ligatures w14:val="none"/>
              </w:rPr>
              <w:br/>
              <w:t>Servicios financieros intensivos en conocimiento:</w:t>
            </w:r>
            <w:r w:rsidRPr="00984DA8">
              <w:rPr>
                <w:rFonts w:ascii="Century Gothic" w:eastAsia="Times New Roman" w:hAnsi="Century Gothic" w:cs="Calibri"/>
                <w:color w:val="000000"/>
                <w:kern w:val="0"/>
                <w:sz w:val="20"/>
                <w:szCs w:val="20"/>
                <w:lang w:eastAsia="es-CO"/>
                <w14:ligatures w14:val="none"/>
              </w:rPr>
              <w:t xml:space="preserve"> Se enfoca en actividades financieras y de seguros.</w:t>
            </w:r>
            <w:r w:rsidRPr="00984DA8">
              <w:rPr>
                <w:rFonts w:ascii="Century Gothic" w:eastAsia="Times New Roman" w:hAnsi="Century Gothic" w:cs="Calibri"/>
                <w:color w:val="000000"/>
                <w:kern w:val="0"/>
                <w:sz w:val="20"/>
                <w:szCs w:val="20"/>
                <w:lang w:eastAsia="es-CO"/>
                <w14:ligatures w14:val="none"/>
              </w:rPr>
              <w:br/>
              <w:t>Otros servicios intensivos en conocimiento: Engloba una gama amplia de actividades como editorial, salud, educación, administración pública, defensa, arte, entretenimiento y recreación.</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Servicios de alta tecnología intensivos en conocimiento:</w:t>
            </w:r>
            <w:r w:rsidRPr="00984DA8">
              <w:rPr>
                <w:rFonts w:ascii="Century Gothic" w:eastAsia="Times New Roman" w:hAnsi="Century Gothic" w:cs="Calibri"/>
                <w:color w:val="000000"/>
                <w:kern w:val="0"/>
                <w:sz w:val="20"/>
                <w:szCs w:val="20"/>
                <w:lang w:eastAsia="es-CO"/>
                <w14:ligatures w14:val="none"/>
              </w:rPr>
              <w:t xml:space="preserve"> Incluye actividades relacionadas con la producción de medios audiovisuales, grabación de sonido y música, telecomunicaciones, software y servicios TI, servicios de información e investigación y desarrollo científico.</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lastRenderedPageBreak/>
              <w:t>Servicios no clasificados:</w:t>
            </w:r>
            <w:r w:rsidRPr="00984DA8">
              <w:rPr>
                <w:rFonts w:ascii="Century Gothic" w:eastAsia="Times New Roman" w:hAnsi="Century Gothic" w:cs="Calibri"/>
                <w:color w:val="000000"/>
                <w:kern w:val="0"/>
                <w:sz w:val="20"/>
                <w:szCs w:val="20"/>
                <w:lang w:eastAsia="es-CO"/>
                <w14:ligatures w14:val="none"/>
              </w:rPr>
              <w:t xml:space="preserve"> Relacionados con servicios públicos y construcción.</w:t>
            </w:r>
          </w:p>
        </w:tc>
        <w:tc>
          <w:tcPr>
            <w:tcW w:w="988" w:type="pct"/>
            <w:tcBorders>
              <w:top w:val="nil"/>
              <w:left w:val="nil"/>
              <w:bottom w:val="single" w:sz="4" w:space="0" w:color="auto"/>
              <w:right w:val="single" w:sz="4" w:space="0" w:color="auto"/>
            </w:tcBorders>
            <w:shd w:val="clear" w:color="auto" w:fill="auto"/>
            <w:vAlign w:val="center"/>
            <w:hideMark/>
          </w:tcPr>
          <w:p w14:paraId="6D68BDFD"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val="en-US" w:eastAsia="es-CO"/>
                <w14:ligatures w14:val="none"/>
              </w:rPr>
            </w:pPr>
            <w:proofErr w:type="spellStart"/>
            <w:r w:rsidRPr="00984DA8">
              <w:rPr>
                <w:rFonts w:ascii="Century Gothic" w:eastAsia="Times New Roman" w:hAnsi="Century Gothic" w:cs="Calibri"/>
                <w:color w:val="000000"/>
                <w:kern w:val="0"/>
                <w:sz w:val="20"/>
                <w:szCs w:val="20"/>
                <w:lang w:val="en-US" w:eastAsia="es-CO"/>
                <w14:ligatures w14:val="none"/>
              </w:rPr>
              <w:lastRenderedPageBreak/>
              <w:t>Definición</w:t>
            </w:r>
            <w:proofErr w:type="spellEnd"/>
            <w:r w:rsidRPr="00984DA8">
              <w:rPr>
                <w:rFonts w:ascii="Century Gothic" w:eastAsia="Times New Roman" w:hAnsi="Century Gothic" w:cs="Calibri"/>
                <w:color w:val="000000"/>
                <w:kern w:val="0"/>
                <w:sz w:val="20"/>
                <w:szCs w:val="20"/>
                <w:lang w:val="en-US" w:eastAsia="es-CO"/>
                <w14:ligatures w14:val="none"/>
              </w:rPr>
              <w:t xml:space="preserve"> </w:t>
            </w:r>
            <w:proofErr w:type="spellStart"/>
            <w:r w:rsidRPr="00984DA8">
              <w:rPr>
                <w:rFonts w:ascii="Century Gothic" w:eastAsia="Times New Roman" w:hAnsi="Century Gothic" w:cs="Calibri"/>
                <w:color w:val="000000"/>
                <w:kern w:val="0"/>
                <w:sz w:val="20"/>
                <w:szCs w:val="20"/>
                <w:lang w:val="en-US" w:eastAsia="es-CO"/>
                <w14:ligatures w14:val="none"/>
              </w:rPr>
              <w:t>ProColombia</w:t>
            </w:r>
            <w:proofErr w:type="spellEnd"/>
            <w:r w:rsidRPr="00984DA8">
              <w:rPr>
                <w:rFonts w:ascii="Century Gothic" w:eastAsia="Times New Roman" w:hAnsi="Century Gothic" w:cs="Calibri"/>
                <w:color w:val="000000"/>
                <w:kern w:val="0"/>
                <w:sz w:val="20"/>
                <w:szCs w:val="20"/>
                <w:lang w:val="en-US" w:eastAsia="es-CO"/>
                <w14:ligatures w14:val="none"/>
              </w:rPr>
              <w:t xml:space="preserve"> </w:t>
            </w:r>
            <w:proofErr w:type="spellStart"/>
            <w:r w:rsidRPr="00984DA8">
              <w:rPr>
                <w:rFonts w:ascii="Century Gothic" w:eastAsia="Times New Roman" w:hAnsi="Century Gothic" w:cs="Calibri"/>
                <w:color w:val="000000"/>
                <w:kern w:val="0"/>
                <w:sz w:val="20"/>
                <w:szCs w:val="20"/>
                <w:lang w:val="en-US" w:eastAsia="es-CO"/>
                <w14:ligatures w14:val="none"/>
              </w:rPr>
              <w:t>basada</w:t>
            </w:r>
            <w:proofErr w:type="spellEnd"/>
            <w:r w:rsidRPr="00984DA8">
              <w:rPr>
                <w:rFonts w:ascii="Century Gothic" w:eastAsia="Times New Roman" w:hAnsi="Century Gothic" w:cs="Calibri"/>
                <w:color w:val="000000"/>
                <w:kern w:val="0"/>
                <w:sz w:val="20"/>
                <w:szCs w:val="20"/>
                <w:lang w:val="en-US" w:eastAsia="es-CO"/>
                <w14:ligatures w14:val="none"/>
              </w:rPr>
              <w:t xml:space="preserve"> </w:t>
            </w:r>
            <w:proofErr w:type="spellStart"/>
            <w:r w:rsidRPr="00984DA8">
              <w:rPr>
                <w:rFonts w:ascii="Century Gothic" w:eastAsia="Times New Roman" w:hAnsi="Century Gothic" w:cs="Calibri"/>
                <w:color w:val="000000"/>
                <w:kern w:val="0"/>
                <w:sz w:val="20"/>
                <w:szCs w:val="20"/>
                <w:lang w:val="en-US" w:eastAsia="es-CO"/>
                <w14:ligatures w14:val="none"/>
              </w:rPr>
              <w:t>en</w:t>
            </w:r>
            <w:proofErr w:type="spellEnd"/>
            <w:r w:rsidRPr="00984DA8">
              <w:rPr>
                <w:rFonts w:ascii="Century Gothic" w:eastAsia="Times New Roman" w:hAnsi="Century Gothic" w:cs="Calibri"/>
                <w:color w:val="000000"/>
                <w:kern w:val="0"/>
                <w:sz w:val="20"/>
                <w:szCs w:val="20"/>
                <w:lang w:val="en-US" w:eastAsia="es-CO"/>
                <w14:ligatures w14:val="none"/>
              </w:rPr>
              <w:t>: "Eurostat indicators on High-tech industry and Knowledge – intensive services".</w:t>
            </w:r>
          </w:p>
        </w:tc>
      </w:tr>
      <w:tr w:rsidR="00EE5D22" w:rsidRPr="00984DA8" w14:paraId="3B4DA5B5"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465710A2"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lastRenderedPageBreak/>
              <w:t>Valor agregado exportaciones</w:t>
            </w:r>
          </w:p>
        </w:tc>
        <w:tc>
          <w:tcPr>
            <w:tcW w:w="3108" w:type="pct"/>
            <w:tcBorders>
              <w:top w:val="nil"/>
              <w:left w:val="nil"/>
              <w:bottom w:val="single" w:sz="4" w:space="0" w:color="auto"/>
              <w:right w:val="single" w:sz="4" w:space="0" w:color="auto"/>
            </w:tcBorders>
            <w:shd w:val="clear" w:color="auto" w:fill="auto"/>
            <w:vAlign w:val="center"/>
            <w:hideMark/>
          </w:tcPr>
          <w:p w14:paraId="1525F437"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Para exportaciones, identifica la intensidad tecnológica del bien o la intensidad en conocimiento del servicio exportado. Según sea el caso, se clasifica en: </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Bienes primarios:</w:t>
            </w:r>
            <w:r w:rsidRPr="00984DA8">
              <w:rPr>
                <w:rFonts w:ascii="Century Gothic" w:eastAsia="Times New Roman" w:hAnsi="Century Gothic" w:cs="Calibri"/>
                <w:color w:val="000000"/>
                <w:kern w:val="0"/>
                <w:sz w:val="20"/>
                <w:szCs w:val="20"/>
                <w:lang w:eastAsia="es-CO"/>
                <w14:ligatures w14:val="none"/>
              </w:rPr>
              <w:t xml:space="preserve"> Se refiere a productos que no han sido procesados o manufacturados significativamente, a menudo incluyen productos agrícolas, minerales y otros recursos extraídos directamente de la naturaleza.</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 xml:space="preserve">Manufacturas basadas en recursos naturales: </w:t>
            </w:r>
            <w:r w:rsidRPr="00984DA8">
              <w:rPr>
                <w:rFonts w:ascii="Century Gothic" w:eastAsia="Times New Roman" w:hAnsi="Century Gothic" w:cs="Calibri"/>
                <w:color w:val="000000"/>
                <w:kern w:val="0"/>
                <w:sz w:val="20"/>
                <w:szCs w:val="20"/>
                <w:lang w:eastAsia="es-CO"/>
                <w14:ligatures w14:val="none"/>
              </w:rPr>
              <w:t>Estas son manufacturas que utilizan intensivamente los recursos naturales y tienden a ser simples e intensivos en mano de obra. Incluyen productos como alimentos procesados, madera, papel y metales que dependen en gran medida de las materias primas disponibles localmente.</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 xml:space="preserve">Manufacturas de baja tecnología: </w:t>
            </w:r>
            <w:r w:rsidRPr="00984DA8">
              <w:rPr>
                <w:rFonts w:ascii="Century Gothic" w:eastAsia="Times New Roman" w:hAnsi="Century Gothic" w:cs="Calibri"/>
                <w:color w:val="000000"/>
                <w:kern w:val="0"/>
                <w:sz w:val="20"/>
                <w:szCs w:val="20"/>
                <w:lang w:eastAsia="es-CO"/>
                <w14:ligatures w14:val="none"/>
              </w:rPr>
              <w:t>Son productos que requieren poco desarrollo tecnológico y poca investigación y desarrollo (I+D). Tienden a tener tecnologías estables y bien difundidas. Típicamente incluyen productos como textiles, ropa, calzado y otros bienes que dependen principalmente de la mano de obra y procesos productivos relativamente simples.</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Manufacturas de tecnología media:</w:t>
            </w:r>
            <w:r w:rsidRPr="00984DA8">
              <w:rPr>
                <w:rFonts w:ascii="Century Gothic" w:eastAsia="Times New Roman" w:hAnsi="Century Gothic" w:cs="Calibri"/>
                <w:color w:val="000000"/>
                <w:kern w:val="0"/>
                <w:sz w:val="20"/>
                <w:szCs w:val="20"/>
                <w:lang w:eastAsia="es-CO"/>
                <w14:ligatures w14:val="none"/>
              </w:rPr>
              <w:t xml:space="preserve"> productos que requieren una inversión moderada en investigación y desarrollo (I+D), implican tecnologías complejas y habilidades avanzadas (capital humano), y tienen periodos de aprendizaje extensos. Estos pueden incluir algunos tipos de maquinaria, vehículos de motor, productos químicos y plásticos que requieren tecnología más avanzada y procesos de producción más complejos que las manufacturas de baja tecnología.</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Manufacturas de alta tecnología:</w:t>
            </w:r>
            <w:r w:rsidRPr="00984DA8">
              <w:rPr>
                <w:rFonts w:ascii="Century Gothic" w:eastAsia="Times New Roman" w:hAnsi="Century Gothic" w:cs="Calibri"/>
                <w:color w:val="000000"/>
                <w:kern w:val="0"/>
                <w:sz w:val="20"/>
                <w:szCs w:val="20"/>
                <w:lang w:eastAsia="es-CO"/>
                <w14:ligatures w14:val="none"/>
              </w:rPr>
              <w:t xml:space="preserve"> Son bienes que están en la vanguardia tecnológica e implican altos niveles de I+D, innovación y conocimientos especializados. Las manufacturas de alta tecnología son productos que incorporan tecnologías avanzadas y en constante evolución, con altas inversiones en investigación y desarrollo (I+D) y un énfasis principal en el diseño de productos. Estos productos requieren infraestructuras tecnológicas sofisticadas, niveles altos de habilidades técnicas especializadas y una interacción estrecha entre empresas, y entre estas y universidades o instituciones de investigación. Esta categoría incluye productos como semiconductores, productos farmacéuticos, aeroespacial y electrónica avanzada.</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 xml:space="preserve">Otras transacciones: </w:t>
            </w:r>
            <w:r w:rsidRPr="00984DA8">
              <w:rPr>
                <w:rFonts w:ascii="Century Gothic" w:eastAsia="Times New Roman" w:hAnsi="Century Gothic" w:cs="Calibri"/>
                <w:color w:val="000000"/>
                <w:kern w:val="0"/>
                <w:sz w:val="20"/>
                <w:szCs w:val="20"/>
                <w:lang w:eastAsia="es-CO"/>
                <w14:ligatures w14:val="none"/>
              </w:rPr>
              <w:t xml:space="preserve">Bienes que no encajan fácilmente en las anteriores categorías como electricidad, películas de cine, impresos, oro, arte, </w:t>
            </w:r>
            <w:r w:rsidRPr="00984DA8">
              <w:rPr>
                <w:rFonts w:ascii="Century Gothic" w:eastAsia="Times New Roman" w:hAnsi="Century Gothic" w:cs="Calibri"/>
                <w:color w:val="000000"/>
                <w:kern w:val="0"/>
                <w:sz w:val="20"/>
                <w:szCs w:val="20"/>
                <w:lang w:eastAsia="es-CO"/>
                <w14:ligatures w14:val="none"/>
              </w:rPr>
              <w:lastRenderedPageBreak/>
              <w:t xml:space="preserve">antigüedades, menajes y envíos postales. </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 xml:space="preserve">Otros servicios intensivos en conocimiento: </w:t>
            </w:r>
            <w:r w:rsidRPr="00984DA8">
              <w:rPr>
                <w:rFonts w:ascii="Century Gothic" w:eastAsia="Times New Roman" w:hAnsi="Century Gothic" w:cs="Calibri"/>
                <w:color w:val="000000"/>
                <w:kern w:val="0"/>
                <w:sz w:val="20"/>
                <w:szCs w:val="20"/>
                <w:lang w:eastAsia="es-CO"/>
                <w14:ligatures w14:val="none"/>
              </w:rPr>
              <w:t>Engloban servicios como salud, educación, artes escénicas y comunicación gráfica y editorial.</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Servicios de mercado intensivos en conocimiento:</w:t>
            </w:r>
            <w:r w:rsidRPr="00984DA8">
              <w:rPr>
                <w:rFonts w:ascii="Century Gothic" w:eastAsia="Times New Roman" w:hAnsi="Century Gothic" w:cs="Calibri"/>
                <w:color w:val="000000"/>
                <w:kern w:val="0"/>
                <w:sz w:val="20"/>
                <w:szCs w:val="20"/>
                <w:lang w:eastAsia="es-CO"/>
                <w14:ligatures w14:val="none"/>
              </w:rPr>
              <w:t xml:space="preserve"> Comprenden servicios como BPO, publicidad y mercadeo digital e ingeniería y servicios de construcción.</w:t>
            </w:r>
            <w:r w:rsidRPr="00984DA8">
              <w:rPr>
                <w:rFonts w:ascii="Century Gothic" w:eastAsia="Times New Roman" w:hAnsi="Century Gothic" w:cs="Calibri"/>
                <w:color w:val="000000"/>
                <w:kern w:val="0"/>
                <w:sz w:val="20"/>
                <w:szCs w:val="20"/>
                <w:lang w:eastAsia="es-CO"/>
                <w14:ligatures w14:val="none"/>
              </w:rPr>
              <w:br/>
            </w:r>
            <w:r w:rsidRPr="00984DA8">
              <w:rPr>
                <w:rFonts w:ascii="Century Gothic" w:eastAsia="Times New Roman" w:hAnsi="Century Gothic" w:cs="Calibri"/>
                <w:b/>
                <w:bCs/>
                <w:color w:val="000000"/>
                <w:kern w:val="0"/>
                <w:sz w:val="20"/>
                <w:szCs w:val="20"/>
                <w:lang w:eastAsia="es-CO"/>
                <w14:ligatures w14:val="none"/>
              </w:rPr>
              <w:t xml:space="preserve">Servicios de alta tecnología intensivos en conocimiento: </w:t>
            </w:r>
            <w:r w:rsidRPr="00984DA8">
              <w:rPr>
                <w:rFonts w:ascii="Century Gothic" w:eastAsia="Times New Roman" w:hAnsi="Century Gothic" w:cs="Calibri"/>
                <w:color w:val="000000"/>
                <w:kern w:val="0"/>
                <w:sz w:val="20"/>
                <w:szCs w:val="20"/>
                <w:lang w:eastAsia="es-CO"/>
                <w14:ligatures w14:val="none"/>
              </w:rPr>
              <w:t>Incluyen actividades relacionadas con software y servicios TI, audiovisuales, animación, videojuegos, música y telecomunicaciones.</w:t>
            </w:r>
          </w:p>
        </w:tc>
        <w:tc>
          <w:tcPr>
            <w:tcW w:w="988" w:type="pct"/>
            <w:tcBorders>
              <w:top w:val="nil"/>
              <w:left w:val="nil"/>
              <w:bottom w:val="single" w:sz="4" w:space="0" w:color="auto"/>
              <w:right w:val="single" w:sz="4" w:space="0" w:color="auto"/>
            </w:tcBorders>
            <w:shd w:val="clear" w:color="auto" w:fill="auto"/>
            <w:vAlign w:val="center"/>
            <w:hideMark/>
          </w:tcPr>
          <w:p w14:paraId="6C16A1E4"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lastRenderedPageBreak/>
              <w:t xml:space="preserve">Para intensidad tecnológica de los bienes se tomó la clasificación que utiliza el Ministerio de Comercio, Industria y Turismo, la cual es una adopción de: </w:t>
            </w:r>
            <w:proofErr w:type="spellStart"/>
            <w:r w:rsidRPr="00984DA8">
              <w:rPr>
                <w:rFonts w:ascii="Century Gothic" w:eastAsia="Times New Roman" w:hAnsi="Century Gothic" w:cs="Calibri"/>
                <w:color w:val="000000"/>
                <w:kern w:val="0"/>
                <w:sz w:val="20"/>
                <w:szCs w:val="20"/>
                <w:lang w:eastAsia="es-CO"/>
                <w14:ligatures w14:val="none"/>
              </w:rPr>
              <w:t>Sanjaya</w:t>
            </w:r>
            <w:proofErr w:type="spellEnd"/>
            <w:r w:rsidRPr="00984DA8">
              <w:rPr>
                <w:rFonts w:ascii="Century Gothic" w:eastAsia="Times New Roman" w:hAnsi="Century Gothic" w:cs="Calibri"/>
                <w:color w:val="000000"/>
                <w:kern w:val="0"/>
                <w:sz w:val="20"/>
                <w:szCs w:val="20"/>
                <w:lang w:eastAsia="es-CO"/>
                <w14:ligatures w14:val="none"/>
              </w:rPr>
              <w:t xml:space="preserve"> </w:t>
            </w:r>
            <w:proofErr w:type="spellStart"/>
            <w:r w:rsidRPr="00984DA8">
              <w:rPr>
                <w:rFonts w:ascii="Century Gothic" w:eastAsia="Times New Roman" w:hAnsi="Century Gothic" w:cs="Calibri"/>
                <w:color w:val="000000"/>
                <w:kern w:val="0"/>
                <w:sz w:val="20"/>
                <w:szCs w:val="20"/>
                <w:lang w:eastAsia="es-CO"/>
                <w14:ligatures w14:val="none"/>
              </w:rPr>
              <w:t>Lall</w:t>
            </w:r>
            <w:proofErr w:type="spellEnd"/>
            <w:r w:rsidRPr="00984DA8">
              <w:rPr>
                <w:rFonts w:ascii="Century Gothic" w:eastAsia="Times New Roman" w:hAnsi="Century Gothic" w:cs="Calibri"/>
                <w:color w:val="000000"/>
                <w:kern w:val="0"/>
                <w:sz w:val="20"/>
                <w:szCs w:val="20"/>
                <w:lang w:eastAsia="es-CO"/>
                <w14:ligatures w14:val="none"/>
              </w:rPr>
              <w:t>, (2000) ‘</w:t>
            </w:r>
            <w:proofErr w:type="spellStart"/>
            <w:r w:rsidRPr="00984DA8">
              <w:rPr>
                <w:rFonts w:ascii="Century Gothic" w:eastAsia="Times New Roman" w:hAnsi="Century Gothic" w:cs="Calibri"/>
                <w:color w:val="000000"/>
                <w:kern w:val="0"/>
                <w:sz w:val="20"/>
                <w:szCs w:val="20"/>
                <w:lang w:eastAsia="es-CO"/>
                <w14:ligatures w14:val="none"/>
              </w:rPr>
              <w:t>The</w:t>
            </w:r>
            <w:proofErr w:type="spellEnd"/>
            <w:r w:rsidRPr="00984DA8">
              <w:rPr>
                <w:rFonts w:ascii="Century Gothic" w:eastAsia="Times New Roman" w:hAnsi="Century Gothic" w:cs="Calibri"/>
                <w:color w:val="000000"/>
                <w:kern w:val="0"/>
                <w:sz w:val="20"/>
                <w:szCs w:val="20"/>
                <w:lang w:eastAsia="es-CO"/>
                <w14:ligatures w14:val="none"/>
              </w:rPr>
              <w:t xml:space="preserve"> </w:t>
            </w:r>
            <w:proofErr w:type="spellStart"/>
            <w:r w:rsidRPr="00984DA8">
              <w:rPr>
                <w:rFonts w:ascii="Century Gothic" w:eastAsia="Times New Roman" w:hAnsi="Century Gothic" w:cs="Calibri"/>
                <w:color w:val="000000"/>
                <w:kern w:val="0"/>
                <w:sz w:val="20"/>
                <w:szCs w:val="20"/>
                <w:lang w:eastAsia="es-CO"/>
                <w14:ligatures w14:val="none"/>
              </w:rPr>
              <w:t>technological</w:t>
            </w:r>
            <w:proofErr w:type="spellEnd"/>
            <w:r w:rsidRPr="00984DA8">
              <w:rPr>
                <w:rFonts w:ascii="Century Gothic" w:eastAsia="Times New Roman" w:hAnsi="Century Gothic" w:cs="Calibri"/>
                <w:color w:val="000000"/>
                <w:kern w:val="0"/>
                <w:sz w:val="20"/>
                <w:szCs w:val="20"/>
                <w:lang w:eastAsia="es-CO"/>
                <w14:ligatures w14:val="none"/>
              </w:rPr>
              <w:t xml:space="preserve"> </w:t>
            </w:r>
            <w:proofErr w:type="spellStart"/>
            <w:r w:rsidRPr="00984DA8">
              <w:rPr>
                <w:rFonts w:ascii="Century Gothic" w:eastAsia="Times New Roman" w:hAnsi="Century Gothic" w:cs="Calibri"/>
                <w:color w:val="000000"/>
                <w:kern w:val="0"/>
                <w:sz w:val="20"/>
                <w:szCs w:val="20"/>
                <w:lang w:eastAsia="es-CO"/>
                <w14:ligatures w14:val="none"/>
              </w:rPr>
              <w:t>structure</w:t>
            </w:r>
            <w:proofErr w:type="spellEnd"/>
            <w:r w:rsidRPr="00984DA8">
              <w:rPr>
                <w:rFonts w:ascii="Century Gothic" w:eastAsia="Times New Roman" w:hAnsi="Century Gothic" w:cs="Calibri"/>
                <w:color w:val="000000"/>
                <w:kern w:val="0"/>
                <w:sz w:val="20"/>
                <w:szCs w:val="20"/>
                <w:lang w:eastAsia="es-CO"/>
                <w14:ligatures w14:val="none"/>
              </w:rPr>
              <w:t xml:space="preserve"> and performance </w:t>
            </w:r>
            <w:proofErr w:type="spellStart"/>
            <w:r w:rsidRPr="00984DA8">
              <w:rPr>
                <w:rFonts w:ascii="Century Gothic" w:eastAsia="Times New Roman" w:hAnsi="Century Gothic" w:cs="Calibri"/>
                <w:color w:val="000000"/>
                <w:kern w:val="0"/>
                <w:sz w:val="20"/>
                <w:szCs w:val="20"/>
                <w:lang w:eastAsia="es-CO"/>
                <w14:ligatures w14:val="none"/>
              </w:rPr>
              <w:t>of</w:t>
            </w:r>
            <w:proofErr w:type="spellEnd"/>
            <w:r w:rsidRPr="00984DA8">
              <w:rPr>
                <w:rFonts w:ascii="Century Gothic" w:eastAsia="Times New Roman" w:hAnsi="Century Gothic" w:cs="Calibri"/>
                <w:color w:val="000000"/>
                <w:kern w:val="0"/>
                <w:sz w:val="20"/>
                <w:szCs w:val="20"/>
                <w:lang w:eastAsia="es-CO"/>
                <w14:ligatures w14:val="none"/>
              </w:rPr>
              <w:t xml:space="preserve"> </w:t>
            </w:r>
            <w:proofErr w:type="spellStart"/>
            <w:r w:rsidRPr="00984DA8">
              <w:rPr>
                <w:rFonts w:ascii="Century Gothic" w:eastAsia="Times New Roman" w:hAnsi="Century Gothic" w:cs="Calibri"/>
                <w:color w:val="000000"/>
                <w:kern w:val="0"/>
                <w:sz w:val="20"/>
                <w:szCs w:val="20"/>
                <w:lang w:eastAsia="es-CO"/>
                <w14:ligatures w14:val="none"/>
              </w:rPr>
              <w:t>developing</w:t>
            </w:r>
            <w:proofErr w:type="spellEnd"/>
            <w:r w:rsidRPr="00984DA8">
              <w:rPr>
                <w:rFonts w:ascii="Century Gothic" w:eastAsia="Times New Roman" w:hAnsi="Century Gothic" w:cs="Calibri"/>
                <w:color w:val="000000"/>
                <w:kern w:val="0"/>
                <w:sz w:val="20"/>
                <w:szCs w:val="20"/>
                <w:lang w:eastAsia="es-CO"/>
                <w14:ligatures w14:val="none"/>
              </w:rPr>
              <w:t xml:space="preserve"> country </w:t>
            </w:r>
            <w:proofErr w:type="spellStart"/>
            <w:r w:rsidRPr="00984DA8">
              <w:rPr>
                <w:rFonts w:ascii="Century Gothic" w:eastAsia="Times New Roman" w:hAnsi="Century Gothic" w:cs="Calibri"/>
                <w:color w:val="000000"/>
                <w:kern w:val="0"/>
                <w:sz w:val="20"/>
                <w:szCs w:val="20"/>
                <w:lang w:eastAsia="es-CO"/>
                <w14:ligatures w14:val="none"/>
              </w:rPr>
              <w:t>manufactured</w:t>
            </w:r>
            <w:proofErr w:type="spellEnd"/>
            <w:r w:rsidRPr="00984DA8">
              <w:rPr>
                <w:rFonts w:ascii="Century Gothic" w:eastAsia="Times New Roman" w:hAnsi="Century Gothic" w:cs="Calibri"/>
                <w:color w:val="000000"/>
                <w:kern w:val="0"/>
                <w:sz w:val="20"/>
                <w:szCs w:val="20"/>
                <w:lang w:eastAsia="es-CO"/>
                <w14:ligatures w14:val="none"/>
              </w:rPr>
              <w:t xml:space="preserve"> </w:t>
            </w:r>
            <w:proofErr w:type="spellStart"/>
            <w:r w:rsidRPr="00984DA8">
              <w:rPr>
                <w:rFonts w:ascii="Century Gothic" w:eastAsia="Times New Roman" w:hAnsi="Century Gothic" w:cs="Calibri"/>
                <w:color w:val="000000"/>
                <w:kern w:val="0"/>
                <w:sz w:val="20"/>
                <w:szCs w:val="20"/>
                <w:lang w:eastAsia="es-CO"/>
                <w14:ligatures w14:val="none"/>
              </w:rPr>
              <w:t>exports</w:t>
            </w:r>
            <w:proofErr w:type="spellEnd"/>
            <w:r w:rsidRPr="00984DA8">
              <w:rPr>
                <w:rFonts w:ascii="Century Gothic" w:eastAsia="Times New Roman" w:hAnsi="Century Gothic" w:cs="Calibri"/>
                <w:color w:val="000000"/>
                <w:kern w:val="0"/>
                <w:sz w:val="20"/>
                <w:szCs w:val="20"/>
                <w:lang w:eastAsia="es-CO"/>
                <w14:ligatures w14:val="none"/>
              </w:rPr>
              <w:t xml:space="preserve">, 1985-98’, Oxford </w:t>
            </w:r>
            <w:proofErr w:type="spellStart"/>
            <w:r w:rsidRPr="00984DA8">
              <w:rPr>
                <w:rFonts w:ascii="Century Gothic" w:eastAsia="Times New Roman" w:hAnsi="Century Gothic" w:cs="Calibri"/>
                <w:color w:val="000000"/>
                <w:kern w:val="0"/>
                <w:sz w:val="20"/>
                <w:szCs w:val="20"/>
                <w:lang w:eastAsia="es-CO"/>
                <w14:ligatures w14:val="none"/>
              </w:rPr>
              <w:t>development</w:t>
            </w:r>
            <w:proofErr w:type="spellEnd"/>
            <w:r w:rsidRPr="00984DA8">
              <w:rPr>
                <w:rFonts w:ascii="Century Gothic" w:eastAsia="Times New Roman" w:hAnsi="Century Gothic" w:cs="Calibri"/>
                <w:color w:val="000000"/>
                <w:kern w:val="0"/>
                <w:sz w:val="20"/>
                <w:szCs w:val="20"/>
                <w:lang w:eastAsia="es-CO"/>
                <w14:ligatures w14:val="none"/>
              </w:rPr>
              <w:t xml:space="preserve"> </w:t>
            </w:r>
            <w:proofErr w:type="spellStart"/>
            <w:r w:rsidRPr="00984DA8">
              <w:rPr>
                <w:rFonts w:ascii="Century Gothic" w:eastAsia="Times New Roman" w:hAnsi="Century Gothic" w:cs="Calibri"/>
                <w:color w:val="000000"/>
                <w:kern w:val="0"/>
                <w:sz w:val="20"/>
                <w:szCs w:val="20"/>
                <w:lang w:eastAsia="es-CO"/>
                <w14:ligatures w14:val="none"/>
              </w:rPr>
              <w:t>studies</w:t>
            </w:r>
            <w:proofErr w:type="spellEnd"/>
            <w:r w:rsidRPr="00984DA8">
              <w:rPr>
                <w:rFonts w:ascii="Century Gothic" w:eastAsia="Times New Roman" w:hAnsi="Century Gothic" w:cs="Calibri"/>
                <w:color w:val="000000"/>
                <w:kern w:val="0"/>
                <w:sz w:val="20"/>
                <w:szCs w:val="20"/>
                <w:lang w:eastAsia="es-CO"/>
                <w14:ligatures w14:val="none"/>
              </w:rPr>
              <w:t xml:space="preserve">, 28(3), 337-69. Para intensidad en conocimiento de los servicios se adoptó la clasificación de "Eurostat </w:t>
            </w:r>
            <w:proofErr w:type="spellStart"/>
            <w:r w:rsidRPr="00984DA8">
              <w:rPr>
                <w:rFonts w:ascii="Century Gothic" w:eastAsia="Times New Roman" w:hAnsi="Century Gothic" w:cs="Calibri"/>
                <w:color w:val="000000"/>
                <w:kern w:val="0"/>
                <w:sz w:val="20"/>
                <w:szCs w:val="20"/>
                <w:lang w:eastAsia="es-CO"/>
                <w14:ligatures w14:val="none"/>
              </w:rPr>
              <w:t>indicators</w:t>
            </w:r>
            <w:proofErr w:type="spellEnd"/>
            <w:r w:rsidRPr="00984DA8">
              <w:rPr>
                <w:rFonts w:ascii="Century Gothic" w:eastAsia="Times New Roman" w:hAnsi="Century Gothic" w:cs="Calibri"/>
                <w:color w:val="000000"/>
                <w:kern w:val="0"/>
                <w:sz w:val="20"/>
                <w:szCs w:val="20"/>
                <w:lang w:eastAsia="es-CO"/>
                <w14:ligatures w14:val="none"/>
              </w:rPr>
              <w:t xml:space="preserve"> </w:t>
            </w:r>
            <w:proofErr w:type="spellStart"/>
            <w:r w:rsidRPr="00984DA8">
              <w:rPr>
                <w:rFonts w:ascii="Century Gothic" w:eastAsia="Times New Roman" w:hAnsi="Century Gothic" w:cs="Calibri"/>
                <w:color w:val="000000"/>
                <w:kern w:val="0"/>
                <w:sz w:val="20"/>
                <w:szCs w:val="20"/>
                <w:lang w:eastAsia="es-CO"/>
                <w14:ligatures w14:val="none"/>
              </w:rPr>
              <w:t>on</w:t>
            </w:r>
            <w:proofErr w:type="spellEnd"/>
            <w:r w:rsidRPr="00984DA8">
              <w:rPr>
                <w:rFonts w:ascii="Century Gothic" w:eastAsia="Times New Roman" w:hAnsi="Century Gothic" w:cs="Calibri"/>
                <w:color w:val="000000"/>
                <w:kern w:val="0"/>
                <w:sz w:val="20"/>
                <w:szCs w:val="20"/>
                <w:lang w:eastAsia="es-CO"/>
                <w14:ligatures w14:val="none"/>
              </w:rPr>
              <w:t xml:space="preserve"> High-</w:t>
            </w:r>
            <w:proofErr w:type="spellStart"/>
            <w:r w:rsidRPr="00984DA8">
              <w:rPr>
                <w:rFonts w:ascii="Century Gothic" w:eastAsia="Times New Roman" w:hAnsi="Century Gothic" w:cs="Calibri"/>
                <w:color w:val="000000"/>
                <w:kern w:val="0"/>
                <w:sz w:val="20"/>
                <w:szCs w:val="20"/>
                <w:lang w:eastAsia="es-CO"/>
                <w14:ligatures w14:val="none"/>
              </w:rPr>
              <w:t>tech</w:t>
            </w:r>
            <w:proofErr w:type="spellEnd"/>
            <w:r w:rsidRPr="00984DA8">
              <w:rPr>
                <w:rFonts w:ascii="Century Gothic" w:eastAsia="Times New Roman" w:hAnsi="Century Gothic" w:cs="Calibri"/>
                <w:color w:val="000000"/>
                <w:kern w:val="0"/>
                <w:sz w:val="20"/>
                <w:szCs w:val="20"/>
                <w:lang w:eastAsia="es-CO"/>
                <w14:ligatures w14:val="none"/>
              </w:rPr>
              <w:t xml:space="preserve"> </w:t>
            </w:r>
            <w:proofErr w:type="spellStart"/>
            <w:r w:rsidRPr="00984DA8">
              <w:rPr>
                <w:rFonts w:ascii="Century Gothic" w:eastAsia="Times New Roman" w:hAnsi="Century Gothic" w:cs="Calibri"/>
                <w:color w:val="000000"/>
                <w:kern w:val="0"/>
                <w:sz w:val="20"/>
                <w:szCs w:val="20"/>
                <w:lang w:eastAsia="es-CO"/>
                <w14:ligatures w14:val="none"/>
              </w:rPr>
              <w:t>industry</w:t>
            </w:r>
            <w:proofErr w:type="spellEnd"/>
            <w:r w:rsidRPr="00984DA8">
              <w:rPr>
                <w:rFonts w:ascii="Century Gothic" w:eastAsia="Times New Roman" w:hAnsi="Century Gothic" w:cs="Calibri"/>
                <w:color w:val="000000"/>
                <w:kern w:val="0"/>
                <w:sz w:val="20"/>
                <w:szCs w:val="20"/>
                <w:lang w:eastAsia="es-CO"/>
                <w14:ligatures w14:val="none"/>
              </w:rPr>
              <w:t xml:space="preserve"> and </w:t>
            </w:r>
            <w:proofErr w:type="spellStart"/>
            <w:r w:rsidRPr="00984DA8">
              <w:rPr>
                <w:rFonts w:ascii="Century Gothic" w:eastAsia="Times New Roman" w:hAnsi="Century Gothic" w:cs="Calibri"/>
                <w:color w:val="000000"/>
                <w:kern w:val="0"/>
                <w:sz w:val="20"/>
                <w:szCs w:val="20"/>
                <w:lang w:eastAsia="es-CO"/>
                <w14:ligatures w14:val="none"/>
              </w:rPr>
              <w:t>Knowledge</w:t>
            </w:r>
            <w:proofErr w:type="spellEnd"/>
            <w:r w:rsidRPr="00984DA8">
              <w:rPr>
                <w:rFonts w:ascii="Century Gothic" w:eastAsia="Times New Roman" w:hAnsi="Century Gothic" w:cs="Calibri"/>
                <w:color w:val="000000"/>
                <w:kern w:val="0"/>
                <w:sz w:val="20"/>
                <w:szCs w:val="20"/>
                <w:lang w:eastAsia="es-CO"/>
                <w14:ligatures w14:val="none"/>
              </w:rPr>
              <w:t xml:space="preserve"> – intensive </w:t>
            </w:r>
            <w:proofErr w:type="spellStart"/>
            <w:r w:rsidRPr="00984DA8">
              <w:rPr>
                <w:rFonts w:ascii="Century Gothic" w:eastAsia="Times New Roman" w:hAnsi="Century Gothic" w:cs="Calibri"/>
                <w:color w:val="000000"/>
                <w:kern w:val="0"/>
                <w:sz w:val="20"/>
                <w:szCs w:val="20"/>
                <w:lang w:eastAsia="es-CO"/>
                <w14:ligatures w14:val="none"/>
              </w:rPr>
              <w:t>services</w:t>
            </w:r>
            <w:proofErr w:type="spellEnd"/>
            <w:r w:rsidRPr="00984DA8">
              <w:rPr>
                <w:rFonts w:ascii="Century Gothic" w:eastAsia="Times New Roman" w:hAnsi="Century Gothic" w:cs="Calibri"/>
                <w:color w:val="000000"/>
                <w:kern w:val="0"/>
                <w:sz w:val="20"/>
                <w:szCs w:val="20"/>
                <w:lang w:eastAsia="es-CO"/>
                <w14:ligatures w14:val="none"/>
              </w:rPr>
              <w:t>".</w:t>
            </w:r>
          </w:p>
        </w:tc>
      </w:tr>
      <w:tr w:rsidR="00EE5D22" w:rsidRPr="00984DA8" w14:paraId="40DBA0CA"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2CDAF097"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hogares con ocupados informales</w:t>
            </w:r>
          </w:p>
        </w:tc>
        <w:tc>
          <w:tcPr>
            <w:tcW w:w="3108" w:type="pct"/>
            <w:tcBorders>
              <w:top w:val="nil"/>
              <w:left w:val="nil"/>
              <w:bottom w:val="single" w:sz="4" w:space="0" w:color="auto"/>
              <w:right w:val="single" w:sz="4" w:space="0" w:color="auto"/>
            </w:tcBorders>
            <w:shd w:val="clear" w:color="auto" w:fill="auto"/>
            <w:vAlign w:val="center"/>
            <w:hideMark/>
          </w:tcPr>
          <w:p w14:paraId="664C908B"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Para el municipio, indica el porcentaje de hogares que tienen ocupados informales según el Índice de Pobreza Multidimensional que se calculó por municipios a partir del Censo Nacional de Población y Vivienda 2018.</w:t>
            </w:r>
          </w:p>
        </w:tc>
        <w:tc>
          <w:tcPr>
            <w:tcW w:w="988" w:type="pct"/>
            <w:tcBorders>
              <w:top w:val="nil"/>
              <w:left w:val="nil"/>
              <w:bottom w:val="single" w:sz="4" w:space="0" w:color="auto"/>
              <w:right w:val="single" w:sz="4" w:space="0" w:color="auto"/>
            </w:tcBorders>
            <w:shd w:val="clear" w:color="auto" w:fill="auto"/>
            <w:vAlign w:val="center"/>
            <w:hideMark/>
          </w:tcPr>
          <w:p w14:paraId="22520D79"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Medida de Pobreza Multidimensional Municipal 2018, DANE.</w:t>
            </w:r>
          </w:p>
        </w:tc>
      </w:tr>
      <w:tr w:rsidR="00EE5D22" w:rsidRPr="00984DA8" w14:paraId="2F305DB9"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44B44A50"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población en condición de discapacidad</w:t>
            </w:r>
          </w:p>
        </w:tc>
        <w:tc>
          <w:tcPr>
            <w:tcW w:w="3108" w:type="pct"/>
            <w:tcBorders>
              <w:top w:val="nil"/>
              <w:left w:val="nil"/>
              <w:bottom w:val="single" w:sz="4" w:space="0" w:color="auto"/>
              <w:right w:val="single" w:sz="4" w:space="0" w:color="auto"/>
            </w:tcBorders>
            <w:shd w:val="clear" w:color="auto" w:fill="auto"/>
            <w:vAlign w:val="center"/>
            <w:hideMark/>
          </w:tcPr>
          <w:p w14:paraId="5393AC3D"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Para el municipio, indica el porcentaje de la población 2018 que corresponde a población con discapacidad.</w:t>
            </w:r>
          </w:p>
        </w:tc>
        <w:tc>
          <w:tcPr>
            <w:tcW w:w="988" w:type="pct"/>
            <w:tcBorders>
              <w:top w:val="nil"/>
              <w:left w:val="nil"/>
              <w:bottom w:val="single" w:sz="4" w:space="0" w:color="auto"/>
              <w:right w:val="single" w:sz="4" w:space="0" w:color="auto"/>
            </w:tcBorders>
            <w:shd w:val="clear" w:color="auto" w:fill="auto"/>
            <w:vAlign w:val="center"/>
            <w:hideMark/>
          </w:tcPr>
          <w:p w14:paraId="63437D72"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Censo Nacional de Población y Vivienda 2018, DANE.</w:t>
            </w:r>
          </w:p>
        </w:tc>
      </w:tr>
      <w:tr w:rsidR="00EE5D22" w:rsidRPr="00984DA8" w14:paraId="3ED1AC71"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6D885DD8"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población en situación de pobreza</w:t>
            </w:r>
          </w:p>
        </w:tc>
        <w:tc>
          <w:tcPr>
            <w:tcW w:w="3108" w:type="pct"/>
            <w:tcBorders>
              <w:top w:val="nil"/>
              <w:left w:val="nil"/>
              <w:bottom w:val="single" w:sz="4" w:space="0" w:color="auto"/>
              <w:right w:val="single" w:sz="4" w:space="0" w:color="auto"/>
            </w:tcBorders>
            <w:shd w:val="clear" w:color="auto" w:fill="auto"/>
            <w:vAlign w:val="center"/>
            <w:hideMark/>
          </w:tcPr>
          <w:p w14:paraId="238506EE"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Para el municipio, indica el porcentaje de la población en situación de pobreza según el Índice de Pobreza Multidimensional que se calculó por municipios a partir del Censo Nacional de Población y Vivienda 2018.</w:t>
            </w:r>
          </w:p>
        </w:tc>
        <w:tc>
          <w:tcPr>
            <w:tcW w:w="988" w:type="pct"/>
            <w:tcBorders>
              <w:top w:val="nil"/>
              <w:left w:val="nil"/>
              <w:bottom w:val="single" w:sz="4" w:space="0" w:color="auto"/>
              <w:right w:val="single" w:sz="4" w:space="0" w:color="auto"/>
            </w:tcBorders>
            <w:shd w:val="clear" w:color="auto" w:fill="auto"/>
            <w:vAlign w:val="center"/>
            <w:hideMark/>
          </w:tcPr>
          <w:p w14:paraId="41679BD2"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Medida de Pobreza Multidimensional Municipal 2018, DANE.</w:t>
            </w:r>
          </w:p>
        </w:tc>
      </w:tr>
      <w:tr w:rsidR="00EE5D22" w:rsidRPr="00984DA8" w14:paraId="76CC2A5B"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0CD14D23"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 población </w:t>
            </w:r>
            <w:proofErr w:type="spellStart"/>
            <w:r w:rsidRPr="00984DA8">
              <w:rPr>
                <w:rFonts w:ascii="Century Gothic" w:eastAsia="Times New Roman" w:hAnsi="Century Gothic" w:cs="Calibri"/>
                <w:color w:val="000000"/>
                <w:kern w:val="0"/>
                <w:sz w:val="20"/>
                <w:szCs w:val="20"/>
                <w:lang w:eastAsia="es-CO"/>
                <w14:ligatures w14:val="none"/>
              </w:rPr>
              <w:t>jóven</w:t>
            </w:r>
            <w:proofErr w:type="spellEnd"/>
            <w:r w:rsidRPr="00984DA8">
              <w:rPr>
                <w:rFonts w:ascii="Century Gothic" w:eastAsia="Times New Roman" w:hAnsi="Century Gothic" w:cs="Calibri"/>
                <w:color w:val="000000"/>
                <w:kern w:val="0"/>
                <w:sz w:val="20"/>
                <w:szCs w:val="20"/>
                <w:lang w:eastAsia="es-CO"/>
                <w14:ligatures w14:val="none"/>
              </w:rPr>
              <w:t xml:space="preserve"> entre 14 y 28 años</w:t>
            </w:r>
          </w:p>
        </w:tc>
        <w:tc>
          <w:tcPr>
            <w:tcW w:w="3108" w:type="pct"/>
            <w:tcBorders>
              <w:top w:val="nil"/>
              <w:left w:val="nil"/>
              <w:bottom w:val="single" w:sz="4" w:space="0" w:color="auto"/>
              <w:right w:val="single" w:sz="4" w:space="0" w:color="auto"/>
            </w:tcBorders>
            <w:shd w:val="clear" w:color="auto" w:fill="auto"/>
            <w:vAlign w:val="center"/>
            <w:hideMark/>
          </w:tcPr>
          <w:p w14:paraId="5488E246"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Para el municipio, indica el porcentaje de la población 2022 que corresponde a jóvenes entre 14 y 28 años (Ley 1622 de 2013).</w:t>
            </w:r>
          </w:p>
        </w:tc>
        <w:tc>
          <w:tcPr>
            <w:tcW w:w="988" w:type="pct"/>
            <w:tcBorders>
              <w:top w:val="nil"/>
              <w:left w:val="nil"/>
              <w:bottom w:val="single" w:sz="4" w:space="0" w:color="auto"/>
              <w:right w:val="single" w:sz="4" w:space="0" w:color="auto"/>
            </w:tcBorders>
            <w:shd w:val="clear" w:color="auto" w:fill="auto"/>
            <w:vAlign w:val="center"/>
            <w:hideMark/>
          </w:tcPr>
          <w:p w14:paraId="225D77DD"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Proyecciones de población municipal por área, sexo y edad para 2022, DANE.</w:t>
            </w:r>
          </w:p>
        </w:tc>
      </w:tr>
      <w:tr w:rsidR="00EE5D22" w:rsidRPr="00984DA8" w14:paraId="205FE78B"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1181D36E"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población mujeres</w:t>
            </w:r>
          </w:p>
        </w:tc>
        <w:tc>
          <w:tcPr>
            <w:tcW w:w="3108" w:type="pct"/>
            <w:tcBorders>
              <w:top w:val="nil"/>
              <w:left w:val="nil"/>
              <w:bottom w:val="single" w:sz="4" w:space="0" w:color="auto"/>
              <w:right w:val="single" w:sz="4" w:space="0" w:color="auto"/>
            </w:tcBorders>
            <w:shd w:val="clear" w:color="auto" w:fill="auto"/>
            <w:vAlign w:val="center"/>
            <w:hideMark/>
          </w:tcPr>
          <w:p w14:paraId="3C98EBDE"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Para el municipio, indica el porcentaje de la población 2022 que corresponde a mujeres.</w:t>
            </w:r>
          </w:p>
        </w:tc>
        <w:tc>
          <w:tcPr>
            <w:tcW w:w="988" w:type="pct"/>
            <w:tcBorders>
              <w:top w:val="nil"/>
              <w:left w:val="nil"/>
              <w:bottom w:val="single" w:sz="4" w:space="0" w:color="auto"/>
              <w:right w:val="single" w:sz="4" w:space="0" w:color="auto"/>
            </w:tcBorders>
            <w:shd w:val="clear" w:color="auto" w:fill="auto"/>
            <w:vAlign w:val="center"/>
            <w:hideMark/>
          </w:tcPr>
          <w:p w14:paraId="519D735F"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Proyecciones de población municipal por área, sexo y edad para 2022, DANE.</w:t>
            </w:r>
          </w:p>
        </w:tc>
      </w:tr>
      <w:tr w:rsidR="00EE5D22" w:rsidRPr="00984DA8" w14:paraId="6E59A55B" w14:textId="77777777" w:rsidTr="00984DA8">
        <w:trPr>
          <w:cantSplit/>
          <w:trHeight w:val="567"/>
        </w:trPr>
        <w:tc>
          <w:tcPr>
            <w:tcW w:w="903" w:type="pct"/>
            <w:tcBorders>
              <w:top w:val="nil"/>
              <w:left w:val="single" w:sz="4" w:space="0" w:color="auto"/>
              <w:bottom w:val="single" w:sz="4" w:space="0" w:color="auto"/>
              <w:right w:val="single" w:sz="4" w:space="0" w:color="auto"/>
            </w:tcBorders>
            <w:shd w:val="clear" w:color="auto" w:fill="auto"/>
            <w:vAlign w:val="center"/>
            <w:hideMark/>
          </w:tcPr>
          <w:p w14:paraId="1A4285C8"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población perteneciente a grupos étnicos</w:t>
            </w:r>
          </w:p>
        </w:tc>
        <w:tc>
          <w:tcPr>
            <w:tcW w:w="3108" w:type="pct"/>
            <w:tcBorders>
              <w:top w:val="nil"/>
              <w:left w:val="nil"/>
              <w:bottom w:val="single" w:sz="4" w:space="0" w:color="auto"/>
              <w:right w:val="single" w:sz="4" w:space="0" w:color="auto"/>
            </w:tcBorders>
            <w:shd w:val="clear" w:color="auto" w:fill="auto"/>
            <w:vAlign w:val="center"/>
            <w:hideMark/>
          </w:tcPr>
          <w:p w14:paraId="05130BAC"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 xml:space="preserve">Para el municipio, indica el porcentaje de la población 2018 que corresponde a grupos étnicos: Indígena, Gitano o </w:t>
            </w:r>
            <w:proofErr w:type="spellStart"/>
            <w:r w:rsidRPr="00984DA8">
              <w:rPr>
                <w:rFonts w:ascii="Century Gothic" w:eastAsia="Times New Roman" w:hAnsi="Century Gothic" w:cs="Calibri"/>
                <w:color w:val="000000"/>
                <w:kern w:val="0"/>
                <w:sz w:val="20"/>
                <w:szCs w:val="20"/>
                <w:lang w:eastAsia="es-CO"/>
                <w14:ligatures w14:val="none"/>
              </w:rPr>
              <w:t>Rrom</w:t>
            </w:r>
            <w:proofErr w:type="spellEnd"/>
            <w:r w:rsidRPr="00984DA8">
              <w:rPr>
                <w:rFonts w:ascii="Century Gothic" w:eastAsia="Times New Roman" w:hAnsi="Century Gothic" w:cs="Calibri"/>
                <w:color w:val="000000"/>
                <w:kern w:val="0"/>
                <w:sz w:val="20"/>
                <w:szCs w:val="20"/>
                <w:lang w:eastAsia="es-CO"/>
                <w14:ligatures w14:val="none"/>
              </w:rPr>
              <w:t xml:space="preserve">, Raizal del </w:t>
            </w:r>
            <w:proofErr w:type="spellStart"/>
            <w:r w:rsidRPr="00984DA8">
              <w:rPr>
                <w:rFonts w:ascii="Century Gothic" w:eastAsia="Times New Roman" w:hAnsi="Century Gothic" w:cs="Calibri"/>
                <w:color w:val="000000"/>
                <w:kern w:val="0"/>
                <w:sz w:val="20"/>
                <w:szCs w:val="20"/>
                <w:lang w:eastAsia="es-CO"/>
                <w14:ligatures w14:val="none"/>
              </w:rPr>
              <w:t>Archipielago</w:t>
            </w:r>
            <w:proofErr w:type="spellEnd"/>
            <w:r w:rsidRPr="00984DA8">
              <w:rPr>
                <w:rFonts w:ascii="Century Gothic" w:eastAsia="Times New Roman" w:hAnsi="Century Gothic" w:cs="Calibri"/>
                <w:color w:val="000000"/>
                <w:kern w:val="0"/>
                <w:sz w:val="20"/>
                <w:szCs w:val="20"/>
                <w:lang w:eastAsia="es-CO"/>
                <w14:ligatures w14:val="none"/>
              </w:rPr>
              <w:t xml:space="preserve"> de San Andrés, Providencia y Santa Catalina, Palenquero de San Basilio, Negro, Mulato, Afrodescendiente, Afrocolombiano.</w:t>
            </w:r>
          </w:p>
        </w:tc>
        <w:tc>
          <w:tcPr>
            <w:tcW w:w="988" w:type="pct"/>
            <w:tcBorders>
              <w:top w:val="nil"/>
              <w:left w:val="nil"/>
              <w:bottom w:val="single" w:sz="4" w:space="0" w:color="auto"/>
              <w:right w:val="single" w:sz="4" w:space="0" w:color="auto"/>
            </w:tcBorders>
            <w:shd w:val="clear" w:color="auto" w:fill="auto"/>
            <w:vAlign w:val="center"/>
            <w:hideMark/>
          </w:tcPr>
          <w:p w14:paraId="46B379EF" w14:textId="77777777" w:rsidR="00EE5D22" w:rsidRPr="00984DA8" w:rsidRDefault="00EE5D22" w:rsidP="00EE5D22">
            <w:pPr>
              <w:spacing w:after="0" w:line="240" w:lineRule="auto"/>
              <w:rPr>
                <w:rFonts w:ascii="Century Gothic" w:eastAsia="Times New Roman" w:hAnsi="Century Gothic" w:cs="Calibri"/>
                <w:color w:val="000000"/>
                <w:kern w:val="0"/>
                <w:sz w:val="20"/>
                <w:szCs w:val="20"/>
                <w:lang w:eastAsia="es-CO"/>
                <w14:ligatures w14:val="none"/>
              </w:rPr>
            </w:pPr>
            <w:r w:rsidRPr="00984DA8">
              <w:rPr>
                <w:rFonts w:ascii="Century Gothic" w:eastAsia="Times New Roman" w:hAnsi="Century Gothic" w:cs="Calibri"/>
                <w:color w:val="000000"/>
                <w:kern w:val="0"/>
                <w:sz w:val="20"/>
                <w:szCs w:val="20"/>
                <w:lang w:eastAsia="es-CO"/>
                <w14:ligatures w14:val="none"/>
              </w:rPr>
              <w:t>Censo Nacional de Población y Vivienda 2018, DANE.</w:t>
            </w:r>
          </w:p>
        </w:tc>
      </w:tr>
    </w:tbl>
    <w:p w14:paraId="18442009" w14:textId="4CAF0239" w:rsidR="00B61BE9" w:rsidRPr="00DB3A7D" w:rsidRDefault="00B61BE9" w:rsidP="00DB3A7D">
      <w:pPr>
        <w:jc w:val="both"/>
        <w:rPr>
          <w:rFonts w:ascii="Century Gothic" w:hAnsi="Century Gothic"/>
          <w:sz w:val="20"/>
          <w:szCs w:val="20"/>
        </w:rPr>
      </w:pPr>
    </w:p>
    <w:sectPr w:rsidR="00B61BE9" w:rsidRPr="00DB3A7D">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D79F91" w14:textId="77777777" w:rsidR="001A7EA5" w:rsidRDefault="001A7EA5" w:rsidP="00C7712B">
      <w:pPr>
        <w:spacing w:after="0" w:line="240" w:lineRule="auto"/>
      </w:pPr>
      <w:r>
        <w:separator/>
      </w:r>
    </w:p>
  </w:endnote>
  <w:endnote w:type="continuationSeparator" w:id="0">
    <w:p w14:paraId="526F38A6" w14:textId="77777777" w:rsidR="001A7EA5" w:rsidRDefault="001A7EA5" w:rsidP="00C77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D7D1D0" w14:textId="177028B0" w:rsidR="008610C5" w:rsidRDefault="008610C5" w:rsidP="008610C5">
    <w:pPr>
      <w:pStyle w:val="Piedepgina"/>
    </w:pPr>
    <w:r>
      <w:rPr>
        <w:noProof/>
      </w:rPr>
      <w:drawing>
        <wp:anchor distT="0" distB="0" distL="114300" distR="114300" simplePos="0" relativeHeight="251661312" behindDoc="1" locked="0" layoutInCell="1" allowOverlap="1" wp14:anchorId="44D59305" wp14:editId="16D80A83">
          <wp:simplePos x="0" y="0"/>
          <wp:positionH relativeFrom="column">
            <wp:posOffset>1923415</wp:posOffset>
          </wp:positionH>
          <wp:positionV relativeFrom="paragraph">
            <wp:posOffset>-46355</wp:posOffset>
          </wp:positionV>
          <wp:extent cx="1752600" cy="305237"/>
          <wp:effectExtent l="0" t="0" r="0" b="0"/>
          <wp:wrapTight wrapText="bothSides">
            <wp:wrapPolygon edited="0">
              <wp:start x="235" y="0"/>
              <wp:lineTo x="0" y="4050"/>
              <wp:lineTo x="0" y="20250"/>
              <wp:lineTo x="21365" y="20250"/>
              <wp:lineTo x="21365" y="4050"/>
              <wp:lineTo x="4226" y="0"/>
              <wp:lineTo x="235" y="0"/>
            </wp:wrapPolygon>
          </wp:wrapTight>
          <wp:docPr id="1318593871" name="Picture 131859387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48756" name="Picture 7" descr="A black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2600" cy="305237"/>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2602EA" w14:textId="77777777" w:rsidR="001A7EA5" w:rsidRDefault="001A7EA5" w:rsidP="00C7712B">
      <w:pPr>
        <w:spacing w:after="0" w:line="240" w:lineRule="auto"/>
      </w:pPr>
      <w:r>
        <w:separator/>
      </w:r>
    </w:p>
  </w:footnote>
  <w:footnote w:type="continuationSeparator" w:id="0">
    <w:p w14:paraId="0362FF50" w14:textId="77777777" w:rsidR="001A7EA5" w:rsidRDefault="001A7EA5" w:rsidP="00C77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3406BF" w14:textId="7DBE922C" w:rsidR="008610C5" w:rsidRDefault="008610C5">
    <w:pPr>
      <w:pStyle w:val="Encabezado"/>
    </w:pPr>
    <w:r>
      <w:rPr>
        <w:noProof/>
      </w:rPr>
      <w:drawing>
        <wp:anchor distT="0" distB="0" distL="114300" distR="114300" simplePos="0" relativeHeight="251660288" behindDoc="0" locked="0" layoutInCell="1" allowOverlap="1" wp14:anchorId="57EF5890" wp14:editId="4AEE3BB3">
          <wp:simplePos x="0" y="0"/>
          <wp:positionH relativeFrom="margin">
            <wp:posOffset>1785620</wp:posOffset>
          </wp:positionH>
          <wp:positionV relativeFrom="margin">
            <wp:posOffset>-6902450</wp:posOffset>
          </wp:positionV>
          <wp:extent cx="2041525" cy="355600"/>
          <wp:effectExtent l="0" t="0" r="0" b="6350"/>
          <wp:wrapSquare wrapText="bothSides"/>
          <wp:docPr id="729803967" name="Picture 729803967"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92520" name="Picture 6" descr="A black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041525" cy="355600"/>
                  </a:xfrm>
                  <a:prstGeom prst="rect">
                    <a:avLst/>
                  </a:prstGeom>
                </pic:spPr>
              </pic:pic>
            </a:graphicData>
          </a:graphic>
        </wp:anchor>
      </w:drawing>
    </w:r>
    <w:r>
      <w:rPr>
        <w:noProof/>
      </w:rPr>
      <w:drawing>
        <wp:anchor distT="0" distB="0" distL="114300" distR="114300" simplePos="0" relativeHeight="251658240" behindDoc="0" locked="0" layoutInCell="1" allowOverlap="1" wp14:anchorId="6D68ECB6" wp14:editId="3C8A8759">
          <wp:simplePos x="0" y="0"/>
          <wp:positionH relativeFrom="margin">
            <wp:posOffset>4926965</wp:posOffset>
          </wp:positionH>
          <wp:positionV relativeFrom="margin">
            <wp:posOffset>-714375</wp:posOffset>
          </wp:positionV>
          <wp:extent cx="1651000" cy="577215"/>
          <wp:effectExtent l="0" t="0" r="0" b="0"/>
          <wp:wrapSquare wrapText="bothSides"/>
          <wp:docPr id="1510088952" name="Picture 1510088952"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9750" name="Picture 5" descr="A black background with pink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651000" cy="5772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660FBC5" wp14:editId="680BCF1D">
          <wp:simplePos x="0" y="0"/>
          <wp:positionH relativeFrom="margin">
            <wp:posOffset>-1022350</wp:posOffset>
          </wp:positionH>
          <wp:positionV relativeFrom="margin">
            <wp:posOffset>-676275</wp:posOffset>
          </wp:positionV>
          <wp:extent cx="1346835" cy="471170"/>
          <wp:effectExtent l="0" t="0" r="0" b="0"/>
          <wp:wrapSquare wrapText="bothSides"/>
          <wp:docPr id="224841405" name="Picture 224841405"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94917" name="Picture 4" descr="A logo with a black background&#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346835" cy="4711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763ED5"/>
    <w:multiLevelType w:val="hybridMultilevel"/>
    <w:tmpl w:val="6EF4E5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229546D"/>
    <w:multiLevelType w:val="hybridMultilevel"/>
    <w:tmpl w:val="E93645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CD66A69"/>
    <w:multiLevelType w:val="hybridMultilevel"/>
    <w:tmpl w:val="518A7A20"/>
    <w:lvl w:ilvl="0" w:tplc="2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 w15:restartNumberingAfterBreak="0">
    <w:nsid w:val="1EF43F2E"/>
    <w:multiLevelType w:val="hybridMultilevel"/>
    <w:tmpl w:val="EFD6802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25817813"/>
    <w:multiLevelType w:val="hybridMultilevel"/>
    <w:tmpl w:val="C38426EC"/>
    <w:lvl w:ilvl="0" w:tplc="127EEDC2">
      <w:numFmt w:val="bullet"/>
      <w:lvlText w:val="-"/>
      <w:lvlJc w:val="left"/>
      <w:pPr>
        <w:ind w:left="1080" w:hanging="360"/>
      </w:pPr>
      <w:rPr>
        <w:rFonts w:ascii="Century Gothic" w:eastAsiaTheme="minorHAnsi" w:hAnsi="Century Gothic"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336867DC"/>
    <w:multiLevelType w:val="hybridMultilevel"/>
    <w:tmpl w:val="43184E16"/>
    <w:lvl w:ilvl="0" w:tplc="80A6DFF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A482653"/>
    <w:multiLevelType w:val="hybridMultilevel"/>
    <w:tmpl w:val="1CE4B5DC"/>
    <w:lvl w:ilvl="0" w:tplc="4B821062">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F962DA0"/>
    <w:multiLevelType w:val="hybridMultilevel"/>
    <w:tmpl w:val="0838A50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49656D4A"/>
    <w:multiLevelType w:val="hybridMultilevel"/>
    <w:tmpl w:val="D37489D6"/>
    <w:lvl w:ilvl="0" w:tplc="F71A5C6A">
      <w:numFmt w:val="bullet"/>
      <w:lvlText w:val="-"/>
      <w:lvlJc w:val="left"/>
      <w:pPr>
        <w:ind w:left="1080" w:hanging="360"/>
      </w:pPr>
      <w:rPr>
        <w:rFonts w:ascii="Century Gothic" w:eastAsiaTheme="minorHAnsi" w:hAnsi="Century Gothic"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64450384"/>
    <w:multiLevelType w:val="hybridMultilevel"/>
    <w:tmpl w:val="BB2AB2EA"/>
    <w:lvl w:ilvl="0" w:tplc="80A6DFF8">
      <w:numFmt w:val="bullet"/>
      <w:lvlText w:val=""/>
      <w:lvlJc w:val="left"/>
      <w:pPr>
        <w:ind w:left="720" w:hanging="360"/>
      </w:pPr>
      <w:rPr>
        <w:rFonts w:ascii="Symbol" w:eastAsiaTheme="minorHAnsi" w:hAnsi="Symbol"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9FF3590"/>
    <w:multiLevelType w:val="hybridMultilevel"/>
    <w:tmpl w:val="0F546FDC"/>
    <w:lvl w:ilvl="0" w:tplc="24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6EA209A1"/>
    <w:multiLevelType w:val="hybridMultilevel"/>
    <w:tmpl w:val="99805FD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8E66D74"/>
    <w:multiLevelType w:val="hybridMultilevel"/>
    <w:tmpl w:val="99109762"/>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7E4868A6"/>
    <w:multiLevelType w:val="hybridMultilevel"/>
    <w:tmpl w:val="49E2D0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F9B389E"/>
    <w:multiLevelType w:val="hybridMultilevel"/>
    <w:tmpl w:val="CAD4CBE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51658613">
    <w:abstractNumId w:val="11"/>
  </w:num>
  <w:num w:numId="2" w16cid:durableId="931353526">
    <w:abstractNumId w:val="9"/>
  </w:num>
  <w:num w:numId="3" w16cid:durableId="1894657374">
    <w:abstractNumId w:val="5"/>
  </w:num>
  <w:num w:numId="4" w16cid:durableId="836381632">
    <w:abstractNumId w:val="1"/>
  </w:num>
  <w:num w:numId="5" w16cid:durableId="1906605215">
    <w:abstractNumId w:val="6"/>
  </w:num>
  <w:num w:numId="6" w16cid:durableId="388577327">
    <w:abstractNumId w:val="3"/>
  </w:num>
  <w:num w:numId="7" w16cid:durableId="286666824">
    <w:abstractNumId w:val="0"/>
  </w:num>
  <w:num w:numId="8" w16cid:durableId="1199515997">
    <w:abstractNumId w:val="14"/>
  </w:num>
  <w:num w:numId="9" w16cid:durableId="429862405">
    <w:abstractNumId w:val="2"/>
  </w:num>
  <w:num w:numId="10" w16cid:durableId="794177420">
    <w:abstractNumId w:val="7"/>
  </w:num>
  <w:num w:numId="11" w16cid:durableId="627469402">
    <w:abstractNumId w:val="10"/>
  </w:num>
  <w:num w:numId="12" w16cid:durableId="1641955548">
    <w:abstractNumId w:val="12"/>
  </w:num>
  <w:num w:numId="13" w16cid:durableId="581572539">
    <w:abstractNumId w:val="4"/>
  </w:num>
  <w:num w:numId="14" w16cid:durableId="377359363">
    <w:abstractNumId w:val="8"/>
  </w:num>
  <w:num w:numId="15" w16cid:durableId="15292954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hdrShapeDefaults>
    <o:shapedefaults v:ext="edit" spidmax="2050">
      <o:colormru v:ext="edit" colors="#f3ffff"/>
      <o:colormenu v:ext="edit" fillcolor="non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Y0MTQ2Nze0NDOzsDBQ0lEKTi0uzszPAykwNKwFAIHez74tAAAA"/>
  </w:docVars>
  <w:rsids>
    <w:rsidRoot w:val="00C50D3D"/>
    <w:rsid w:val="00003CC9"/>
    <w:rsid w:val="00010893"/>
    <w:rsid w:val="00014939"/>
    <w:rsid w:val="000277EC"/>
    <w:rsid w:val="00030B1A"/>
    <w:rsid w:val="00032E8F"/>
    <w:rsid w:val="000418C3"/>
    <w:rsid w:val="00043A0E"/>
    <w:rsid w:val="00053C28"/>
    <w:rsid w:val="0005669B"/>
    <w:rsid w:val="00060F26"/>
    <w:rsid w:val="00063F32"/>
    <w:rsid w:val="00074BB9"/>
    <w:rsid w:val="0008541A"/>
    <w:rsid w:val="00091BCE"/>
    <w:rsid w:val="0009204D"/>
    <w:rsid w:val="000A01ED"/>
    <w:rsid w:val="000B0BCC"/>
    <w:rsid w:val="000B60AC"/>
    <w:rsid w:val="000C4752"/>
    <w:rsid w:val="000C584F"/>
    <w:rsid w:val="000E0A8B"/>
    <w:rsid w:val="000E73F4"/>
    <w:rsid w:val="00112DCF"/>
    <w:rsid w:val="001230D1"/>
    <w:rsid w:val="0012500F"/>
    <w:rsid w:val="001363A1"/>
    <w:rsid w:val="001378F5"/>
    <w:rsid w:val="00146324"/>
    <w:rsid w:val="00146405"/>
    <w:rsid w:val="00152CDF"/>
    <w:rsid w:val="00157C0D"/>
    <w:rsid w:val="00160761"/>
    <w:rsid w:val="00161022"/>
    <w:rsid w:val="00166FA0"/>
    <w:rsid w:val="0017237B"/>
    <w:rsid w:val="00175DED"/>
    <w:rsid w:val="001911F5"/>
    <w:rsid w:val="001949EE"/>
    <w:rsid w:val="001A7EA5"/>
    <w:rsid w:val="001B4AE1"/>
    <w:rsid w:val="001B4D5B"/>
    <w:rsid w:val="001B5648"/>
    <w:rsid w:val="001C147A"/>
    <w:rsid w:val="001C2FB4"/>
    <w:rsid w:val="001D00AA"/>
    <w:rsid w:val="001D2E5A"/>
    <w:rsid w:val="001D5366"/>
    <w:rsid w:val="001E2002"/>
    <w:rsid w:val="001E2ED7"/>
    <w:rsid w:val="001F36EB"/>
    <w:rsid w:val="001F653D"/>
    <w:rsid w:val="00201E38"/>
    <w:rsid w:val="00214716"/>
    <w:rsid w:val="00232C70"/>
    <w:rsid w:val="00236959"/>
    <w:rsid w:val="00241D64"/>
    <w:rsid w:val="00252C46"/>
    <w:rsid w:val="00253D30"/>
    <w:rsid w:val="002667C9"/>
    <w:rsid w:val="00281D20"/>
    <w:rsid w:val="00287B9D"/>
    <w:rsid w:val="00293E2B"/>
    <w:rsid w:val="0029589F"/>
    <w:rsid w:val="002A6BBD"/>
    <w:rsid w:val="002C3514"/>
    <w:rsid w:val="002C427C"/>
    <w:rsid w:val="002C4621"/>
    <w:rsid w:val="002C5FF6"/>
    <w:rsid w:val="002D39EB"/>
    <w:rsid w:val="002D4706"/>
    <w:rsid w:val="002D7F18"/>
    <w:rsid w:val="002E491B"/>
    <w:rsid w:val="002F4019"/>
    <w:rsid w:val="002F51CC"/>
    <w:rsid w:val="00300866"/>
    <w:rsid w:val="00307539"/>
    <w:rsid w:val="00322BC4"/>
    <w:rsid w:val="0033283E"/>
    <w:rsid w:val="003339C2"/>
    <w:rsid w:val="00343278"/>
    <w:rsid w:val="00347DF4"/>
    <w:rsid w:val="003853EC"/>
    <w:rsid w:val="003A7895"/>
    <w:rsid w:val="003B0194"/>
    <w:rsid w:val="003B4025"/>
    <w:rsid w:val="003C2C13"/>
    <w:rsid w:val="003D2360"/>
    <w:rsid w:val="003D4CB0"/>
    <w:rsid w:val="003E0EC8"/>
    <w:rsid w:val="003F1794"/>
    <w:rsid w:val="003F441D"/>
    <w:rsid w:val="00416C05"/>
    <w:rsid w:val="0042324F"/>
    <w:rsid w:val="00435772"/>
    <w:rsid w:val="00446856"/>
    <w:rsid w:val="00453B87"/>
    <w:rsid w:val="00464742"/>
    <w:rsid w:val="004672EF"/>
    <w:rsid w:val="00467EED"/>
    <w:rsid w:val="00474C56"/>
    <w:rsid w:val="00491B0B"/>
    <w:rsid w:val="004A2A90"/>
    <w:rsid w:val="004A4718"/>
    <w:rsid w:val="004A4F12"/>
    <w:rsid w:val="004B67EF"/>
    <w:rsid w:val="004D1E1A"/>
    <w:rsid w:val="004D38BC"/>
    <w:rsid w:val="004D3C5F"/>
    <w:rsid w:val="004D45F9"/>
    <w:rsid w:val="004D47C5"/>
    <w:rsid w:val="004D4FA0"/>
    <w:rsid w:val="004D71F5"/>
    <w:rsid w:val="004D7C75"/>
    <w:rsid w:val="004E0400"/>
    <w:rsid w:val="004E3089"/>
    <w:rsid w:val="00502BB8"/>
    <w:rsid w:val="00526F77"/>
    <w:rsid w:val="00534AEF"/>
    <w:rsid w:val="005416C0"/>
    <w:rsid w:val="00541A90"/>
    <w:rsid w:val="005430E0"/>
    <w:rsid w:val="00544374"/>
    <w:rsid w:val="00544911"/>
    <w:rsid w:val="005455DD"/>
    <w:rsid w:val="00547768"/>
    <w:rsid w:val="00551192"/>
    <w:rsid w:val="005604EC"/>
    <w:rsid w:val="00571531"/>
    <w:rsid w:val="005A1A6C"/>
    <w:rsid w:val="005A27E0"/>
    <w:rsid w:val="005A3C04"/>
    <w:rsid w:val="005A422F"/>
    <w:rsid w:val="005F2A14"/>
    <w:rsid w:val="005F3C7D"/>
    <w:rsid w:val="005F6125"/>
    <w:rsid w:val="00601CC2"/>
    <w:rsid w:val="00617F9A"/>
    <w:rsid w:val="0062732F"/>
    <w:rsid w:val="00647199"/>
    <w:rsid w:val="0065513D"/>
    <w:rsid w:val="0065709E"/>
    <w:rsid w:val="00665650"/>
    <w:rsid w:val="00670D99"/>
    <w:rsid w:val="00670F7C"/>
    <w:rsid w:val="006D0A53"/>
    <w:rsid w:val="006E42AA"/>
    <w:rsid w:val="006E7D84"/>
    <w:rsid w:val="006F07EF"/>
    <w:rsid w:val="006F2122"/>
    <w:rsid w:val="00711B5B"/>
    <w:rsid w:val="00712941"/>
    <w:rsid w:val="00720764"/>
    <w:rsid w:val="00733ED8"/>
    <w:rsid w:val="00742EFB"/>
    <w:rsid w:val="007570B1"/>
    <w:rsid w:val="0076195B"/>
    <w:rsid w:val="0076330F"/>
    <w:rsid w:val="00763FF7"/>
    <w:rsid w:val="007737C6"/>
    <w:rsid w:val="00773EA5"/>
    <w:rsid w:val="007838E1"/>
    <w:rsid w:val="00784B3A"/>
    <w:rsid w:val="007950B8"/>
    <w:rsid w:val="007A1B73"/>
    <w:rsid w:val="007A4178"/>
    <w:rsid w:val="007A57B5"/>
    <w:rsid w:val="007A68C7"/>
    <w:rsid w:val="007C0651"/>
    <w:rsid w:val="007C298E"/>
    <w:rsid w:val="007D3944"/>
    <w:rsid w:val="007D5379"/>
    <w:rsid w:val="008113AB"/>
    <w:rsid w:val="00817B4E"/>
    <w:rsid w:val="0083037E"/>
    <w:rsid w:val="00833A35"/>
    <w:rsid w:val="00835201"/>
    <w:rsid w:val="00843A27"/>
    <w:rsid w:val="00851F12"/>
    <w:rsid w:val="00856017"/>
    <w:rsid w:val="00857B9B"/>
    <w:rsid w:val="008610C5"/>
    <w:rsid w:val="0087555E"/>
    <w:rsid w:val="00885482"/>
    <w:rsid w:val="00885A95"/>
    <w:rsid w:val="008A25FC"/>
    <w:rsid w:val="008A70D7"/>
    <w:rsid w:val="008A790C"/>
    <w:rsid w:val="008B2B92"/>
    <w:rsid w:val="008C5B91"/>
    <w:rsid w:val="008C6148"/>
    <w:rsid w:val="008D56BD"/>
    <w:rsid w:val="008E7219"/>
    <w:rsid w:val="00903E35"/>
    <w:rsid w:val="00906489"/>
    <w:rsid w:val="009065EB"/>
    <w:rsid w:val="00926322"/>
    <w:rsid w:val="00933AAB"/>
    <w:rsid w:val="00940F5C"/>
    <w:rsid w:val="009424C1"/>
    <w:rsid w:val="00950762"/>
    <w:rsid w:val="00960C1C"/>
    <w:rsid w:val="00960C68"/>
    <w:rsid w:val="00961F59"/>
    <w:rsid w:val="00963429"/>
    <w:rsid w:val="0096567F"/>
    <w:rsid w:val="009801A3"/>
    <w:rsid w:val="00984DA8"/>
    <w:rsid w:val="00990F7C"/>
    <w:rsid w:val="00996B61"/>
    <w:rsid w:val="009A411B"/>
    <w:rsid w:val="009B7CDC"/>
    <w:rsid w:val="009C0B9B"/>
    <w:rsid w:val="009C1DFD"/>
    <w:rsid w:val="009C395B"/>
    <w:rsid w:val="009F1C60"/>
    <w:rsid w:val="00A00E37"/>
    <w:rsid w:val="00A026CF"/>
    <w:rsid w:val="00A123E5"/>
    <w:rsid w:val="00A14F31"/>
    <w:rsid w:val="00A16160"/>
    <w:rsid w:val="00A25EBA"/>
    <w:rsid w:val="00A27F6B"/>
    <w:rsid w:val="00A33941"/>
    <w:rsid w:val="00A33F0D"/>
    <w:rsid w:val="00A34021"/>
    <w:rsid w:val="00A35A8E"/>
    <w:rsid w:val="00A46F62"/>
    <w:rsid w:val="00A653E7"/>
    <w:rsid w:val="00A668ED"/>
    <w:rsid w:val="00A71A20"/>
    <w:rsid w:val="00A76705"/>
    <w:rsid w:val="00A77824"/>
    <w:rsid w:val="00A81629"/>
    <w:rsid w:val="00A8423A"/>
    <w:rsid w:val="00A865C3"/>
    <w:rsid w:val="00AA43FE"/>
    <w:rsid w:val="00AA465B"/>
    <w:rsid w:val="00AB136E"/>
    <w:rsid w:val="00AB2BF3"/>
    <w:rsid w:val="00AC2B9D"/>
    <w:rsid w:val="00AE049E"/>
    <w:rsid w:val="00AE0BB6"/>
    <w:rsid w:val="00AE67BA"/>
    <w:rsid w:val="00AF1C65"/>
    <w:rsid w:val="00AF3428"/>
    <w:rsid w:val="00B055FC"/>
    <w:rsid w:val="00B152D9"/>
    <w:rsid w:val="00B31277"/>
    <w:rsid w:val="00B3505A"/>
    <w:rsid w:val="00B61BE9"/>
    <w:rsid w:val="00B65650"/>
    <w:rsid w:val="00B66727"/>
    <w:rsid w:val="00B67766"/>
    <w:rsid w:val="00B67C2B"/>
    <w:rsid w:val="00B719A3"/>
    <w:rsid w:val="00B71F3C"/>
    <w:rsid w:val="00B71FBF"/>
    <w:rsid w:val="00B753B9"/>
    <w:rsid w:val="00B75443"/>
    <w:rsid w:val="00B76020"/>
    <w:rsid w:val="00BA2AED"/>
    <w:rsid w:val="00BA567D"/>
    <w:rsid w:val="00BA6DB1"/>
    <w:rsid w:val="00BA74C0"/>
    <w:rsid w:val="00BA7E01"/>
    <w:rsid w:val="00BC3CCC"/>
    <w:rsid w:val="00BC4803"/>
    <w:rsid w:val="00BD0C75"/>
    <w:rsid w:val="00BD2B5A"/>
    <w:rsid w:val="00BF0FDE"/>
    <w:rsid w:val="00C1427C"/>
    <w:rsid w:val="00C221DA"/>
    <w:rsid w:val="00C32AED"/>
    <w:rsid w:val="00C33092"/>
    <w:rsid w:val="00C3702D"/>
    <w:rsid w:val="00C50A32"/>
    <w:rsid w:val="00C50D3D"/>
    <w:rsid w:val="00C524AB"/>
    <w:rsid w:val="00C52C3B"/>
    <w:rsid w:val="00C7712B"/>
    <w:rsid w:val="00C90337"/>
    <w:rsid w:val="00C940CD"/>
    <w:rsid w:val="00CA4A47"/>
    <w:rsid w:val="00CB02AD"/>
    <w:rsid w:val="00CB2557"/>
    <w:rsid w:val="00CB6C1A"/>
    <w:rsid w:val="00CC27AD"/>
    <w:rsid w:val="00CC3E33"/>
    <w:rsid w:val="00CC56E7"/>
    <w:rsid w:val="00CD0BA3"/>
    <w:rsid w:val="00CE7928"/>
    <w:rsid w:val="00CF0302"/>
    <w:rsid w:val="00CF534B"/>
    <w:rsid w:val="00D17D5B"/>
    <w:rsid w:val="00D266D9"/>
    <w:rsid w:val="00D44C0D"/>
    <w:rsid w:val="00D529D5"/>
    <w:rsid w:val="00D602D8"/>
    <w:rsid w:val="00D66914"/>
    <w:rsid w:val="00D97B17"/>
    <w:rsid w:val="00DA3DFC"/>
    <w:rsid w:val="00DB0336"/>
    <w:rsid w:val="00DB3A7D"/>
    <w:rsid w:val="00DE4182"/>
    <w:rsid w:val="00DF1D7D"/>
    <w:rsid w:val="00DF3F2A"/>
    <w:rsid w:val="00E037E2"/>
    <w:rsid w:val="00E03912"/>
    <w:rsid w:val="00E1383E"/>
    <w:rsid w:val="00E25FAC"/>
    <w:rsid w:val="00E3182A"/>
    <w:rsid w:val="00E32909"/>
    <w:rsid w:val="00E4017C"/>
    <w:rsid w:val="00E51364"/>
    <w:rsid w:val="00E51545"/>
    <w:rsid w:val="00E51AE2"/>
    <w:rsid w:val="00E557A0"/>
    <w:rsid w:val="00E65054"/>
    <w:rsid w:val="00E65D9F"/>
    <w:rsid w:val="00E678E3"/>
    <w:rsid w:val="00E75DAA"/>
    <w:rsid w:val="00E81CEE"/>
    <w:rsid w:val="00E90DA9"/>
    <w:rsid w:val="00EA58A2"/>
    <w:rsid w:val="00EB1DC2"/>
    <w:rsid w:val="00EB5B3B"/>
    <w:rsid w:val="00EC5736"/>
    <w:rsid w:val="00ED062B"/>
    <w:rsid w:val="00ED372E"/>
    <w:rsid w:val="00ED54D5"/>
    <w:rsid w:val="00EE3295"/>
    <w:rsid w:val="00EE36B1"/>
    <w:rsid w:val="00EE5D22"/>
    <w:rsid w:val="00F009D5"/>
    <w:rsid w:val="00F02F5A"/>
    <w:rsid w:val="00F07C76"/>
    <w:rsid w:val="00F13547"/>
    <w:rsid w:val="00F14733"/>
    <w:rsid w:val="00F16619"/>
    <w:rsid w:val="00F3423E"/>
    <w:rsid w:val="00F451E9"/>
    <w:rsid w:val="00F507BD"/>
    <w:rsid w:val="00F55AB2"/>
    <w:rsid w:val="00F56182"/>
    <w:rsid w:val="00F62F56"/>
    <w:rsid w:val="00F633A7"/>
    <w:rsid w:val="00F64907"/>
    <w:rsid w:val="00F73FAA"/>
    <w:rsid w:val="00F74C54"/>
    <w:rsid w:val="00F7712E"/>
    <w:rsid w:val="00F81360"/>
    <w:rsid w:val="00F86C84"/>
    <w:rsid w:val="00F90C14"/>
    <w:rsid w:val="00F97724"/>
    <w:rsid w:val="00FA14EC"/>
    <w:rsid w:val="00FA23F9"/>
    <w:rsid w:val="00FA2693"/>
    <w:rsid w:val="00FA31FA"/>
    <w:rsid w:val="00FA765A"/>
    <w:rsid w:val="00FB0EC2"/>
    <w:rsid w:val="00FB1FFC"/>
    <w:rsid w:val="00FB4447"/>
    <w:rsid w:val="00FC4AD6"/>
    <w:rsid w:val="00FD02C5"/>
    <w:rsid w:val="00FD37CF"/>
    <w:rsid w:val="00FE4E68"/>
    <w:rsid w:val="00FE7A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3ffff"/>
      <o:colormenu v:ext="edit" fillcolor="none"/>
    </o:shapedefaults>
    <o:shapelayout v:ext="edit">
      <o:idmap v:ext="edit" data="2"/>
    </o:shapelayout>
  </w:shapeDefaults>
  <w:decimalSymbol w:val=","/>
  <w:listSeparator w:val=";"/>
  <w14:docId w14:val="415E258E"/>
  <w15:chartTrackingRefBased/>
  <w15:docId w15:val="{B98C0561-000A-4AE5-A264-C5D466FB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C5736"/>
    <w:pPr>
      <w:ind w:left="720"/>
      <w:contextualSpacing/>
    </w:pPr>
  </w:style>
  <w:style w:type="character" w:customStyle="1" w:styleId="ui-provider">
    <w:name w:val="ui-provider"/>
    <w:basedOn w:val="Fuentedeprrafopredeter"/>
    <w:rsid w:val="00E65D9F"/>
  </w:style>
  <w:style w:type="character" w:styleId="Refdecomentario">
    <w:name w:val="annotation reference"/>
    <w:basedOn w:val="Fuentedeprrafopredeter"/>
    <w:uiPriority w:val="99"/>
    <w:semiHidden/>
    <w:unhideWhenUsed/>
    <w:rsid w:val="00FA23F9"/>
    <w:rPr>
      <w:sz w:val="16"/>
      <w:szCs w:val="16"/>
    </w:rPr>
  </w:style>
  <w:style w:type="paragraph" w:styleId="Textocomentario">
    <w:name w:val="annotation text"/>
    <w:basedOn w:val="Normal"/>
    <w:link w:val="TextocomentarioCar"/>
    <w:uiPriority w:val="99"/>
    <w:unhideWhenUsed/>
    <w:rsid w:val="00FA23F9"/>
    <w:pPr>
      <w:spacing w:line="240" w:lineRule="auto"/>
    </w:pPr>
    <w:rPr>
      <w:sz w:val="20"/>
      <w:szCs w:val="20"/>
    </w:rPr>
  </w:style>
  <w:style w:type="character" w:customStyle="1" w:styleId="TextocomentarioCar">
    <w:name w:val="Texto comentario Car"/>
    <w:basedOn w:val="Fuentedeprrafopredeter"/>
    <w:link w:val="Textocomentario"/>
    <w:uiPriority w:val="99"/>
    <w:rsid w:val="00FA23F9"/>
    <w:rPr>
      <w:sz w:val="20"/>
      <w:szCs w:val="20"/>
    </w:rPr>
  </w:style>
  <w:style w:type="paragraph" w:styleId="Asuntodelcomentario">
    <w:name w:val="annotation subject"/>
    <w:basedOn w:val="Textocomentario"/>
    <w:next w:val="Textocomentario"/>
    <w:link w:val="AsuntodelcomentarioCar"/>
    <w:uiPriority w:val="99"/>
    <w:semiHidden/>
    <w:unhideWhenUsed/>
    <w:rsid w:val="00FA23F9"/>
    <w:rPr>
      <w:b/>
      <w:bCs/>
    </w:rPr>
  </w:style>
  <w:style w:type="character" w:customStyle="1" w:styleId="AsuntodelcomentarioCar">
    <w:name w:val="Asunto del comentario Car"/>
    <w:basedOn w:val="TextocomentarioCar"/>
    <w:link w:val="Asuntodelcomentario"/>
    <w:uiPriority w:val="99"/>
    <w:semiHidden/>
    <w:rsid w:val="00FA23F9"/>
    <w:rPr>
      <w:b/>
      <w:bCs/>
      <w:sz w:val="20"/>
      <w:szCs w:val="20"/>
    </w:rPr>
  </w:style>
  <w:style w:type="character" w:customStyle="1" w:styleId="TextonotapieCar">
    <w:name w:val="Texto nota pie Car"/>
    <w:aliases w:val="ALTS FOOTNOTE Car,fn Car,Geneva 9 Car,Font: Geneva 9 Car,Boston 10 Car,f Car,single space Car,footnote text Car,FOOTNOTES Car,Footnote Text Char Char Char Char Char Char Car,Fußnotentextr Car,Char Car,Footnote Text Char Char Car"/>
    <w:basedOn w:val="Fuentedeprrafopredeter"/>
    <w:link w:val="Textonotapie"/>
    <w:uiPriority w:val="99"/>
    <w:semiHidden/>
    <w:locked/>
    <w:rsid w:val="00C7712B"/>
    <w:rPr>
      <w:rFonts w:ascii="Calibri" w:eastAsia="Calibri" w:hAnsi="Calibri" w:cs="Calibri"/>
    </w:rPr>
  </w:style>
  <w:style w:type="paragraph" w:styleId="Textonotapie">
    <w:name w:val="footnote text"/>
    <w:aliases w:val="ALTS FOOTNOTE,fn,Geneva 9,Font: Geneva 9,Boston 10,f,single space,footnote text,FOOTNOTES,Footnote Text Char Char Char Char Char Char,Fußnotentextr,Char,Footnote Text Char Char,Footnote Text1 Char,Footnote Text Char Char Char Char,ft"/>
    <w:basedOn w:val="Normal"/>
    <w:link w:val="TextonotapieCar"/>
    <w:uiPriority w:val="99"/>
    <w:semiHidden/>
    <w:unhideWhenUsed/>
    <w:rsid w:val="00C7712B"/>
    <w:pPr>
      <w:spacing w:after="0" w:line="240" w:lineRule="auto"/>
      <w:jc w:val="both"/>
    </w:pPr>
    <w:rPr>
      <w:rFonts w:ascii="Calibri" w:eastAsia="Calibri" w:hAnsi="Calibri" w:cs="Calibri"/>
    </w:rPr>
  </w:style>
  <w:style w:type="character" w:customStyle="1" w:styleId="TextonotapieCar1">
    <w:name w:val="Texto nota pie Car1"/>
    <w:basedOn w:val="Fuentedeprrafopredeter"/>
    <w:uiPriority w:val="99"/>
    <w:semiHidden/>
    <w:rsid w:val="00C7712B"/>
    <w:rPr>
      <w:sz w:val="20"/>
      <w:szCs w:val="20"/>
    </w:rPr>
  </w:style>
  <w:style w:type="character" w:styleId="Refdenotaalpie">
    <w:name w:val="footnote reference"/>
    <w:aliases w:val="16 Point,Superscript 6 Point,ftref,BVI fnr,Footnote Reference Number,Footnote Reference_LVL6,Footnote Reference_LVL61,Footnote Reference_LVL62,Footnote Reference_LVL63,Footnote Reference_LVL64,Superscript 6 Point + 11 pt"/>
    <w:uiPriority w:val="99"/>
    <w:semiHidden/>
    <w:unhideWhenUsed/>
    <w:qFormat/>
    <w:rsid w:val="00C7712B"/>
    <w:rPr>
      <w:vertAlign w:val="superscript"/>
    </w:rPr>
  </w:style>
  <w:style w:type="paragraph" w:styleId="Encabezado">
    <w:name w:val="header"/>
    <w:basedOn w:val="Normal"/>
    <w:link w:val="EncabezadoCar"/>
    <w:uiPriority w:val="99"/>
    <w:unhideWhenUsed/>
    <w:rsid w:val="008610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610C5"/>
  </w:style>
  <w:style w:type="paragraph" w:styleId="Piedepgina">
    <w:name w:val="footer"/>
    <w:basedOn w:val="Normal"/>
    <w:link w:val="PiedepginaCar"/>
    <w:uiPriority w:val="99"/>
    <w:unhideWhenUsed/>
    <w:rsid w:val="008610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610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6370243">
      <w:bodyDiv w:val="1"/>
      <w:marLeft w:val="0"/>
      <w:marRight w:val="0"/>
      <w:marTop w:val="0"/>
      <w:marBottom w:val="0"/>
      <w:divBdr>
        <w:top w:val="none" w:sz="0" w:space="0" w:color="auto"/>
        <w:left w:val="none" w:sz="0" w:space="0" w:color="auto"/>
        <w:bottom w:val="none" w:sz="0" w:space="0" w:color="auto"/>
        <w:right w:val="none" w:sz="0" w:space="0" w:color="auto"/>
      </w:divBdr>
    </w:div>
    <w:div w:id="818229027">
      <w:bodyDiv w:val="1"/>
      <w:marLeft w:val="0"/>
      <w:marRight w:val="0"/>
      <w:marTop w:val="0"/>
      <w:marBottom w:val="0"/>
      <w:divBdr>
        <w:top w:val="none" w:sz="0" w:space="0" w:color="auto"/>
        <w:left w:val="none" w:sz="0" w:space="0" w:color="auto"/>
        <w:bottom w:val="none" w:sz="0" w:space="0" w:color="auto"/>
        <w:right w:val="none" w:sz="0" w:space="0" w:color="auto"/>
      </w:divBdr>
    </w:div>
    <w:div w:id="92734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ersonalizado 1">
      <a:dk1>
        <a:sysClr val="windowText" lastClr="000000"/>
      </a:dk1>
      <a:lt1>
        <a:srgbClr val="F2F2F2"/>
      </a:lt1>
      <a:dk2>
        <a:srgbClr val="44546A"/>
      </a:dk2>
      <a:lt2>
        <a:srgbClr val="DAE3F3"/>
      </a:lt2>
      <a:accent1>
        <a:srgbClr val="1F4DBE"/>
      </a:accent1>
      <a:accent2>
        <a:srgbClr val="F7A334"/>
      </a:accent2>
      <a:accent3>
        <a:srgbClr val="10264F"/>
      </a:accent3>
      <a:accent4>
        <a:srgbClr val="FFC000"/>
      </a:accent4>
      <a:accent5>
        <a:srgbClr val="44546A"/>
      </a:accent5>
      <a:accent6>
        <a:srgbClr val="E7E6E6"/>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57D86-7FC7-4ABE-B89C-A580BE7B2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2078</Words>
  <Characters>12832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Paula Díaz Nuñez</dc:creator>
  <cp:keywords/>
  <dc:description/>
  <cp:lastModifiedBy>Lina María Castro Córdoba</cp:lastModifiedBy>
  <cp:revision>24</cp:revision>
  <cp:lastPrinted>2023-11-23T12:36:00Z</cp:lastPrinted>
  <dcterms:created xsi:type="dcterms:W3CDTF">2023-11-22T17:58:00Z</dcterms:created>
  <dcterms:modified xsi:type="dcterms:W3CDTF">2024-11-21T21:15:00Z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ed08cdf6-a4ac-460a-9b4a-c82a56e1c503</vt:lpwstr>
  </property>
</Properties>
</file>