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od7c3dhao8h" w:id="0"/>
      <w:bookmarkEnd w:id="0"/>
      <w:r w:rsidDel="00000000" w:rsidR="00000000" w:rsidRPr="00000000">
        <w:rPr>
          <w:rtl w:val="0"/>
        </w:rPr>
        <w:t xml:space="preserve">Banco de Casos de Uso: Arquitectura Analítica y Recap Power BI (Módulo 1)</w:t>
      </w:r>
    </w:p>
    <w:p w:rsidR="00000000" w:rsidDel="00000000" w:rsidP="00000000" w:rsidRDefault="00000000" w:rsidRPr="00000000" w14:paraId="00000002">
      <w:pPr>
        <w:pStyle w:val="Heading4"/>
        <w:rPr/>
      </w:pPr>
      <w:bookmarkStart w:colFirst="0" w:colLast="0" w:name="_pm7le6c4to10" w:id="1"/>
      <w:bookmarkEnd w:id="1"/>
      <w:r w:rsidDel="00000000" w:rsidR="00000000" w:rsidRPr="00000000">
        <w:rPr>
          <w:rtl w:val="0"/>
        </w:rPr>
        <w:t xml:space="preserve">1. Introducción Estratégica: El Valor de la Analítica en Tech&amp;Eng</w:t>
      </w:r>
    </w:p>
    <w:p w:rsidR="00000000" w:rsidDel="00000000" w:rsidP="00000000" w:rsidRDefault="00000000" w:rsidRPr="00000000" w14:paraId="00000003">
      <w:pPr>
        <w:rPr/>
      </w:pPr>
      <w:r w:rsidDel="00000000" w:rsidR="00000000" w:rsidRPr="00000000">
        <w:rPr>
          <w:rtl w:val="0"/>
        </w:rPr>
        <w:t xml:space="preserve">En el ecosistema de ingeniería y tecnología ( </w:t>
      </w:r>
      <w:r w:rsidDel="00000000" w:rsidR="00000000" w:rsidRPr="00000000">
        <w:rPr>
          <w:b w:val="1"/>
          <w:bCs w:val="1"/>
          <w:rtl w:val="0"/>
        </w:rPr>
        <w:t xml:space="preserve">Tech&amp;Eng</w:t>
      </w:r>
      <w:r w:rsidDel="00000000" w:rsidR="00000000" w:rsidRPr="00000000">
        <w:rPr>
          <w:rtl w:val="0"/>
        </w:rPr>
        <w:t xml:space="preserve"> ), la arquitectura analítica no es solo un componente de soporte, sino el cimiento sobre el cual se construye la resiliencia operativa y la eficiencia financiera. La transición desde el reporte descriptivo tradicional (¿qué ocurrió?) hacia el análisis diagnóstico de causa raíz ( </w:t>
      </w:r>
      <w:r w:rsidDel="00000000" w:rsidR="00000000" w:rsidRPr="00000000">
        <w:rPr>
          <w:b w:val="1"/>
          <w:bCs w:val="1"/>
          <w:rtl w:val="0"/>
        </w:rPr>
        <w:t xml:space="preserve">Root-Cause Analysis</w:t>
      </w:r>
      <w:r w:rsidDel="00000000" w:rsidR="00000000" w:rsidRPr="00000000">
        <w:rPr>
          <w:rtl w:val="0"/>
        </w:rPr>
        <w:t xml:space="preserve"> ) y los modelos predictivos es crítica. Herramientas como el  </w:t>
      </w:r>
      <w:r w:rsidDel="00000000" w:rsidR="00000000" w:rsidRPr="00000000">
        <w:rPr>
          <w:b w:val="1"/>
          <w:bCs w:val="1"/>
          <w:rtl w:val="0"/>
        </w:rPr>
        <w:t xml:space="preserve">Decomposition Tree</w:t>
      </w:r>
      <w:r w:rsidDel="00000000" w:rsidR="00000000" w:rsidRPr="00000000">
        <w:rPr>
          <w:rtl w:val="0"/>
        </w:rPr>
        <w:t xml:space="preserve">  permiten desglosar desviaciones complejas de manera multidimensional, mientras que el  </w:t>
      </w:r>
      <w:r w:rsidDel="00000000" w:rsidR="00000000" w:rsidRPr="00000000">
        <w:rPr>
          <w:b w:val="1"/>
          <w:bCs w:val="1"/>
          <w:rtl w:val="0"/>
        </w:rPr>
        <w:t xml:space="preserve">Analytics Pane</w:t>
      </w:r>
      <w:r w:rsidDel="00000000" w:rsidR="00000000" w:rsidRPr="00000000">
        <w:rPr>
          <w:rtl w:val="0"/>
        </w:rPr>
        <w:t xml:space="preserve">  democratiza el acceso a capacidades avanzadas de detección de anomalías y pronósticos sin necesidad de scripts externos. Este banco de casos de uso ha sido diseñado como la hoja de ruta técnica para una sesión práctica de 2 horas, donde se transformarán datos crudos en inteligencia accionable, priorizando la gobernanza y la precisión técnica.</w:t>
      </w:r>
    </w:p>
    <w:p w:rsidR="00000000" w:rsidDel="00000000" w:rsidP="00000000" w:rsidRDefault="00000000" w:rsidRPr="00000000" w14:paraId="00000004">
      <w:pPr>
        <w:pStyle w:val="Heading4"/>
        <w:rPr/>
      </w:pPr>
      <w:bookmarkStart w:colFirst="0" w:colLast="0" w:name="_r5k19xtmfr8" w:id="2"/>
      <w:bookmarkEnd w:id="2"/>
      <w:r w:rsidDel="00000000" w:rsidR="00000000" w:rsidRPr="00000000">
        <w:rPr>
          <w:rtl w:val="0"/>
        </w:rPr>
        <w:t xml:space="preserve">2. Matriz de Casos de Uso Analíticos (Tech&amp;Eng)</w:t>
      </w:r>
    </w:p>
    <w:p w:rsidR="00000000" w:rsidDel="00000000" w:rsidP="00000000" w:rsidRDefault="00000000" w:rsidRPr="00000000" w14:paraId="00000005">
      <w:pPr>
        <w:rPr/>
      </w:pPr>
      <w:r w:rsidDel="00000000" w:rsidR="00000000" w:rsidRPr="00000000">
        <w:rPr>
          <w:rtl w:val="0"/>
        </w:rPr>
        <w:t xml:space="preserve">Nombre del caso,Área/Proceso,Problema de negocio,Pregunta analítica,KPIs sugeridos,Datos necesarios,Cómo Power BI ayuda,Cómo IA puede ayudar,Herramientas de IA posibles,Beneficio esperado,Riesgos o consideraciones,Slide/Diagrama recomendado,Fuentes usadas</w:t>
      </w:r>
    </w:p>
    <w:p w:rsidR="00000000" w:rsidDel="00000000" w:rsidP="00000000" w:rsidRDefault="00000000" w:rsidRPr="00000000" w14:paraId="00000006">
      <w:pPr>
        <w:rPr/>
      </w:pPr>
      <w:r w:rsidDel="00000000" w:rsidR="00000000" w:rsidRPr="00000000">
        <w:rPr>
          <w:rtl w:val="0"/>
        </w:rPr>
        <w:t xml:space="preserve">1. Mantenimiento Predictivo,Mantenimiento / Operaciones,Paradas no programadas por fallas de componentes.,¿Qué variables de operación son los principales inductores de falla?,"Probabilidad de falla, Horas de uso de herramienta.","Air temperature, Process temp, Torque, Tool wear.",Uso de parámetros para simular umbrales de seguridad.,Identificación de factores mediante  AI Splits  (High/Low Value).,AI Splits (Decomposition Tree).,Reducción de Downtime y costos de reparación.,Calibración de sensores y latencia de ingesta.,Árbol de Descomposición (XL).,Source: AI4I 2020 Predictive Maintenance Dataset</w:t>
      </w:r>
    </w:p>
    <w:p w:rsidR="00000000" w:rsidDel="00000000" w:rsidP="00000000" w:rsidRDefault="00000000" w:rsidRPr="00000000" w14:paraId="00000007">
      <w:pPr>
        <w:rPr/>
      </w:pPr>
      <w:r w:rsidDel="00000000" w:rsidR="00000000" w:rsidRPr="00000000">
        <w:rPr>
          <w:rtl w:val="0"/>
        </w:rPr>
        <w:t xml:space="preserve">2. Desviación de Presupuesto IT,Gestión de Proyectos / Finanzas,Sobrecostos en proyectos de ingeniería técnica.,¿Cuál es el promedio real de desviación por categoría de gasto?,"Desviación Promedio, % Ejecución Presupuestaria.",Costos reales vs. Presupuesto (IT Spend Analysis).,AVERAGEX para promediar desviaciones a nivel de fila.,Identificación de tendencias y outliers de gasto históricos.,Trend line (Analytics Pane).,Optimización del capital asignado a proyectos.,AVERAGEX no compatible con RLS en DirectQuery.,Tabla con formato condicional.,Source: IT Spend Analysis / Microsoft Learn</w:t>
      </w:r>
    </w:p>
    <w:p w:rsidR="00000000" w:rsidDel="00000000" w:rsidP="00000000" w:rsidRDefault="00000000" w:rsidRPr="00000000" w14:paraId="00000008">
      <w:pPr>
        <w:rPr/>
      </w:pPr>
      <w:r w:rsidDel="00000000" w:rsidR="00000000" w:rsidRPr="00000000">
        <w:rPr>
          <w:rtl w:val="0"/>
        </w:rPr>
        <w:t xml:space="preserve">3. Cumplimiento de SLA/Backlog,Supply Chain / Logística,Retrasos en pedidos técnicos que afectan la cadena.,¿Por qué el porcentaje de backorder es crítico en ciertas regiones?,"% de Backorder, Tiempo de ciclo de entrega.",Status de inventario y pedidos (Supply Chain Sample).,Jerarquías dinámicas para navegar de región a producto.,Análisis de raíz para explicar aumentos de pedidos pendientes.,AI Splits (High/Low Value).,Cumplimiento estricto de niveles de servicio (SLA).,"Truncación visual (límite de 5,000 puntos de datos).",Decomposition Tree (XL).,Source: Supply Chain Sample / Microsoft Learn</w:t>
      </w:r>
    </w:p>
    <w:p w:rsidR="00000000" w:rsidDel="00000000" w:rsidP="00000000" w:rsidRDefault="00000000" w:rsidRPr="00000000" w14:paraId="00000009">
      <w:pPr>
        <w:rPr/>
      </w:pPr>
      <w:r w:rsidDel="00000000" w:rsidR="00000000" w:rsidRPr="00000000">
        <w:rPr>
          <w:rtl w:val="0"/>
        </w:rPr>
        <w:t xml:space="preserve">4. Energía y Consumo Operativo,Operaciones / Energía,Consumo ineficiente de recursos energéticos.,¿Cómo varía el consumo de gas natural frente a la electricidad?,"BTU por sector, kWh por unidad producida.","Electricity, Natural Gas por sector (EIA Open Data).",Dynamic Format Strings para alternar entre BTU y kWh.,Pronóstico de demanda basado en estacionalidad histórica.,Forecasting (Analytics Pane).,Reducción de costos operativos y huella de carbono.,Integridad de la conexión vía API de la EIA.,Gráfico de Líneas con Forecast.,Source: EIA Open Data / Microsoft Learn</w:t>
      </w:r>
    </w:p>
    <w:p w:rsidR="00000000" w:rsidDel="00000000" w:rsidP="00000000" w:rsidRDefault="00000000" w:rsidRPr="00000000" w14:paraId="0000000A">
      <w:pPr>
        <w:rPr/>
      </w:pPr>
      <w:r w:rsidDel="00000000" w:rsidR="00000000" w:rsidRPr="00000000">
        <w:rPr>
          <w:rtl w:val="0"/>
        </w:rPr>
        <w:t xml:space="preserve">5. Seguridad e Incidentes,Seguridad / Calidad,Dificultad para priorizar fallas técnicas críticas.,¿Cuál es la incidencia de fallas tipo TWF vs. HDF por carga?,"Ratio de fallas por tipo (TWF, HDF, PWF, OSF).","Etiquetas de falla: TWF, HDF, PWF (AI4I 2020).",Uso de RLS para restringir acceso a datos de incidentes sensibles.,Clasificación automática de severidad técnica.,AI Splits (High/Low Value).,Mejora en tiempos de respuesta ante riesgos técnicos.,Impacto en rendimiento por filtros complejos de RLS.,Matrix visual con iconos de alerta.,Source: AI4I 2020 Predictive Maintenance Dataset</w:t>
      </w:r>
    </w:p>
    <w:p w:rsidR="00000000" w:rsidDel="00000000" w:rsidP="00000000" w:rsidRDefault="00000000" w:rsidRPr="00000000" w14:paraId="0000000B">
      <w:pPr>
        <w:rPr/>
      </w:pPr>
      <w:r w:rsidDel="00000000" w:rsidR="00000000" w:rsidRPr="00000000">
        <w:rPr>
          <w:rtl w:val="0"/>
        </w:rPr>
        <w:t xml:space="preserve">6. Productividad por Área,Ingeniería / Operaciones,Falta de visibilidad sobre la eficiencia de mano de obra.,¿Cuál es la relación entre horas laboradas y producción?,"Productividad (output/hora), Ratio empleados.","Mine type, labor hours, employees (EIA Coal).",AVERAGEX para medir productividad real a nivel de turno.,Identificación de factores que maximizan el rendimiento operativo.,Key Influencers visual.,Incremento de la eficiencia en la fuerza laboral.,Privacidad de datos individuales de empleados.,Scatter Chart (Dispersión).,Source: EIA - Aggregate production (Coal)</w:t>
      </w:r>
    </w:p>
    <w:p w:rsidR="00000000" w:rsidDel="00000000" w:rsidP="00000000" w:rsidRDefault="00000000" w:rsidRPr="00000000" w14:paraId="0000000C">
      <w:pPr>
        <w:rPr/>
      </w:pPr>
      <w:r w:rsidDel="00000000" w:rsidR="00000000" w:rsidRPr="00000000">
        <w:rPr>
          <w:rtl w:val="0"/>
        </w:rPr>
        <w:t xml:space="preserve">7. Mantenimiento y Disponibilidad,Planta Industrial,Inactividad no planificada en generadores críticos.,¿Cuál es el impacto de los outages en la capacidad total?,"% Disponibilidad, Capacidad en outage (MW).","Facility-level outages, capacity (Nuclear outages).",RLS dinámico basado en USERNAME() para gerentes de planta.,Detección automática de inactividad fuera de rangos normales.,Anomaly Detection.,Maximización de la disponibilidad de activos de planta.,Precisión de reportes externos de outages.,Gráfico de Líneas con Error Bars (L).,Source: EIA - Nuclear plant generator outages</w:t>
      </w:r>
    </w:p>
    <w:p w:rsidR="00000000" w:rsidDel="00000000" w:rsidP="00000000" w:rsidRDefault="00000000" w:rsidRPr="00000000" w14:paraId="0000000D">
      <w:pPr>
        <w:rPr/>
      </w:pPr>
      <w:r w:rsidDel="00000000" w:rsidR="00000000" w:rsidRPr="00000000">
        <w:rPr>
          <w:rtl w:val="0"/>
        </w:rPr>
        <w:t xml:space="preserve">8. Gestión de Órdenes de Trabajo,Mantenimiento / Campo,Saturación de información en reportes para técnicos.,¿Cuáles son los detalles críticos del técnico y estado de orden?,"MTTR (Tiempo medio de reparación), Órdenes cerradas.",Datos de técnicos y tiempos (Microsoft Learn).,Tooltip report pages  (Canvas Settings &gt; Tooltip).,Resumen visual de estados de órdenes de trabajo.,Narrative visual.,Agilidad en la supervisión de técnicos de campo.,"Configuración de ""Tooltip fields"" para filtrado correcto.",Tooltip Report Page.,Source: Microsoft Learn: Create report tooltips</w:t>
      </w:r>
    </w:p>
    <w:p w:rsidR="00000000" w:rsidDel="00000000" w:rsidP="00000000" w:rsidRDefault="00000000" w:rsidRPr="00000000" w14:paraId="0000000E">
      <w:pPr>
        <w:rPr/>
      </w:pPr>
      <w:r w:rsidDel="00000000" w:rsidR="00000000" w:rsidRPr="00000000">
        <w:rPr>
          <w:rtl w:val="0"/>
        </w:rPr>
        <w:t xml:space="preserve">9. Resumen Ejecutivo (Móvil),Alta Dirección,Necesidad de acceso a KPIs en tránsito.,¿Cuáles son las 3 métricas críticas que requieren acción hoy?,"Margen Operativo, Incidentes Críticos, Ingresos.",Datos consolidados (Adventure Works).,Mobile-optimized reports  con slicers horizontales.,Generación de alertas inteligentes ante desviaciones de KPI.,Alertas de datos (Power BI Service).,Toma de decisiones ejecutiva oportuna y remota.,Optimización de rendimiento para carga rápida en móviles.,"Mobile Layout (Slicers M, Tarjetas S).",Source: Microsoft Learn: Mobile-optimized reports</w:t>
      </w:r>
    </w:p>
    <w:p w:rsidR="00000000" w:rsidDel="00000000" w:rsidP="00000000" w:rsidRDefault="00000000" w:rsidRPr="00000000" w14:paraId="0000000F">
      <w:pPr>
        <w:rPr/>
      </w:pPr>
      <w:r w:rsidDel="00000000" w:rsidR="00000000" w:rsidRPr="00000000">
        <w:rPr>
          <w:rtl w:val="0"/>
        </w:rPr>
        <w:t xml:space="preserve">10. Detección de Anomalías,Ingeniería de Procesos,Picos inesperados de Torque que dañan herramientas.,¿Existen picos inesperados en el torque fuera del rango normal?,"Desviación de Torque, Estabilidad de Velocidad.","Torque, Rotational speed, Type (L, M, H) (AI4I 2020).",Anomaly Detection  con sensibilidad ajustable.,"Explicación de anomalías mediante la variable ""Type"".",Anomaly Detection (Explain by: Type).,Prevención de daños catastróficos en maquinaria.,Sensibilidad vs. Falsos Positivos en la detección.,Gráfico de Líneas con Anomalías.,Source: AI4I 2020 Predictive Maintenance Dataset</w:t>
      </w:r>
    </w:p>
    <w:p w:rsidR="00000000" w:rsidDel="00000000" w:rsidP="00000000" w:rsidRDefault="00000000" w:rsidRPr="00000000" w14:paraId="00000010">
      <w:pPr>
        <w:pStyle w:val="Heading4"/>
        <w:rPr/>
      </w:pPr>
      <w:bookmarkStart w:colFirst="0" w:colLast="0" w:name="_1lalqgq8ii0s" w:id="3"/>
      <w:bookmarkEnd w:id="3"/>
      <w:r w:rsidDel="00000000" w:rsidR="00000000" w:rsidRPr="00000000">
        <w:rPr>
          <w:rtl w:val="0"/>
        </w:rPr>
        <w:t xml:space="preserve">3. Directrices para el Diseño Visual y Experiencia de Usuario (UX)</w:t>
      </w:r>
    </w:p>
    <w:p w:rsidR="00000000" w:rsidDel="00000000" w:rsidP="00000000" w:rsidRDefault="00000000" w:rsidRPr="00000000" w14:paraId="00000011">
      <w:pPr>
        <w:rPr/>
      </w:pPr>
      <w:r w:rsidDel="00000000" w:rsidR="00000000" w:rsidRPr="00000000">
        <w:rPr>
          <w:rtl w:val="0"/>
        </w:rPr>
        <w:t xml:space="preserve">La visualización en dispositivos móviles no es una adaptación secundaria, sino una prioridad estratégica en industrias donde el personal operativo y directivo se desplaza constantemente. Un reporte móvil efectivo debe evitar la saturación y priorizar un flujo de historia vertical, eliminando elementos no esenciales como títulos de ejes o leyendas redundantes para maximizar el espacio en pantalla.</w:t>
      </w:r>
    </w:p>
    <w:p w:rsidR="00000000" w:rsidDel="00000000" w:rsidP="00000000" w:rsidRDefault="00000000" w:rsidRPr="00000000" w14:paraId="00000012">
      <w:pPr>
        <w:pStyle w:val="Heading5"/>
        <w:rPr/>
      </w:pPr>
      <w:bookmarkStart w:colFirst="0" w:colLast="0" w:name="_3upeubkhawma" w:id="4"/>
      <w:bookmarkEnd w:id="4"/>
      <w:r w:rsidDel="00000000" w:rsidR="00000000" w:rsidRPr="00000000">
        <w:rPr>
          <w:rtl w:val="0"/>
        </w:rPr>
        <w:t xml:space="preserve">Mejores prácticas para reportes móviles:</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Sin desplazamiento interno:</w:t>
      </w:r>
      <w:r w:rsidDel="00000000" w:rsidR="00000000" w:rsidRPr="00000000">
        <w:rPr>
          <w:rtl w:val="0"/>
        </w:rPr>
        <w:t xml:space="preserve">  Es imperativo configurar la altura de los visuales para evitar barras de desplazamiento vertical dentro de los mismos; el usuario solo debe usar el scroll general de la página.</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Jerarquía y Espaciado:</w:t>
      </w:r>
      <w:r w:rsidDel="00000000" w:rsidR="00000000" w:rsidRPr="00000000">
        <w:rPr>
          <w:rtl w:val="0"/>
        </w:rPr>
        <w:t xml:space="preserve">  Mantener márgenes de 6 a 8 puntos entre visuales. Colocar los segmentadores (slicers) de forma horizontal en la parte superior.</w:t>
      </w:r>
    </w:p>
    <w:p w:rsidR="00000000" w:rsidDel="00000000" w:rsidP="00000000" w:rsidRDefault="00000000" w:rsidRPr="00000000" w14:paraId="00000015">
      <w:pPr>
        <w:numPr>
          <w:ilvl w:val="0"/>
          <w:numId w:val="3"/>
        </w:numPr>
        <w:ind w:left="720" w:hanging="360"/>
        <w:rPr>
          <w:b w:val="1"/>
          <w:bCs w:val="1"/>
        </w:rPr>
      </w:pPr>
      <w:r w:rsidDel="00000000" w:rsidR="00000000" w:rsidRPr="00000000">
        <w:rPr>
          <w:b w:val="1"/>
          <w:bCs w:val="1"/>
          <w:rtl w:val="0"/>
        </w:rPr>
        <w:t xml:space="preserve">Dimensionamiento Estándar de Visuales:</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Tamaño XL (mín. 323x270 pt):</w:t>
      </w:r>
      <w:r w:rsidDel="00000000" w:rsidR="00000000" w:rsidRPr="00000000">
        <w:rPr>
          <w:rtl w:val="0"/>
        </w:rPr>
        <w:t xml:space="preserve">  Obligatorio para el  </w:t>
      </w:r>
      <w:r w:rsidDel="00000000" w:rsidR="00000000" w:rsidRPr="00000000">
        <w:rPr>
          <w:b w:val="1"/>
          <w:bCs w:val="1"/>
          <w:rtl w:val="0"/>
        </w:rPr>
        <w:t xml:space="preserve">Decomposition Tree</w:t>
      </w:r>
      <w:r w:rsidDel="00000000" w:rsidR="00000000" w:rsidRPr="00000000">
        <w:rPr>
          <w:rtl w:val="0"/>
        </w:rPr>
        <w:t xml:space="preserve">  (Caso 3) y Matrices complejas.</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Tamaño L (mín. 323x180 pt):</w:t>
      </w:r>
      <w:r w:rsidDel="00000000" w:rsidR="00000000" w:rsidRPr="00000000">
        <w:rPr>
          <w:rtl w:val="0"/>
        </w:rPr>
        <w:t xml:space="preserve">  Recomendado para gráficos de áreas, líneas y barras (Casos 4, 7 y 10).</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Tamaño M (mín. 323x100 pt):</w:t>
      </w:r>
      <w:r w:rsidDel="00000000" w:rsidR="00000000" w:rsidRPr="00000000">
        <w:rPr>
          <w:rtl w:val="0"/>
        </w:rPr>
        <w:t xml:space="preserve">  Ideal para Slicers, navegadores de páginas y cuadros de texto.</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Tamaño S (mín. 158x100 pt):</w:t>
      </w:r>
      <w:r w:rsidDel="00000000" w:rsidR="00000000" w:rsidRPr="00000000">
        <w:rPr>
          <w:rtl w:val="0"/>
        </w:rPr>
        <w:t xml:space="preserve">  Exclusivo para tarjetas de KPI (Casos 1 y 9) y botones.El uso de  </w:t>
      </w:r>
      <w:r w:rsidDel="00000000" w:rsidR="00000000" w:rsidRPr="00000000">
        <w:rPr>
          <w:b w:val="1"/>
          <w:bCs w:val="1"/>
          <w:rtl w:val="0"/>
        </w:rPr>
        <w:t xml:space="preserve">Dynamic Format Strings</w:t>
      </w:r>
      <w:r w:rsidDel="00000000" w:rsidR="00000000" w:rsidRPr="00000000">
        <w:rPr>
          <w:rtl w:val="0"/>
        </w:rPr>
        <w:t xml:space="preserve">  es vital en proyectos internacionales de energía (EIA), permitiendo que una medida de consumo se visualice dinámicamente en BTU o kWh según el contexto regional sin duplicar medidas en el modelo, manteniendo la precisión numérica para cálculos de gráficos.</w:t>
      </w:r>
    </w:p>
    <w:p w:rsidR="00000000" w:rsidDel="00000000" w:rsidP="00000000" w:rsidRDefault="00000000" w:rsidRPr="00000000" w14:paraId="0000001A">
      <w:pPr>
        <w:pStyle w:val="Heading4"/>
        <w:rPr/>
      </w:pPr>
      <w:bookmarkStart w:colFirst="0" w:colLast="0" w:name="_l7cmv9yxjbrs" w:id="5"/>
      <w:bookmarkEnd w:id="5"/>
      <w:r w:rsidDel="00000000" w:rsidR="00000000" w:rsidRPr="00000000">
        <w:rPr>
          <w:rtl w:val="0"/>
        </w:rPr>
        <w:t xml:space="preserve">4. Seguridad y Gobernanza del Modelo</w:t>
      </w:r>
    </w:p>
    <w:p w:rsidR="00000000" w:rsidDel="00000000" w:rsidP="00000000" w:rsidRDefault="00000000" w:rsidRPr="00000000" w14:paraId="0000001B">
      <w:pPr>
        <w:rPr/>
      </w:pPr>
      <w:r w:rsidDel="00000000" w:rsidR="00000000" w:rsidRPr="00000000">
        <w:rPr>
          <w:rtl w:val="0"/>
        </w:rPr>
        <w:t xml:space="preserve">La  </w:t>
      </w:r>
      <w:r w:rsidDel="00000000" w:rsidR="00000000" w:rsidRPr="00000000">
        <w:rPr>
          <w:b w:val="1"/>
          <w:bCs w:val="1"/>
          <w:rtl w:val="0"/>
        </w:rPr>
        <w:t xml:space="preserve">Seguridad a Nivel de Fila (RLS)</w:t>
      </w:r>
      <w:r w:rsidDel="00000000" w:rsidR="00000000" w:rsidRPr="00000000">
        <w:rPr>
          <w:rtl w:val="0"/>
        </w:rPr>
        <w:t xml:space="preserve">  es el estándar para proteger la propiedad intelectual y los datos operativos sensibles. Al implementar RLS, el arquitecto de datos garantiza que el filtro se propague automáticamente a todas las consultas DAX, permitiendo que un solo reporte sirva a múltiples perfiles de usuario de forma segura.</w:t>
      </w:r>
    </w:p>
    <w:p w:rsidR="00000000" w:rsidDel="00000000" w:rsidP="00000000" w:rsidRDefault="00000000" w:rsidRPr="00000000" w14:paraId="0000001C">
      <w:pPr>
        <w:pStyle w:val="Heading5"/>
        <w:rPr/>
      </w:pPr>
      <w:bookmarkStart w:colFirst="0" w:colLast="0" w:name="_z5mcsnrw6u9b" w:id="6"/>
      <w:bookmarkEnd w:id="6"/>
      <w:r w:rsidDel="00000000" w:rsidR="00000000" w:rsidRPr="00000000">
        <w:rPr>
          <w:rtl w:val="0"/>
        </w:rPr>
        <w:t xml:space="preserve">Implementación Técnica de Seguridad</w:t>
      </w:r>
    </w:p>
    <w:p w:rsidR="00000000" w:rsidDel="00000000" w:rsidP="00000000" w:rsidRDefault="00000000" w:rsidRPr="00000000" w14:paraId="0000001D">
      <w:pPr>
        <w:rPr/>
      </w:pPr>
      <w:r w:rsidDel="00000000" w:rsidR="00000000" w:rsidRPr="00000000">
        <w:rPr>
          <w:rtl w:val="0"/>
        </w:rPr>
        <w:t xml:space="preserve">Escenario de Seguridad,Implementación Técnica</w:t>
      </w:r>
    </w:p>
    <w:p w:rsidR="00000000" w:rsidDel="00000000" w:rsidP="00000000" w:rsidRDefault="00000000" w:rsidRPr="00000000" w14:paraId="0000001E">
      <w:pPr>
        <w:rPr/>
      </w:pPr>
      <w:r w:rsidDel="00000000" w:rsidR="00000000" w:rsidRPr="00000000">
        <w:rPr>
          <w:rtl w:val="0"/>
        </w:rPr>
        <w:t xml:space="preserve">Filtro Dinámico por Usuario,Uso de USERPRINCIPALNAME() en la tabla de seguridad para mapear el email del usuario con su región o planta.</w:t>
      </w:r>
    </w:p>
    <w:p w:rsidR="00000000" w:rsidDel="00000000" w:rsidP="00000000" w:rsidRDefault="00000000" w:rsidRPr="00000000" w14:paraId="0000001F">
      <w:pPr>
        <w:rPr/>
      </w:pPr>
      <w:r w:rsidDel="00000000" w:rsidR="00000000" w:rsidRPr="00000000">
        <w:rPr>
          <w:rtl w:val="0"/>
        </w:rPr>
        <w:t xml:space="preserve">Roles Aditivos (Unión),"Los usuarios miembros de múltiples roles verán la unión de los datos (ej: Acceso a ""Planta A"" Y ""Planta B"")."</w:t>
      </w:r>
    </w:p>
    <w:p w:rsidR="00000000" w:rsidDel="00000000" w:rsidP="00000000" w:rsidRDefault="00000000" w:rsidRPr="00000000" w14:paraId="00000020">
      <w:pPr>
        <w:rPr/>
      </w:pPr>
      <w:r w:rsidDel="00000000" w:rsidR="00000000" w:rsidRPr="00000000">
        <w:rPr>
          <w:rtl w:val="0"/>
        </w:rPr>
        <w:t xml:space="preserve">"Seguridad de ""Falla Segura""","Uso de Type = ""Internal"" &amp;&amp; ExpectedRole = ""Worker"" para asegurar que valores inesperados no revelen datos."</w:t>
      </w:r>
    </w:p>
    <w:p w:rsidR="00000000" w:rsidDel="00000000" w:rsidP="00000000" w:rsidRDefault="00000000" w:rsidRPr="00000000" w14:paraId="00000021">
      <w:pPr>
        <w:pStyle w:val="Heading5"/>
        <w:rPr/>
      </w:pPr>
      <w:bookmarkStart w:colFirst="0" w:colLast="0" w:name="_s29jqai759cl" w:id="7"/>
      <w:bookmarkEnd w:id="7"/>
      <w:r w:rsidDel="00000000" w:rsidR="00000000" w:rsidRPr="00000000">
        <w:rPr>
          <w:rtl w:val="0"/>
        </w:rPr>
        <w:t xml:space="preserve">Cuándo evitar RLS</w:t>
      </w:r>
    </w:p>
    <w:p w:rsidR="00000000" w:rsidDel="00000000" w:rsidP="00000000" w:rsidRDefault="00000000" w:rsidRPr="00000000" w14:paraId="00000022">
      <w:pPr>
        <w:rPr/>
      </w:pPr>
      <w:r w:rsidDel="00000000" w:rsidR="00000000" w:rsidRPr="00000000">
        <w:rPr>
          <w:rtl w:val="0"/>
        </w:rPr>
        <w:t xml:space="preserve">Existen escenarios específicos donde la documentación de Microsoft recomienda evitar RLS y optar por modelos separados o parámetros de consulta:</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Rendimiento de Consulta Extremo:</w:t>
      </w:r>
      <w:r w:rsidDel="00000000" w:rsidR="00000000" w:rsidRPr="00000000">
        <w:rPr>
          <w:rtl w:val="0"/>
        </w:rPr>
        <w:t xml:space="preserve">  Cuando las reglas de filtrado son masivas y afectan la latencia de respuesta para miles de usuarios.</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Modelos de Gran Escala:</w:t>
      </w:r>
      <w:r w:rsidDel="00000000" w:rsidR="00000000" w:rsidRPr="00000000">
        <w:rPr>
          <w:rtl w:val="0"/>
        </w:rPr>
        <w:t xml:space="preserve">  Para evitar límites de capacidad al procesar filtros complejos en tiempo real.</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Funcionalidades Incompatibles:</w:t>
      </w:r>
      <w:r w:rsidDel="00000000" w:rsidR="00000000" w:rsidRPr="00000000">
        <w:rPr>
          <w:rtl w:val="0"/>
        </w:rPr>
        <w:t xml:space="preserve">  Cuando el reporte requiere el uso de  </w:t>
      </w:r>
      <w:r w:rsidDel="00000000" w:rsidR="00000000" w:rsidRPr="00000000">
        <w:rPr>
          <w:b w:val="1"/>
          <w:bCs w:val="1"/>
          <w:rtl w:val="0"/>
        </w:rPr>
        <w:t xml:space="preserve">Publish to Web</w:t>
      </w:r>
      <w:r w:rsidDel="00000000" w:rsidR="00000000" w:rsidRPr="00000000">
        <w:rPr>
          <w:rtl w:val="0"/>
        </w:rPr>
        <w:t xml:space="preserve">  o cuando se utilizan funciones no soportadas en modo DirectQuery.</w:t>
      </w:r>
    </w:p>
    <w:p w:rsidR="00000000" w:rsidDel="00000000" w:rsidP="00000000" w:rsidRDefault="00000000" w:rsidRPr="00000000" w14:paraId="00000026">
      <w:pPr>
        <w:pStyle w:val="Heading4"/>
        <w:rPr/>
      </w:pPr>
      <w:bookmarkStart w:colFirst="0" w:colLast="0" w:name="_5zbgd326ik29" w:id="8"/>
      <w:bookmarkEnd w:id="8"/>
      <w:r w:rsidDel="00000000" w:rsidR="00000000" w:rsidRPr="00000000">
        <w:rPr>
          <w:rtl w:val="0"/>
        </w:rPr>
        <w:t xml:space="preserve">5. Guía de Referencia DAX y Funcionalidades AI</w:t>
      </w:r>
    </w:p>
    <w:p w:rsidR="00000000" w:rsidDel="00000000" w:rsidP="00000000" w:rsidRDefault="00000000" w:rsidRPr="00000000" w14:paraId="00000027">
      <w:pPr>
        <w:rPr/>
      </w:pPr>
      <w:r w:rsidDel="00000000" w:rsidR="00000000" w:rsidRPr="00000000">
        <w:rPr>
          <w:rtl w:val="0"/>
        </w:rPr>
        <w:t xml:space="preserve">Para lograr la máxima precisión en análisis industriales, el uso de funciones iteradoras es fundamental. Mientras que AVERAGE realiza una agregación simple sobre una columna,  </w:t>
      </w:r>
      <w:r w:rsidDel="00000000" w:rsidR="00000000" w:rsidRPr="00000000">
        <w:rPr>
          <w:b w:val="1"/>
          <w:bCs w:val="1"/>
          <w:rtl w:val="0"/>
        </w:rPr>
        <w:t xml:space="preserve">AVERAGEX</w:t>
      </w:r>
      <w:r w:rsidDel="00000000" w:rsidR="00000000" w:rsidRPr="00000000">
        <w:rPr>
          <w:rtl w:val="0"/>
        </w:rPr>
        <w:t xml:space="preserve">  evalúa una expresión fila por fila antes de promediar. Esto permite capturar variaciones críticas en costos de materiales o desgaste de herramientas que los promedios globales ocultan.</w:t>
      </w:r>
      <w:r w:rsidDel="00000000" w:rsidR="00000000" w:rsidRPr="00000000">
        <w:rPr>
          <w:b w:val="1"/>
          <w:bCs w:val="1"/>
          <w:rtl w:val="0"/>
        </w:rPr>
        <w:t xml:space="preserve">Advertencia Técnica:</w:t>
      </w:r>
      <w:r w:rsidDel="00000000" w:rsidR="00000000" w:rsidRPr="00000000">
        <w:rPr>
          <w:rtl w:val="0"/>
        </w:rPr>
        <w:t xml:space="preserve">  La función AVERAGEX no es compatible con el modo  </w:t>
      </w:r>
      <w:r w:rsidDel="00000000" w:rsidR="00000000" w:rsidRPr="00000000">
        <w:rPr>
          <w:b w:val="1"/>
          <w:bCs w:val="1"/>
          <w:rtl w:val="0"/>
        </w:rPr>
        <w:t xml:space="preserve">DirectQuery</w:t>
      </w:r>
      <w:r w:rsidDel="00000000" w:rsidR="00000000" w:rsidRPr="00000000">
        <w:rPr>
          <w:rtl w:val="0"/>
        </w:rPr>
        <w:t xml:space="preserve">  cuando se utiliza dentro de columnas calculadas o en reglas de Seguridad a Nivel de Fila (RLS). Esta restricción es vital para la estabilidad de la arquitectura en entornos de datos en tiempo real.</w:t>
      </w:r>
    </w:p>
    <w:p w:rsidR="00000000" w:rsidDel="00000000" w:rsidP="00000000" w:rsidRDefault="00000000" w:rsidRPr="00000000" w14:paraId="00000028">
      <w:pPr>
        <w:pStyle w:val="Heading5"/>
        <w:rPr/>
      </w:pPr>
      <w:bookmarkStart w:colFirst="0" w:colLast="0" w:name="_lgihcue9ajaw" w:id="9"/>
      <w:bookmarkEnd w:id="9"/>
      <w:r w:rsidDel="00000000" w:rsidR="00000000" w:rsidRPr="00000000">
        <w:rPr>
          <w:rtl w:val="0"/>
        </w:rPr>
        <w:t xml:space="preserve">Trazabilidad de Fuentes</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AI4I 2020 Predictive Maintenance Dataset:</w:t>
      </w:r>
      <w:r w:rsidDel="00000000" w:rsidR="00000000" w:rsidRPr="00000000">
        <w:rPr>
          <w:rtl w:val="0"/>
        </w:rPr>
        <w:t xml:space="preserve">  UC Irvine Machine Learning Repository.</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EIA Open Data:</w:t>
      </w:r>
      <w:r w:rsidDel="00000000" w:rsidR="00000000" w:rsidRPr="00000000">
        <w:rPr>
          <w:rtl w:val="0"/>
        </w:rPr>
        <w:t xml:space="preserve">  U.S. Energy Information Administration (Nuclear outages, Coal productivity, Electricity/Gas).</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Microsoft Learn: AVERAGEX function:</w:t>
      </w:r>
      <w:r w:rsidDel="00000000" w:rsidR="00000000" w:rsidRPr="00000000">
        <w:rPr>
          <w:rtl w:val="0"/>
        </w:rPr>
        <w:t xml:space="preserve">  Documentación oficial de DAX.</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Microsoft Learn: Best practices for mobile-optimized reports:</w:t>
      </w:r>
      <w:r w:rsidDel="00000000" w:rsidR="00000000" w:rsidRPr="00000000">
        <w:rPr>
          <w:rtl w:val="0"/>
        </w:rPr>
        <w:t xml:space="preserve">  Guía de diseño UX.</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Microsoft Learn: Row-level security (RLS) Guidance:</w:t>
      </w:r>
      <w:r w:rsidDel="00000000" w:rsidR="00000000" w:rsidRPr="00000000">
        <w:rPr>
          <w:rtl w:val="0"/>
        </w:rPr>
        <w:t xml:space="preserve">  Mejores prácticas de gobernanza.</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Microsoft Learn: Decomposition Tree / Analytics Pane:</w:t>
      </w:r>
      <w:r w:rsidDel="00000000" w:rsidR="00000000" w:rsidRPr="00000000">
        <w:rPr>
          <w:rtl w:val="0"/>
        </w:rPr>
        <w:t xml:space="preserve">  Documentación de visuales de IA.</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