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aixfi3v2gt6" w:id="0"/>
      <w:bookmarkEnd w:id="0"/>
      <w:r w:rsidDel="00000000" w:rsidR="00000000" w:rsidRPr="00000000">
        <w:rPr>
          <w:rtl w:val="0"/>
        </w:rPr>
        <w:t xml:space="preserve">Briefing Document: Módulo 1 - Arquitectura Analítica y Recap Power BI</w:t>
      </w:r>
    </w:p>
    <w:p w:rsidR="00000000" w:rsidDel="00000000" w:rsidP="00000000" w:rsidRDefault="00000000" w:rsidRPr="00000000" w14:paraId="00000002">
      <w:pPr>
        <w:pStyle w:val="Heading4"/>
        <w:rPr/>
      </w:pPr>
      <w:bookmarkStart w:colFirst="0" w:colLast="0" w:name="_imgzmsam1ebb" w:id="1"/>
      <w:bookmarkEnd w:id="1"/>
      <w:r w:rsidDel="00000000" w:rsidR="00000000" w:rsidRPr="00000000">
        <w:rPr>
          <w:rtl w:val="0"/>
        </w:rPr>
        <w:t xml:space="preserve">1. Resumen Ejecutivo de la Sesión</w:t>
      </w:r>
    </w:p>
    <w:p w:rsidR="00000000" w:rsidDel="00000000" w:rsidP="00000000" w:rsidRDefault="00000000" w:rsidRPr="00000000" w14:paraId="00000003">
      <w:pPr>
        <w:rPr>
          <w:i w:val="1"/>
          <w:iCs w:val="1"/>
        </w:rPr>
      </w:pPr>
      <w:r w:rsidDel="00000000" w:rsidR="00000000" w:rsidRPr="00000000">
        <w:rPr>
          <w:rtl w:val="0"/>
        </w:rPr>
        <w:t xml:space="preserve">En los ecosistemas de ingeniería y tecnología (Tech&amp;Eng), la capacidad de transformar telemetría bruta en inteligencia operativa no es una opción, sino un imperativo estratégico. El dominio de la arquitectura analítica en Power BI permite al profesional trascender el rol de "generador de gráficos" para convertirse en un arquitecto de decisiones. Este Módulo 1 establece los cimientos de nuestra especialización intermedia, centrando el flujo de valor en la integridad del dato: desde la captura en el "edge" industrial hasta el despliegue de modelos semánticos robustos. El objetivo es que los instructores corporativos comprendan que una arquitectura bien diseñada es el único camino para garantizar que los insights se traduzcan en acciones preventivas y ahorro de costos.</w:t>
      </w:r>
      <w:r w:rsidDel="00000000" w:rsidR="00000000" w:rsidRPr="00000000">
        <w:rPr>
          <w:i w:val="1"/>
          <w:iCs w:val="1"/>
          <w:rtl w:val="0"/>
        </w:rPr>
        <w:t xml:space="preserve">Esta base técnica asegura que cada visualización sea la culminación de un proceso de ingeniería de datos coherente y escalable.</w:t>
      </w:r>
    </w:p>
    <w:p w:rsidR="00000000" w:rsidDel="00000000" w:rsidP="00000000" w:rsidRDefault="00000000" w:rsidRPr="00000000" w14:paraId="00000004">
      <w:pPr>
        <w:pStyle w:val="Heading4"/>
        <w:rPr/>
      </w:pPr>
      <w:bookmarkStart w:colFirst="0" w:colLast="0" w:name="_pabv959vgvc3" w:id="2"/>
      <w:bookmarkEnd w:id="2"/>
      <w:r w:rsidDel="00000000" w:rsidR="00000000" w:rsidRPr="00000000">
        <w:rPr>
          <w:rtl w:val="0"/>
        </w:rPr>
        <w:t xml:space="preserve">2. Ideas Principales y Fundamentos Estratégicos</w:t>
      </w:r>
    </w:p>
    <w:p w:rsidR="00000000" w:rsidDel="00000000" w:rsidP="00000000" w:rsidRDefault="00000000" w:rsidRPr="00000000" w14:paraId="00000005">
      <w:pPr>
        <w:rPr/>
      </w:pPr>
      <w:r w:rsidDel="00000000" w:rsidR="00000000" w:rsidRPr="00000000">
        <w:rPr>
          <w:rtl w:val="0"/>
        </w:rPr>
        <w:t xml:space="preserve">Power BI debe posicionarse como una plataforma de inteligencia semántica. Para un Solutions Architect, la herramienta no es el fin, sino el medio para estructurar la lógica de negocio.Los tres pilares estratégicos de la sesión son:</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Arquitectura Semántica:</w:t>
      </w:r>
      <w:r w:rsidDel="00000000" w:rsidR="00000000" w:rsidRPr="00000000">
        <w:rPr>
          <w:rtl w:val="0"/>
        </w:rPr>
        <w:t xml:space="preserve">  Transición obligatoria hacia el "Star Schema" (esquema en estrella) para optimizar el rendimiento del motor tabular frente a millones de registros de telemetría.</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Seguridad y Gobernanza:</w:t>
      </w:r>
      <w:r w:rsidDel="00000000" w:rsidR="00000000" w:rsidRPr="00000000">
        <w:rPr>
          <w:rtl w:val="0"/>
        </w:rPr>
        <w:t xml:space="preserve">  Implementación de Seguridad a Nivel de Fila (RLS) para el control granular de accesos.</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Análisis de Precisión:</w:t>
      </w:r>
      <w:r w:rsidDel="00000000" w:rsidR="00000000" w:rsidRPr="00000000">
        <w:rPr>
          <w:rtl w:val="0"/>
        </w:rPr>
        <w:t xml:space="preserve">  Uso de cálculos DAX avanzados como AVERAGEX.</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Nota Técnica para Instructores:</w:t>
      </w:r>
      <w:r w:rsidDel="00000000" w:rsidR="00000000" w:rsidRPr="00000000">
        <w:rPr>
          <w:rtl w:val="0"/>
        </w:rPr>
        <w:t xml:space="preserve">  Es crucial destacar que AVERAGEX ignora celdas nulas o no numéricas, lo cual es vital en telemetría de sensores donde los fallos de señal son comunes. Si no hay filas que agregar, la función devuelve un BLANK, un "gotcha" analítico que debe enseñarse para evitar errores en reportes de disponibilidad.</w:t>
      </w:r>
      <w:r w:rsidDel="00000000" w:rsidR="00000000" w:rsidRPr="00000000">
        <w:rPr>
          <w:i w:val="1"/>
          <w:iCs w:val="1"/>
          <w:rtl w:val="0"/>
        </w:rPr>
        <w:t xml:space="preserve">Estas ideas se materializan a través de un ciclo analítico que conecta la necesidad operativa con la arquitectura técnica.</w:t>
      </w:r>
    </w:p>
    <w:p w:rsidR="00000000" w:rsidDel="00000000" w:rsidP="00000000" w:rsidRDefault="00000000" w:rsidRPr="00000000" w14:paraId="0000000A">
      <w:pPr>
        <w:pStyle w:val="Heading4"/>
        <w:rPr/>
      </w:pPr>
      <w:bookmarkStart w:colFirst="0" w:colLast="0" w:name="_bhsipl6h459j" w:id="3"/>
      <w:bookmarkEnd w:id="3"/>
      <w:r w:rsidDel="00000000" w:rsidR="00000000" w:rsidRPr="00000000">
        <w:rPr>
          <w:rtl w:val="0"/>
        </w:rPr>
        <w:t xml:space="preserve">3. El Ciclo Analítico Completo en Power BI</w:t>
      </w:r>
    </w:p>
    <w:p w:rsidR="00000000" w:rsidDel="00000000" w:rsidP="00000000" w:rsidRDefault="00000000" w:rsidRPr="00000000" w14:paraId="0000000B">
      <w:pPr>
        <w:rPr/>
      </w:pPr>
      <w:r w:rsidDel="00000000" w:rsidR="00000000" w:rsidRPr="00000000">
        <w:rPr>
          <w:rtl w:val="0"/>
        </w:rPr>
        <w:t xml:space="preserve">Un flujo estructurado previene el retrabajo y la inconsistencia técnica. Utilizando el dataset  </w:t>
      </w:r>
      <w:r w:rsidDel="00000000" w:rsidR="00000000" w:rsidRPr="00000000">
        <w:rPr>
          <w:b w:val="1"/>
          <w:bCs w:val="1"/>
          <w:rtl w:val="0"/>
        </w:rPr>
        <w:t xml:space="preserve">AI4I 2020 Predictive Maintenance</w:t>
      </w:r>
      <w:r w:rsidDel="00000000" w:rsidR="00000000" w:rsidRPr="00000000">
        <w:rPr>
          <w:rtl w:val="0"/>
        </w:rPr>
        <w:t xml:space="preserve">  (10,000 registros de telemetría), el ciclo se define así:</w:t>
      </w:r>
    </w:p>
    <w:p w:rsidR="00000000" w:rsidDel="00000000" w:rsidP="00000000" w:rsidRDefault="00000000" w:rsidRPr="00000000" w14:paraId="0000000C">
      <w:pPr>
        <w:numPr>
          <w:ilvl w:val="0"/>
          <w:numId w:val="8"/>
        </w:numPr>
        <w:ind w:left="720" w:hanging="360"/>
        <w:rPr>
          <w:u w:val="none"/>
        </w:rPr>
      </w:pPr>
      <w:r w:rsidDel="00000000" w:rsidR="00000000" w:rsidRPr="00000000">
        <w:rPr>
          <w:b w:val="1"/>
          <w:bCs w:val="1"/>
          <w:rtl w:val="0"/>
        </w:rPr>
        <w:t xml:space="preserve">Problema de Negocio:</w:t>
      </w:r>
      <w:r w:rsidDel="00000000" w:rsidR="00000000" w:rsidRPr="00000000">
        <w:rPr>
          <w:rtl w:val="0"/>
        </w:rPr>
        <w:t xml:space="preserve">  Tasa de paradas no programadas por encima del umbral de OEE permitido.</w:t>
      </w:r>
    </w:p>
    <w:p w:rsidR="00000000" w:rsidDel="00000000" w:rsidP="00000000" w:rsidRDefault="00000000" w:rsidRPr="00000000" w14:paraId="0000000D">
      <w:pPr>
        <w:numPr>
          <w:ilvl w:val="0"/>
          <w:numId w:val="8"/>
        </w:numPr>
        <w:ind w:left="720" w:hanging="360"/>
        <w:rPr>
          <w:u w:val="none"/>
        </w:rPr>
      </w:pPr>
      <w:r w:rsidDel="00000000" w:rsidR="00000000" w:rsidRPr="00000000">
        <w:rPr>
          <w:b w:val="1"/>
          <w:bCs w:val="1"/>
          <w:rtl w:val="0"/>
        </w:rPr>
        <w:t xml:space="preserve">Fuentes:</w:t>
      </w:r>
      <w:r w:rsidDel="00000000" w:rsidR="00000000" w:rsidRPr="00000000">
        <w:rPr>
          <w:rtl w:val="0"/>
        </w:rPr>
        <w:t xml:space="preserve">  Captura de variables continuas: Temperatura del aire (K), Velocidad de rotación (rpm), Torque (Nm) y Desgaste de herramienta (min).</w:t>
      </w:r>
    </w:p>
    <w:p w:rsidR="00000000" w:rsidDel="00000000" w:rsidP="00000000" w:rsidRDefault="00000000" w:rsidRPr="00000000" w14:paraId="0000000E">
      <w:pPr>
        <w:numPr>
          <w:ilvl w:val="0"/>
          <w:numId w:val="8"/>
        </w:numPr>
        <w:ind w:left="720" w:hanging="360"/>
        <w:rPr>
          <w:u w:val="none"/>
        </w:rPr>
      </w:pPr>
      <w:r w:rsidDel="00000000" w:rsidR="00000000" w:rsidRPr="00000000">
        <w:rPr>
          <w:b w:val="1"/>
          <w:bCs w:val="1"/>
          <w:rtl w:val="0"/>
        </w:rPr>
        <w:t xml:space="preserve">Preparación:</w:t>
      </w:r>
      <w:r w:rsidDel="00000000" w:rsidR="00000000" w:rsidRPr="00000000">
        <w:rPr>
          <w:rtl w:val="0"/>
        </w:rPr>
        <w:t xml:space="preserve">  Limpieza y tipado de datos en Power Query.</w:t>
      </w:r>
    </w:p>
    <w:p w:rsidR="00000000" w:rsidDel="00000000" w:rsidP="00000000" w:rsidRDefault="00000000" w:rsidRPr="00000000" w14:paraId="0000000F">
      <w:pPr>
        <w:numPr>
          <w:ilvl w:val="0"/>
          <w:numId w:val="8"/>
        </w:numPr>
        <w:ind w:left="720" w:hanging="360"/>
        <w:rPr>
          <w:u w:val="none"/>
        </w:rPr>
      </w:pPr>
      <w:r w:rsidDel="00000000" w:rsidR="00000000" w:rsidRPr="00000000">
        <w:rPr>
          <w:b w:val="1"/>
          <w:bCs w:val="1"/>
          <w:rtl w:val="0"/>
        </w:rPr>
        <w:t xml:space="preserve">Modelo:</w:t>
      </w:r>
      <w:r w:rsidDel="00000000" w:rsidR="00000000" w:rsidRPr="00000000">
        <w:rPr>
          <w:rtl w:val="0"/>
        </w:rPr>
        <w:t xml:space="preserve">  Estructuración de relaciones entre la tabla de hechos (mantenimiento) y dimensiones (sensores/máquinas).</w:t>
      </w:r>
    </w:p>
    <w:p w:rsidR="00000000" w:rsidDel="00000000" w:rsidP="00000000" w:rsidRDefault="00000000" w:rsidRPr="00000000" w14:paraId="00000010">
      <w:pPr>
        <w:numPr>
          <w:ilvl w:val="0"/>
          <w:numId w:val="8"/>
        </w:numPr>
        <w:ind w:left="720" w:hanging="360"/>
        <w:rPr>
          <w:u w:val="none"/>
        </w:rPr>
      </w:pPr>
      <w:r w:rsidDel="00000000" w:rsidR="00000000" w:rsidRPr="00000000">
        <w:rPr>
          <w:b w:val="1"/>
          <w:bCs w:val="1"/>
          <w:rtl w:val="0"/>
        </w:rPr>
        <w:t xml:space="preserve">DAX:</w:t>
      </w:r>
      <w:r w:rsidDel="00000000" w:rsidR="00000000" w:rsidRPr="00000000">
        <w:rPr>
          <w:rtl w:val="0"/>
        </w:rPr>
        <w:t xml:space="preserve">  Creación de medidas para monitorear modos de falla específicos:  </w:t>
      </w:r>
      <w:r w:rsidDel="00000000" w:rsidR="00000000" w:rsidRPr="00000000">
        <w:rPr>
          <w:b w:val="1"/>
          <w:bCs w:val="1"/>
          <w:rtl w:val="0"/>
        </w:rPr>
        <w:t xml:space="preserve">TWF</w:t>
      </w:r>
      <w:r w:rsidDel="00000000" w:rsidR="00000000" w:rsidRPr="00000000">
        <w:rPr>
          <w:rtl w:val="0"/>
        </w:rPr>
        <w:t xml:space="preserve">  (Tool Wear Failure),  </w:t>
      </w:r>
      <w:r w:rsidDel="00000000" w:rsidR="00000000" w:rsidRPr="00000000">
        <w:rPr>
          <w:b w:val="1"/>
          <w:bCs w:val="1"/>
          <w:rtl w:val="0"/>
        </w:rPr>
        <w:t xml:space="preserve">HDF</w:t>
      </w:r>
      <w:r w:rsidDel="00000000" w:rsidR="00000000" w:rsidRPr="00000000">
        <w:rPr>
          <w:rtl w:val="0"/>
        </w:rPr>
        <w:t xml:space="preserve">  (Heat Dissipation Failure),  </w:t>
      </w:r>
      <w:r w:rsidDel="00000000" w:rsidR="00000000" w:rsidRPr="00000000">
        <w:rPr>
          <w:b w:val="1"/>
          <w:bCs w:val="1"/>
          <w:rtl w:val="0"/>
        </w:rPr>
        <w:t xml:space="preserve">PWF</w:t>
      </w:r>
      <w:r w:rsidDel="00000000" w:rsidR="00000000" w:rsidRPr="00000000">
        <w:rPr>
          <w:rtl w:val="0"/>
        </w:rPr>
        <w:t xml:space="preserve">  (Power Failure),  </w:t>
      </w:r>
      <w:r w:rsidDel="00000000" w:rsidR="00000000" w:rsidRPr="00000000">
        <w:rPr>
          <w:b w:val="1"/>
          <w:bCs w:val="1"/>
          <w:rtl w:val="0"/>
        </w:rPr>
        <w:t xml:space="preserve">OSF</w:t>
      </w:r>
      <w:r w:rsidDel="00000000" w:rsidR="00000000" w:rsidRPr="00000000">
        <w:rPr>
          <w:rtl w:val="0"/>
        </w:rPr>
        <w:t xml:space="preserve">  (Overstrain Failure) y  </w:t>
      </w:r>
      <w:r w:rsidDel="00000000" w:rsidR="00000000" w:rsidRPr="00000000">
        <w:rPr>
          <w:b w:val="1"/>
          <w:bCs w:val="1"/>
          <w:rtl w:val="0"/>
        </w:rPr>
        <w:t xml:space="preserve">RNF</w:t>
      </w:r>
      <w:r w:rsidDel="00000000" w:rsidR="00000000" w:rsidRPr="00000000">
        <w:rPr>
          <w:rtl w:val="0"/>
        </w:rPr>
        <w:t xml:space="preserve">  (Random Failure).</w:t>
      </w:r>
    </w:p>
    <w:p w:rsidR="00000000" w:rsidDel="00000000" w:rsidP="00000000" w:rsidRDefault="00000000" w:rsidRPr="00000000" w14:paraId="00000011">
      <w:pPr>
        <w:numPr>
          <w:ilvl w:val="0"/>
          <w:numId w:val="8"/>
        </w:numPr>
        <w:ind w:left="720" w:hanging="360"/>
        <w:rPr>
          <w:u w:val="none"/>
        </w:rPr>
      </w:pPr>
      <w:r w:rsidDel="00000000" w:rsidR="00000000" w:rsidRPr="00000000">
        <w:rPr>
          <w:b w:val="1"/>
          <w:bCs w:val="1"/>
          <w:rtl w:val="0"/>
        </w:rPr>
        <w:t xml:space="preserve">Visuales:</w:t>
      </w:r>
      <w:r w:rsidDel="00000000" w:rsidR="00000000" w:rsidRPr="00000000">
        <w:rPr>
          <w:rtl w:val="0"/>
        </w:rPr>
        <w:t xml:space="preserve">  Gráficos interactivos de dispersión para correlacionar Torque vs. Velocidad.</w:t>
      </w:r>
    </w:p>
    <w:p w:rsidR="00000000" w:rsidDel="00000000" w:rsidP="00000000" w:rsidRDefault="00000000" w:rsidRPr="00000000" w14:paraId="00000012">
      <w:pPr>
        <w:numPr>
          <w:ilvl w:val="0"/>
          <w:numId w:val="8"/>
        </w:numPr>
        <w:ind w:left="720" w:hanging="360"/>
        <w:rPr>
          <w:u w:val="none"/>
        </w:rPr>
      </w:pPr>
      <w:r w:rsidDel="00000000" w:rsidR="00000000" w:rsidRPr="00000000">
        <w:rPr>
          <w:b w:val="1"/>
          <w:bCs w:val="1"/>
          <w:rtl w:val="0"/>
        </w:rPr>
        <w:t xml:space="preserve">Insights:</w:t>
      </w:r>
      <w:r w:rsidDel="00000000" w:rsidR="00000000" w:rsidRPr="00000000">
        <w:rPr>
          <w:rtl w:val="0"/>
        </w:rPr>
        <w:t xml:space="preserve">  Identificación de que la falla por calor (HDF) se dispara cuando la diferencia de temperatura supera umbrales críticos.</w:t>
      </w:r>
    </w:p>
    <w:p w:rsidR="00000000" w:rsidDel="00000000" w:rsidP="00000000" w:rsidRDefault="00000000" w:rsidRPr="00000000" w14:paraId="00000013">
      <w:pPr>
        <w:numPr>
          <w:ilvl w:val="0"/>
          <w:numId w:val="8"/>
        </w:numPr>
        <w:ind w:left="720" w:hanging="360"/>
        <w:rPr>
          <w:u w:val="none"/>
        </w:rPr>
      </w:pPr>
      <w:r w:rsidDel="00000000" w:rsidR="00000000" w:rsidRPr="00000000">
        <w:rPr>
          <w:b w:val="1"/>
          <w:bCs w:val="1"/>
          <w:rtl w:val="0"/>
        </w:rPr>
        <w:t xml:space="preserve">Decisiones:</w:t>
      </w:r>
      <w:r w:rsidDel="00000000" w:rsidR="00000000" w:rsidRPr="00000000">
        <w:rPr>
          <w:rtl w:val="0"/>
        </w:rPr>
        <w:t xml:space="preserve">  Activación de protocolos de refrigeración o paradas preventivas antes de que ocurra la falla mecánica.</w:t>
      </w:r>
      <w:r w:rsidDel="00000000" w:rsidR="00000000" w:rsidRPr="00000000">
        <w:rPr>
          <w:i w:val="1"/>
          <w:iCs w:val="1"/>
          <w:rtl w:val="0"/>
        </w:rPr>
        <w:t xml:space="preserve">Este ciclo garantiza que el diseño técnico siempre esté subordinado a la resolución de problemas industriales.</w:t>
      </w:r>
    </w:p>
    <w:p w:rsidR="00000000" w:rsidDel="00000000" w:rsidP="00000000" w:rsidRDefault="00000000" w:rsidRPr="00000000" w14:paraId="00000014">
      <w:pPr>
        <w:pStyle w:val="Heading4"/>
        <w:rPr/>
      </w:pPr>
      <w:bookmarkStart w:colFirst="0" w:colLast="0" w:name="_4ai8sahhgzu5" w:id="4"/>
      <w:bookmarkEnd w:id="4"/>
      <w:r w:rsidDel="00000000" w:rsidR="00000000" w:rsidRPr="00000000">
        <w:rPr>
          <w:rtl w:val="0"/>
        </w:rPr>
        <w:t xml:space="preserve">4. Diferenciación Funcional: Preparación, Modelamiento, DAX y Visualización</w:t>
      </w:r>
    </w:p>
    <w:p w:rsidR="00000000" w:rsidDel="00000000" w:rsidP="00000000" w:rsidRDefault="00000000" w:rsidRPr="00000000" w14:paraId="00000015">
      <w:pPr>
        <w:rPr/>
      </w:pPr>
      <w:r w:rsidDel="00000000" w:rsidR="00000000" w:rsidRPr="00000000">
        <w:rPr>
          <w:rtl w:val="0"/>
        </w:rPr>
        <w:t xml:space="preserve">La escalabilidad depende de la separación estricta de las capas de datos.| Fase | Función Principal | Herramienta/Lenguaje | Impacto en Ingeniería || ------ | ------ | ------ | ------ || </w:t>
      </w:r>
      <w:r w:rsidDel="00000000" w:rsidR="00000000" w:rsidRPr="00000000">
        <w:rPr>
          <w:b w:val="1"/>
          <w:bCs w:val="1"/>
          <w:rtl w:val="0"/>
        </w:rPr>
        <w:t xml:space="preserve">Preparación</w:t>
      </w:r>
      <w:r w:rsidDel="00000000" w:rsidR="00000000" w:rsidRPr="00000000">
        <w:rPr>
          <w:rtl w:val="0"/>
        </w:rPr>
        <w:t xml:space="preserve"> | Conexión y transformación de datos. | Power Query ( </w:t>
      </w:r>
      <w:r w:rsidDel="00000000" w:rsidR="00000000" w:rsidRPr="00000000">
        <w:rPr>
          <w:b w:val="1"/>
          <w:bCs w:val="1"/>
          <w:rtl w:val="0"/>
        </w:rPr>
        <w:t xml:space="preserve">Lenguaje M</w:t>
      </w:r>
      <w:r w:rsidDel="00000000" w:rsidR="00000000" w:rsidRPr="00000000">
        <w:rPr>
          <w:rtl w:val="0"/>
        </w:rPr>
        <w:t xml:space="preserve"> ) | Dinamización de consultas mediante parámetros para diferentes plantas. || </w:t>
      </w:r>
      <w:r w:rsidDel="00000000" w:rsidR="00000000" w:rsidRPr="00000000">
        <w:rPr>
          <w:b w:val="1"/>
          <w:bCs w:val="1"/>
          <w:rtl w:val="0"/>
        </w:rPr>
        <w:t xml:space="preserve">Modelamiento</w:t>
      </w:r>
      <w:r w:rsidDel="00000000" w:rsidR="00000000" w:rsidRPr="00000000">
        <w:rPr>
          <w:rtl w:val="0"/>
        </w:rPr>
        <w:t xml:space="preserve"> | Diseño de relaciones y jerarquías. | Star Schema / Engine Tabular | Garantiza integridad referencial en históricos de mantenimiento. || </w:t>
      </w:r>
      <w:r w:rsidDel="00000000" w:rsidR="00000000" w:rsidRPr="00000000">
        <w:rPr>
          <w:b w:val="1"/>
          <w:bCs w:val="1"/>
          <w:rtl w:val="0"/>
        </w:rPr>
        <w:t xml:space="preserve">DAX</w:t>
      </w:r>
      <w:r w:rsidDel="00000000" w:rsidR="00000000" w:rsidRPr="00000000">
        <w:rPr>
          <w:rtl w:val="0"/>
        </w:rPr>
        <w:t xml:space="preserve"> | Lógica de negocio y métricas de rendimiento. | </w:t>
      </w:r>
      <w:r w:rsidDel="00000000" w:rsidR="00000000" w:rsidRPr="00000000">
        <w:rPr>
          <w:b w:val="1"/>
          <w:bCs w:val="1"/>
          <w:rtl w:val="0"/>
        </w:rPr>
        <w:t xml:space="preserve">Lenguaje DAX</w:t>
      </w:r>
      <w:r w:rsidDel="00000000" w:rsidR="00000000" w:rsidRPr="00000000">
        <w:rPr>
          <w:rtl w:val="0"/>
        </w:rPr>
        <w:t xml:space="preserve">  (AVERAGEX) | Cálculo de promedios iterativos de desgaste ignorando fallos de lectura de sensores. || </w:t>
      </w:r>
      <w:r w:rsidDel="00000000" w:rsidR="00000000" w:rsidRPr="00000000">
        <w:rPr>
          <w:b w:val="1"/>
          <w:bCs w:val="1"/>
          <w:rtl w:val="0"/>
        </w:rPr>
        <w:t xml:space="preserve">Visualización</w:t>
      </w:r>
      <w:r w:rsidDel="00000000" w:rsidR="00000000" w:rsidRPr="00000000">
        <w:rPr>
          <w:rtl w:val="0"/>
        </w:rPr>
        <w:t xml:space="preserve"> | Interfaz de usuario y narrativa. | Objetos Visuales / UX | Detección visual inmediata de anomalías en la telemetría. |</w:t>
      </w:r>
    </w:p>
    <w:p w:rsidR="00000000" w:rsidDel="00000000" w:rsidP="00000000" w:rsidRDefault="00000000" w:rsidRPr="00000000" w14:paraId="00000016">
      <w:pPr>
        <w:rPr>
          <w:i w:val="1"/>
          <w:iCs w:val="1"/>
        </w:rPr>
      </w:pPr>
      <w:r w:rsidDel="00000000" w:rsidR="00000000" w:rsidRPr="00000000">
        <w:rPr>
          <w:i w:val="1"/>
          <w:iCs w:val="1"/>
          <w:rtl w:val="0"/>
        </w:rPr>
        <w:t xml:space="preserve">La sinergia de estas fases ocurre íntegramente en el entorno de autoría: Power BI Desktop.</w:t>
      </w:r>
    </w:p>
    <w:p w:rsidR="00000000" w:rsidDel="00000000" w:rsidP="00000000" w:rsidRDefault="00000000" w:rsidRPr="00000000" w14:paraId="00000017">
      <w:pPr>
        <w:pStyle w:val="Heading4"/>
        <w:rPr/>
      </w:pPr>
      <w:bookmarkStart w:colFirst="0" w:colLast="0" w:name="_965sz06353es" w:id="5"/>
      <w:bookmarkEnd w:id="5"/>
      <w:r w:rsidDel="00000000" w:rsidR="00000000" w:rsidRPr="00000000">
        <w:rPr>
          <w:rtl w:val="0"/>
        </w:rPr>
        <w:t xml:space="preserve">5. Recap Funcional de Power BI Desktop</w:t>
      </w:r>
    </w:p>
    <w:p w:rsidR="00000000" w:rsidDel="00000000" w:rsidP="00000000" w:rsidRDefault="00000000" w:rsidRPr="00000000" w14:paraId="00000018">
      <w:pPr>
        <w:rPr/>
      </w:pPr>
      <w:r w:rsidDel="00000000" w:rsidR="00000000" w:rsidRPr="00000000">
        <w:rPr>
          <w:rtl w:val="0"/>
        </w:rPr>
        <w:t xml:space="preserve">Power BI Desktop es el taller de ingeniería del arquitecto de datos. Sus tres vistas son críticas para el flujo de trabajo:</w:t>
      </w:r>
    </w:p>
    <w:p w:rsidR="00000000" w:rsidDel="00000000" w:rsidP="00000000" w:rsidRDefault="00000000" w:rsidRPr="00000000" w14:paraId="00000019">
      <w:pPr>
        <w:numPr>
          <w:ilvl w:val="0"/>
          <w:numId w:val="10"/>
        </w:numPr>
        <w:ind w:left="720" w:hanging="360"/>
        <w:rPr>
          <w:u w:val="none"/>
        </w:rPr>
      </w:pPr>
      <w:r w:rsidDel="00000000" w:rsidR="00000000" w:rsidRPr="00000000">
        <w:rPr>
          <w:b w:val="1"/>
          <w:bCs w:val="1"/>
          <w:rtl w:val="0"/>
        </w:rPr>
        <w:t xml:space="preserve">Vista de Informe:</w:t>
      </w:r>
      <w:r w:rsidDel="00000000" w:rsidR="00000000" w:rsidRPr="00000000">
        <w:rPr>
          <w:rtl w:val="0"/>
        </w:rPr>
        <w:t xml:space="preserve">  Orquestación de la narrativa visual y elementos interactivos.</w:t>
      </w:r>
    </w:p>
    <w:p w:rsidR="00000000" w:rsidDel="00000000" w:rsidP="00000000" w:rsidRDefault="00000000" w:rsidRPr="00000000" w14:paraId="0000001A">
      <w:pPr>
        <w:numPr>
          <w:ilvl w:val="0"/>
          <w:numId w:val="10"/>
        </w:numPr>
        <w:ind w:left="720" w:hanging="360"/>
        <w:rPr>
          <w:u w:val="none"/>
        </w:rPr>
      </w:pPr>
      <w:r w:rsidDel="00000000" w:rsidR="00000000" w:rsidRPr="00000000">
        <w:rPr>
          <w:b w:val="1"/>
          <w:bCs w:val="1"/>
          <w:rtl w:val="0"/>
        </w:rPr>
        <w:t xml:space="preserve">Vista de Datos/Modelo:</w:t>
      </w:r>
      <w:r w:rsidDel="00000000" w:rsidR="00000000" w:rsidRPr="00000000">
        <w:rPr>
          <w:rtl w:val="0"/>
        </w:rPr>
        <w:t xml:space="preserve">  Gestión de la arquitectura semántica, relaciones y creación de medidas DAX.</w:t>
      </w:r>
    </w:p>
    <w:p w:rsidR="00000000" w:rsidDel="00000000" w:rsidP="00000000" w:rsidRDefault="00000000" w:rsidRPr="00000000" w14:paraId="0000001B">
      <w:pPr>
        <w:numPr>
          <w:ilvl w:val="0"/>
          <w:numId w:val="10"/>
        </w:numPr>
        <w:ind w:left="720" w:hanging="360"/>
        <w:rPr>
          <w:u w:val="none"/>
        </w:rPr>
      </w:pPr>
      <w:r w:rsidDel="00000000" w:rsidR="00000000" w:rsidRPr="00000000">
        <w:rPr>
          <w:b w:val="1"/>
          <w:bCs w:val="1"/>
          <w:rtl w:val="0"/>
        </w:rPr>
        <w:t xml:space="preserve">Editor de Power Query:</w:t>
      </w:r>
      <w:r w:rsidDel="00000000" w:rsidR="00000000" w:rsidRPr="00000000">
        <w:rPr>
          <w:rtl w:val="0"/>
        </w:rPr>
        <w:t xml:space="preserve">  Entorno de ETL donde se aplican transformaciones documentadas en "pasos aplicados".</w:t>
      </w:r>
      <w:r w:rsidDel="00000000" w:rsidR="00000000" w:rsidRPr="00000000">
        <w:rPr>
          <w:i w:val="1"/>
          <w:iCs w:val="1"/>
          <w:rtl w:val="0"/>
        </w:rPr>
        <w:t xml:space="preserve">Es imperativo separar el entorno de desarrollo (Desktop) del entorno de consumo y colaboración.</w:t>
      </w:r>
    </w:p>
    <w:p w:rsidR="00000000" w:rsidDel="00000000" w:rsidP="00000000" w:rsidRDefault="00000000" w:rsidRPr="00000000" w14:paraId="0000001C">
      <w:pPr>
        <w:pStyle w:val="Heading4"/>
        <w:rPr/>
      </w:pPr>
      <w:bookmarkStart w:colFirst="0" w:colLast="0" w:name="_lr5mzhkklwjx" w:id="6"/>
      <w:bookmarkEnd w:id="6"/>
      <w:r w:rsidDel="00000000" w:rsidR="00000000" w:rsidRPr="00000000">
        <w:rPr>
          <w:rtl w:val="0"/>
        </w:rPr>
        <w:t xml:space="preserve">6. Ecosistema de Distribución: Power BI Desktop vs. Power BI Service</w:t>
      </w:r>
    </w:p>
    <w:p w:rsidR="00000000" w:rsidDel="00000000" w:rsidP="00000000" w:rsidRDefault="00000000" w:rsidRPr="00000000" w14:paraId="0000001D">
      <w:pPr>
        <w:rPr/>
      </w:pPr>
      <w:r w:rsidDel="00000000" w:rsidR="00000000" w:rsidRPr="00000000">
        <w:rPr>
          <w:rtl w:val="0"/>
        </w:rPr>
        <w:t xml:space="preserve">La colaboración industrial ocurre en la nube, pero el control nace en lo local.</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Dashboarding:</w:t>
      </w:r>
      <w:r w:rsidDel="00000000" w:rsidR="00000000" w:rsidRPr="00000000">
        <w:rPr>
          <w:rtl w:val="0"/>
        </w:rPr>
        <w:t xml:space="preserve">  Exclusivo de Power BI Service. Permite el  </w:t>
      </w:r>
      <w:r w:rsidDel="00000000" w:rsidR="00000000" w:rsidRPr="00000000">
        <w:rPr>
          <w:i w:val="1"/>
          <w:iCs w:val="1"/>
          <w:rtl w:val="0"/>
        </w:rPr>
        <w:t xml:space="preserve">pinning</w:t>
      </w:r>
      <w:r w:rsidDel="00000000" w:rsidR="00000000" w:rsidRPr="00000000">
        <w:rPr>
          <w:rtl w:val="0"/>
        </w:rPr>
        <w:t xml:space="preserve">  de  </w:t>
      </w:r>
      <w:r w:rsidDel="00000000" w:rsidR="00000000" w:rsidRPr="00000000">
        <w:rPr>
          <w:i w:val="1"/>
          <w:iCs w:val="1"/>
          <w:rtl w:val="0"/>
        </w:rPr>
        <w:t xml:space="preserve">tiles</w:t>
      </w:r>
      <w:r w:rsidDel="00000000" w:rsidR="00000000" w:rsidRPr="00000000">
        <w:rPr>
          <w:rtl w:val="0"/>
        </w:rPr>
        <w:t xml:space="preserve">  de múltiples reportes para una visión gerencial unificada.</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Seguridad (RLS):</w:t>
      </w:r>
      <w:r w:rsidDel="00000000" w:rsidR="00000000" w:rsidRPr="00000000">
        <w:rPr>
          <w:rtl w:val="0"/>
        </w:rPr>
        <w:t xml:space="preserve">  Los roles y reglas DAX se definen en Desktop, pero el mapeo de identidades (usuarios/grupos) se realiza exclusivamente en el Service.</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Interactividad:</w:t>
      </w:r>
      <w:r w:rsidDel="00000000" w:rsidR="00000000" w:rsidRPr="00000000">
        <w:rPr>
          <w:rtl w:val="0"/>
        </w:rPr>
        <w:t xml:space="preserve">  Los Dashboards son puntos de entrada de alto nivel (KPIs críticos), mientras que los Reportes permiten el análisis granular y  </w:t>
      </w:r>
      <w:r w:rsidDel="00000000" w:rsidR="00000000" w:rsidRPr="00000000">
        <w:rPr>
          <w:i w:val="1"/>
          <w:iCs w:val="1"/>
          <w:rtl w:val="0"/>
        </w:rPr>
        <w:t xml:space="preserve">drill-down</w:t>
      </w:r>
      <w:r w:rsidDel="00000000" w:rsidR="00000000" w:rsidRPr="00000000">
        <w:rPr>
          <w:rtl w:val="0"/>
        </w:rPr>
        <w:t xml:space="preserve">  técnico.</w:t>
      </w:r>
      <w:r w:rsidDel="00000000" w:rsidR="00000000" w:rsidRPr="00000000">
        <w:rPr>
          <w:i w:val="1"/>
          <w:iCs w:val="1"/>
          <w:rtl w:val="0"/>
        </w:rPr>
        <w:t xml:space="preserve">Definida la arquitectura, el proceso debe partir de la pregunta correcta de negocio.</w:t>
      </w:r>
    </w:p>
    <w:p w:rsidR="00000000" w:rsidDel="00000000" w:rsidP="00000000" w:rsidRDefault="00000000" w:rsidRPr="00000000" w14:paraId="00000021">
      <w:pPr>
        <w:pStyle w:val="Heading4"/>
        <w:rPr/>
      </w:pPr>
      <w:bookmarkStart w:colFirst="0" w:colLast="0" w:name="_n5r33o7ypsu3" w:id="7"/>
      <w:bookmarkEnd w:id="7"/>
      <w:r w:rsidDel="00000000" w:rsidR="00000000" w:rsidRPr="00000000">
        <w:rPr>
          <w:rtl w:val="0"/>
        </w:rPr>
        <w:t xml:space="preserve">7. Metodología: Problemas de Negocio a Preguntas Medibles</w:t>
      </w:r>
    </w:p>
    <w:p w:rsidR="00000000" w:rsidDel="00000000" w:rsidP="00000000" w:rsidRDefault="00000000" w:rsidRPr="00000000" w14:paraId="00000022">
      <w:pPr>
        <w:rPr/>
      </w:pPr>
      <w:r w:rsidDel="00000000" w:rsidR="00000000" w:rsidRPr="00000000">
        <w:rPr>
          <w:rtl w:val="0"/>
        </w:rPr>
        <w:t xml:space="preserve">Un reporte que no responde una pregunta es ruido visual. En Tech&amp;Eng, debemos elevar el lenguaje técnico:</w:t>
      </w:r>
    </w:p>
    <w:p w:rsidR="00000000" w:rsidDel="00000000" w:rsidP="00000000" w:rsidRDefault="00000000" w:rsidRPr="00000000" w14:paraId="00000023">
      <w:pPr>
        <w:numPr>
          <w:ilvl w:val="0"/>
          <w:numId w:val="11"/>
        </w:numPr>
        <w:ind w:left="720" w:hanging="360"/>
        <w:rPr>
          <w:u w:val="none"/>
        </w:rPr>
      </w:pPr>
      <w:r w:rsidDel="00000000" w:rsidR="00000000" w:rsidRPr="00000000">
        <w:rPr>
          <w:b w:val="1"/>
          <w:bCs w:val="1"/>
          <w:rtl w:val="0"/>
        </w:rPr>
        <w:t xml:space="preserve">Problema:</w:t>
      </w:r>
      <w:r w:rsidDel="00000000" w:rsidR="00000000" w:rsidRPr="00000000">
        <w:rPr>
          <w:rtl w:val="0"/>
        </w:rPr>
        <w:t xml:space="preserve">  "Las máquinas fallan mucho". -&gt;  </w:t>
      </w:r>
      <w:r w:rsidDel="00000000" w:rsidR="00000000" w:rsidRPr="00000000">
        <w:rPr>
          <w:b w:val="1"/>
          <w:bCs w:val="1"/>
          <w:rtl w:val="0"/>
        </w:rPr>
        <w:t xml:space="preserve">Pregunta:</w:t>
      </w:r>
      <w:r w:rsidDel="00000000" w:rsidR="00000000" w:rsidRPr="00000000">
        <w:rPr>
          <w:rtl w:val="0"/>
        </w:rPr>
        <w:t xml:space="preserve">  "¿Cuál es el tiempo promedio de uso (Tool wear) antes de una falla por calor (HDF) dada una carga de torque específica?"</w:t>
      </w:r>
    </w:p>
    <w:p w:rsidR="00000000" w:rsidDel="00000000" w:rsidP="00000000" w:rsidRDefault="00000000" w:rsidRPr="00000000" w14:paraId="00000024">
      <w:pPr>
        <w:numPr>
          <w:ilvl w:val="0"/>
          <w:numId w:val="11"/>
        </w:numPr>
        <w:ind w:left="720" w:hanging="360"/>
        <w:rPr>
          <w:u w:val="none"/>
        </w:rPr>
      </w:pPr>
      <w:r w:rsidDel="00000000" w:rsidR="00000000" w:rsidRPr="00000000">
        <w:rPr>
          <w:b w:val="1"/>
          <w:bCs w:val="1"/>
          <w:rtl w:val="0"/>
        </w:rPr>
        <w:t xml:space="preserve">Problema:</w:t>
      </w:r>
      <w:r w:rsidDel="00000000" w:rsidR="00000000" w:rsidRPr="00000000">
        <w:rPr>
          <w:rtl w:val="0"/>
        </w:rPr>
        <w:t xml:space="preserve">  "Consumo energético ineficiente". -&gt;  </w:t>
      </w:r>
      <w:r w:rsidDel="00000000" w:rsidR="00000000" w:rsidRPr="00000000">
        <w:rPr>
          <w:b w:val="1"/>
          <w:bCs w:val="1"/>
          <w:rtl w:val="0"/>
        </w:rPr>
        <w:t xml:space="preserve">Pregunta:</w:t>
      </w:r>
      <w:r w:rsidDel="00000000" w:rsidR="00000000" w:rsidRPr="00000000">
        <w:rPr>
          <w:rtl w:val="0"/>
        </w:rPr>
        <w:t xml:space="preserve">  "¿Cómo correlaciona la temperatura del proceso con la eficiencia energética en los picos de producción reportados en el  </w:t>
      </w:r>
      <w:r w:rsidDel="00000000" w:rsidR="00000000" w:rsidRPr="00000000">
        <w:rPr>
          <w:i w:val="1"/>
          <w:iCs w:val="1"/>
          <w:rtl w:val="0"/>
        </w:rPr>
        <w:t xml:space="preserve">Electric Power Monthly</w:t>
      </w:r>
      <w:r w:rsidDel="00000000" w:rsidR="00000000" w:rsidRPr="00000000">
        <w:rPr>
          <w:rtl w:val="0"/>
        </w:rPr>
        <w:t xml:space="preserve"> ?"</w:t>
      </w:r>
      <w:r w:rsidDel="00000000" w:rsidR="00000000" w:rsidRPr="00000000">
        <w:rPr>
          <w:i w:val="1"/>
          <w:iCs w:val="1"/>
          <w:rtl w:val="0"/>
        </w:rPr>
        <w:t xml:space="preserve">Estas preguntas gatillan la creación de KPIs diseñados para la acción.</w:t>
      </w:r>
    </w:p>
    <w:p w:rsidR="00000000" w:rsidDel="00000000" w:rsidP="00000000" w:rsidRDefault="00000000" w:rsidRPr="00000000" w14:paraId="00000025">
      <w:pPr>
        <w:pStyle w:val="Heading4"/>
        <w:rPr/>
      </w:pPr>
      <w:bookmarkStart w:colFirst="0" w:colLast="0" w:name="_qrocfgxhn9k" w:id="8"/>
      <w:bookmarkEnd w:id="8"/>
      <w:r w:rsidDel="00000000" w:rsidR="00000000" w:rsidRPr="00000000">
        <w:rPr>
          <w:rtl w:val="0"/>
        </w:rPr>
        <w:t xml:space="preserve">8. Diseño de KPIs Alineados a Decisiones</w:t>
      </w:r>
    </w:p>
    <w:p w:rsidR="00000000" w:rsidDel="00000000" w:rsidP="00000000" w:rsidRDefault="00000000" w:rsidRPr="00000000" w14:paraId="00000026">
      <w:pPr>
        <w:rPr/>
      </w:pPr>
      <w:r w:rsidDel="00000000" w:rsidR="00000000" w:rsidRPr="00000000">
        <w:rPr>
          <w:rtl w:val="0"/>
        </w:rPr>
        <w:t xml:space="preserve">Los KPIs industriales deben ser contextuales y honestos respecto a la variabilidad.</w:t>
      </w:r>
    </w:p>
    <w:p w:rsidR="00000000" w:rsidDel="00000000" w:rsidP="00000000" w:rsidRDefault="00000000" w:rsidRPr="00000000" w14:paraId="00000027">
      <w:pPr>
        <w:numPr>
          <w:ilvl w:val="0"/>
          <w:numId w:val="7"/>
        </w:numPr>
        <w:ind w:left="720" w:hanging="360"/>
        <w:rPr>
          <w:u w:val="none"/>
        </w:rPr>
      </w:pPr>
      <w:r w:rsidDel="00000000" w:rsidR="00000000" w:rsidRPr="00000000">
        <w:rPr>
          <w:b w:val="1"/>
          <w:bCs w:val="1"/>
          <w:rtl w:val="0"/>
        </w:rPr>
        <w:t xml:space="preserve">Contexto:</w:t>
      </w:r>
      <w:r w:rsidDel="00000000" w:rsidR="00000000" w:rsidRPr="00000000">
        <w:rPr>
          <w:rtl w:val="0"/>
        </w:rPr>
        <w:t xml:space="preserve">  Uso de  </w:t>
      </w:r>
      <w:r w:rsidDel="00000000" w:rsidR="00000000" w:rsidRPr="00000000">
        <w:rPr>
          <w:b w:val="1"/>
          <w:bCs w:val="1"/>
          <w:rtl w:val="0"/>
        </w:rPr>
        <w:t xml:space="preserve">Dynamic Format Strings</w:t>
      </w:r>
      <w:r w:rsidDel="00000000" w:rsidR="00000000" w:rsidRPr="00000000">
        <w:rPr>
          <w:rtl w:val="0"/>
        </w:rPr>
        <w:t xml:space="preserve"> .</w:t>
      </w:r>
    </w:p>
    <w:p w:rsidR="00000000" w:rsidDel="00000000" w:rsidP="00000000" w:rsidRDefault="00000000" w:rsidRPr="00000000" w14:paraId="00000028">
      <w:pPr>
        <w:numPr>
          <w:ilvl w:val="0"/>
          <w:numId w:val="7"/>
        </w:numPr>
        <w:ind w:left="720" w:hanging="360"/>
        <w:rPr>
          <w:u w:val="none"/>
        </w:rPr>
      </w:pPr>
      <w:r w:rsidDel="00000000" w:rsidR="00000000" w:rsidRPr="00000000">
        <w:rPr>
          <w:i w:val="1"/>
          <w:iCs w:val="1"/>
          <w:rtl w:val="0"/>
        </w:rPr>
        <w:t xml:space="preserve">Ejemplo DAX:</w:t>
      </w:r>
      <w:r w:rsidDel="00000000" w:rsidR="00000000" w:rsidRPr="00000000">
        <w:rPr>
          <w:rtl w:val="0"/>
        </w:rPr>
        <w:t xml:space="preserve">  FORMAT(Medida, SELECTEDVALUE('Unidades'Formato)) para mostrar Nm, rpm o K dinámicamente según el sensor.</w:t>
      </w:r>
    </w:p>
    <w:p w:rsidR="00000000" w:rsidDel="00000000" w:rsidP="00000000" w:rsidRDefault="00000000" w:rsidRPr="00000000" w14:paraId="00000029">
      <w:pPr>
        <w:numPr>
          <w:ilvl w:val="0"/>
          <w:numId w:val="7"/>
        </w:numPr>
        <w:ind w:left="720" w:hanging="360"/>
        <w:rPr>
          <w:u w:val="none"/>
        </w:rPr>
      </w:pPr>
      <w:r w:rsidDel="00000000" w:rsidR="00000000" w:rsidRPr="00000000">
        <w:rPr>
          <w:b w:val="1"/>
          <w:bCs w:val="1"/>
          <w:rtl w:val="0"/>
        </w:rPr>
        <w:t xml:space="preserve">Variabilidad:</w:t>
      </w:r>
      <w:r w:rsidDel="00000000" w:rsidR="00000000" w:rsidRPr="00000000">
        <w:rPr>
          <w:rtl w:val="0"/>
        </w:rPr>
        <w:t xml:space="preserve">  Implementación de  </w:t>
      </w:r>
      <w:r w:rsidDel="00000000" w:rsidR="00000000" w:rsidRPr="00000000">
        <w:rPr>
          <w:b w:val="1"/>
          <w:bCs w:val="1"/>
          <w:rtl w:val="0"/>
        </w:rPr>
        <w:t xml:space="preserve">Error Bars</w:t>
      </w:r>
      <w:r w:rsidDel="00000000" w:rsidR="00000000" w:rsidRPr="00000000">
        <w:rPr>
          <w:rtl w:val="0"/>
        </w:rPr>
        <w:t xml:space="preserve">  (barras de error) en gráficos de línea para representar la incertidumbre de los sensores o rangos de tolerancia permitidos.</w:t>
      </w:r>
      <w:r w:rsidDel="00000000" w:rsidR="00000000" w:rsidRPr="00000000">
        <w:rPr>
          <w:i w:val="1"/>
          <w:iCs w:val="1"/>
          <w:rtl w:val="0"/>
        </w:rPr>
        <w:t xml:space="preserve">El éxito del KPI depende de su capacidad de entrega a la audiencia adecuada.</w:t>
      </w:r>
    </w:p>
    <w:p w:rsidR="00000000" w:rsidDel="00000000" w:rsidP="00000000" w:rsidRDefault="00000000" w:rsidRPr="00000000" w14:paraId="0000002A">
      <w:pPr>
        <w:pStyle w:val="Heading4"/>
        <w:rPr/>
      </w:pPr>
      <w:bookmarkStart w:colFirst="0" w:colLast="0" w:name="_p0w44y723sqq" w:id="9"/>
      <w:bookmarkEnd w:id="9"/>
      <w:r w:rsidDel="00000000" w:rsidR="00000000" w:rsidRPr="00000000">
        <w:rPr>
          <w:rtl w:val="0"/>
        </w:rPr>
        <w:t xml:space="preserve">9. Definición de la Audiencia del Reporte</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Perfil Técnico/Ingeniería:</w:t>
      </w:r>
      <w:r w:rsidDel="00000000" w:rsidR="00000000" w:rsidRPr="00000000">
        <w:rPr>
          <w:rtl w:val="0"/>
        </w:rPr>
        <w:t xml:space="preserve">  Requiere telemetría granular. Es vital el uso de  </w:t>
      </w:r>
      <w:r w:rsidDel="00000000" w:rsidR="00000000" w:rsidRPr="00000000">
        <w:rPr>
          <w:b w:val="1"/>
          <w:bCs w:val="1"/>
          <w:rtl w:val="0"/>
        </w:rPr>
        <w:t xml:space="preserve">Tooltips Personalizados</w:t>
      </w:r>
      <w:r w:rsidDel="00000000" w:rsidR="00000000" w:rsidRPr="00000000">
        <w:rPr>
          <w:rtl w:val="0"/>
        </w:rPr>
        <w:t xml:space="preserve">  (páginas de reporte tipo tooltip) que muestren el histórico de los últimos 10 minutos de un sensor al pasar el mouse sobre un punto de anomalía.</w:t>
      </w:r>
    </w:p>
    <w:p w:rsidR="00000000" w:rsidDel="00000000" w:rsidP="00000000" w:rsidRDefault="00000000" w:rsidRPr="00000000" w14:paraId="0000002C">
      <w:pPr>
        <w:numPr>
          <w:ilvl w:val="0"/>
          <w:numId w:val="5"/>
        </w:numPr>
        <w:ind w:left="720" w:hanging="360"/>
        <w:rPr>
          <w:u w:val="none"/>
        </w:rPr>
      </w:pPr>
      <w:r w:rsidDel="00000000" w:rsidR="00000000" w:rsidRPr="00000000">
        <w:rPr>
          <w:b w:val="1"/>
          <w:bCs w:val="1"/>
          <w:rtl w:val="0"/>
        </w:rPr>
        <w:t xml:space="preserve">Perfil Gerencial:</w:t>
      </w:r>
      <w:r w:rsidDel="00000000" w:rsidR="00000000" w:rsidRPr="00000000">
        <w:rPr>
          <w:rtl w:val="0"/>
        </w:rPr>
        <w:t xml:space="preserve">  Dashboards de una sola página enfocados en disponibilidad (OEE) y costos operativos.</w:t>
      </w:r>
    </w:p>
    <w:p w:rsidR="00000000" w:rsidDel="00000000" w:rsidP="00000000" w:rsidRDefault="00000000" w:rsidRPr="00000000" w14:paraId="0000002D">
      <w:pPr>
        <w:numPr>
          <w:ilvl w:val="0"/>
          <w:numId w:val="5"/>
        </w:numPr>
        <w:ind w:left="720" w:hanging="360"/>
        <w:rPr>
          <w:u w:val="none"/>
        </w:rPr>
      </w:pPr>
      <w:r w:rsidDel="00000000" w:rsidR="00000000" w:rsidRPr="00000000">
        <w:rPr>
          <w:b w:val="1"/>
          <w:bCs w:val="1"/>
          <w:rtl w:val="0"/>
        </w:rPr>
        <w:t xml:space="preserve">Perfil Móvil:</w:t>
      </w:r>
      <w:r w:rsidDel="00000000" w:rsidR="00000000" w:rsidRPr="00000000">
        <w:rPr>
          <w:rtl w:val="0"/>
        </w:rPr>
        <w:t xml:space="preserve">  Diseño de flujo vertical (Top-to-bottom). Es obligatorio ceñirse a los tamaños estándar para evitar el scroll interno en visuales:</w:t>
      </w:r>
    </w:p>
    <w:p w:rsidR="00000000" w:rsidDel="00000000" w:rsidP="00000000" w:rsidRDefault="00000000" w:rsidRPr="00000000" w14:paraId="0000002E">
      <w:pPr>
        <w:numPr>
          <w:ilvl w:val="0"/>
          <w:numId w:val="5"/>
        </w:numPr>
        <w:ind w:left="720" w:hanging="360"/>
        <w:rPr>
          <w:u w:val="none"/>
        </w:rPr>
      </w:pPr>
      <w:r w:rsidDel="00000000" w:rsidR="00000000" w:rsidRPr="00000000">
        <w:rPr>
          <w:b w:val="1"/>
          <w:bCs w:val="1"/>
          <w:rtl w:val="0"/>
        </w:rPr>
        <w:t xml:space="preserve">XL:</w:t>
      </w:r>
      <w:r w:rsidDel="00000000" w:rsidR="00000000" w:rsidRPr="00000000">
        <w:rPr>
          <w:rtl w:val="0"/>
        </w:rPr>
        <w:t xml:space="preserve">  323x270 pt |  </w:t>
      </w:r>
      <w:r w:rsidDel="00000000" w:rsidR="00000000" w:rsidRPr="00000000">
        <w:rPr>
          <w:b w:val="1"/>
          <w:bCs w:val="1"/>
          <w:rtl w:val="0"/>
        </w:rPr>
        <w:t xml:space="preserve">L:</w:t>
      </w:r>
      <w:r w:rsidDel="00000000" w:rsidR="00000000" w:rsidRPr="00000000">
        <w:rPr>
          <w:rtl w:val="0"/>
        </w:rPr>
        <w:t xml:space="preserve">  323x180 pt |  </w:t>
      </w:r>
      <w:r w:rsidDel="00000000" w:rsidR="00000000" w:rsidRPr="00000000">
        <w:rPr>
          <w:b w:val="1"/>
          <w:bCs w:val="1"/>
          <w:rtl w:val="0"/>
        </w:rPr>
        <w:t xml:space="preserve">M:</w:t>
      </w:r>
      <w:r w:rsidDel="00000000" w:rsidR="00000000" w:rsidRPr="00000000">
        <w:rPr>
          <w:rtl w:val="0"/>
        </w:rPr>
        <w:t xml:space="preserve">  323x100 pt |  </w:t>
      </w:r>
      <w:r w:rsidDel="00000000" w:rsidR="00000000" w:rsidRPr="00000000">
        <w:rPr>
          <w:b w:val="1"/>
          <w:bCs w:val="1"/>
          <w:rtl w:val="0"/>
        </w:rPr>
        <w:t xml:space="preserve">S:</w:t>
      </w:r>
      <w:r w:rsidDel="00000000" w:rsidR="00000000" w:rsidRPr="00000000">
        <w:rPr>
          <w:rtl w:val="0"/>
        </w:rPr>
        <w:t xml:space="preserve">  158x100 pt. Espaciado recomendado de 6 a 8 puntos entre elementos.</w:t>
      </w:r>
    </w:p>
    <w:p w:rsidR="00000000" w:rsidDel="00000000" w:rsidP="00000000" w:rsidRDefault="00000000" w:rsidRPr="00000000" w14:paraId="0000002F">
      <w:pPr>
        <w:pStyle w:val="Heading4"/>
        <w:rPr/>
      </w:pPr>
      <w:bookmarkStart w:colFirst="0" w:colLast="0" w:name="_kp3cis6a5i0u" w:id="10"/>
      <w:bookmarkEnd w:id="10"/>
      <w:r w:rsidDel="00000000" w:rsidR="00000000" w:rsidRPr="00000000">
        <w:rPr>
          <w:rtl w:val="0"/>
        </w:rPr>
        <w:t xml:space="preserve">10. El Blueprint de Arquitectura BI</w:t>
      </w:r>
    </w:p>
    <w:p w:rsidR="00000000" w:rsidDel="00000000" w:rsidP="00000000" w:rsidRDefault="00000000" w:rsidRPr="00000000" w14:paraId="00000030">
      <w:pPr>
        <w:rPr/>
      </w:pPr>
      <w:r w:rsidDel="00000000" w:rsidR="00000000" w:rsidRPr="00000000">
        <w:rPr>
          <w:rtl w:val="0"/>
        </w:rPr>
        <w:t xml:space="preserve">El diseño preliminar es la hoja de ruta técnica que incluye:</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Fuentes Externas:</w:t>
      </w:r>
      <w:r w:rsidDel="00000000" w:rsidR="00000000" w:rsidRPr="00000000">
        <w:rPr>
          <w:rtl w:val="0"/>
        </w:rPr>
        <w:t xml:space="preserve">  Integración de datos macro como el  </w:t>
      </w:r>
      <w:r w:rsidDel="00000000" w:rsidR="00000000" w:rsidRPr="00000000">
        <w:rPr>
          <w:b w:val="1"/>
          <w:bCs w:val="1"/>
          <w:rtl w:val="0"/>
        </w:rPr>
        <w:t xml:space="preserve">"Industrial Production Index"</w:t>
      </w:r>
      <w:r w:rsidDel="00000000" w:rsidR="00000000" w:rsidRPr="00000000">
        <w:rPr>
          <w:rtl w:val="0"/>
        </w:rPr>
        <w:t xml:space="preserve">  (INE) o el  </w:t>
      </w:r>
      <w:r w:rsidDel="00000000" w:rsidR="00000000" w:rsidRPr="00000000">
        <w:rPr>
          <w:b w:val="1"/>
          <w:bCs w:val="1"/>
          <w:rtl w:val="0"/>
        </w:rPr>
        <w:t xml:space="preserve">"Electric Power Monthly"</w:t>
      </w:r>
      <w:r w:rsidDel="00000000" w:rsidR="00000000" w:rsidRPr="00000000">
        <w:rPr>
          <w:rtl w:val="0"/>
        </w:rPr>
        <w:t xml:space="preserve">  (EIA) para contextualizar el rendimiento interno.</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Esquema en Estrella:</w:t>
      </w:r>
      <w:r w:rsidDel="00000000" w:rsidR="00000000" w:rsidRPr="00000000">
        <w:rPr>
          <w:rtl w:val="0"/>
        </w:rPr>
        <w:t xml:space="preserve">  Definición de tablas de hechos (Maintenance logs con 10,000 registros) y dimensiones (Date, Product ID, Machine Type).</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Actualización:</w:t>
      </w:r>
      <w:r w:rsidDel="00000000" w:rsidR="00000000" w:rsidRPr="00000000">
        <w:rPr>
          <w:rtl w:val="0"/>
        </w:rPr>
        <w:t xml:space="preserve">  Estrategia de  </w:t>
      </w:r>
      <w:r w:rsidDel="00000000" w:rsidR="00000000" w:rsidRPr="00000000">
        <w:rPr>
          <w:i w:val="1"/>
          <w:iCs w:val="1"/>
          <w:rtl w:val="0"/>
        </w:rPr>
        <w:t xml:space="preserve">Scheduled Refresh</w:t>
      </w:r>
      <w:r w:rsidDel="00000000" w:rsidR="00000000" w:rsidRPr="00000000">
        <w:rPr>
          <w:rtl w:val="0"/>
        </w:rPr>
        <w:t xml:space="preserve">  alineada a los turnos de la planta.</w:t>
      </w:r>
    </w:p>
    <w:p w:rsidR="00000000" w:rsidDel="00000000" w:rsidP="00000000" w:rsidRDefault="00000000" w:rsidRPr="00000000" w14:paraId="00000034">
      <w:pPr>
        <w:pStyle w:val="Heading4"/>
        <w:rPr/>
      </w:pPr>
      <w:bookmarkStart w:colFirst="0" w:colLast="0" w:name="_h9yqzfg736bj" w:id="11"/>
      <w:bookmarkEnd w:id="11"/>
      <w:r w:rsidDel="00000000" w:rsidR="00000000" w:rsidRPr="00000000">
        <w:rPr>
          <w:rtl w:val="0"/>
        </w:rPr>
        <w:t xml:space="preserve">11. Uso de IA para Diseño de Análisis Iniciales</w:t>
      </w:r>
    </w:p>
    <w:p w:rsidR="00000000" w:rsidDel="00000000" w:rsidP="00000000" w:rsidRDefault="00000000" w:rsidRPr="00000000" w14:paraId="00000035">
      <w:pPr>
        <w:rPr/>
      </w:pPr>
      <w:r w:rsidDel="00000000" w:rsidR="00000000" w:rsidRPr="00000000">
        <w:rPr>
          <w:rtl w:val="0"/>
        </w:rPr>
        <w:t xml:space="preserve">La IA en Power BI acelera el descubrimiento de causas raíz:</w:t>
      </w:r>
    </w:p>
    <w:p w:rsidR="00000000" w:rsidDel="00000000" w:rsidP="00000000" w:rsidRDefault="00000000" w:rsidRPr="00000000" w14:paraId="00000036">
      <w:pPr>
        <w:numPr>
          <w:ilvl w:val="0"/>
          <w:numId w:val="2"/>
        </w:numPr>
        <w:ind w:left="720" w:hanging="360"/>
        <w:rPr>
          <w:u w:val="none"/>
        </w:rPr>
      </w:pPr>
      <w:r w:rsidDel="00000000" w:rsidR="00000000" w:rsidRPr="00000000">
        <w:rPr>
          <w:b w:val="1"/>
          <w:bCs w:val="1"/>
          <w:rtl w:val="0"/>
        </w:rPr>
        <w:t xml:space="preserve">Decomposition Tree con AI Splits:</w:t>
      </w:r>
      <w:r w:rsidDel="00000000" w:rsidR="00000000" w:rsidRPr="00000000">
        <w:rPr>
          <w:rtl w:val="0"/>
        </w:rPr>
        <w:t xml:space="preserve">  El icono de la bombilla identifica automáticamente qué factores (ej. Torque o Rotational Speed) explican la mayor desviación en los fallos mecánicos.</w:t>
      </w:r>
    </w:p>
    <w:p w:rsidR="00000000" w:rsidDel="00000000" w:rsidP="00000000" w:rsidRDefault="00000000" w:rsidRPr="00000000" w14:paraId="00000037">
      <w:pPr>
        <w:numPr>
          <w:ilvl w:val="0"/>
          <w:numId w:val="2"/>
        </w:numPr>
        <w:ind w:left="720" w:hanging="360"/>
        <w:rPr>
          <w:u w:val="none"/>
        </w:rPr>
      </w:pPr>
      <w:r w:rsidDel="00000000" w:rsidR="00000000" w:rsidRPr="00000000">
        <w:rPr>
          <w:b w:val="1"/>
          <w:bCs w:val="1"/>
          <w:rtl w:val="0"/>
        </w:rPr>
        <w:t xml:space="preserve">Detección de Anomalías:</w:t>
      </w:r>
      <w:r w:rsidDel="00000000" w:rsidR="00000000" w:rsidRPr="00000000">
        <w:rPr>
          <w:rtl w:val="0"/>
        </w:rPr>
        <w:t xml:space="preserve">  Identificación automática de picos en la temperatura del proceso que escapan al comportamiento histórico normal.</w:t>
      </w:r>
    </w:p>
    <w:p w:rsidR="00000000" w:rsidDel="00000000" w:rsidP="00000000" w:rsidRDefault="00000000" w:rsidRPr="00000000" w14:paraId="00000038">
      <w:pPr>
        <w:pStyle w:val="Heading4"/>
        <w:rPr/>
      </w:pPr>
      <w:bookmarkStart w:colFirst="0" w:colLast="0" w:name="_bmsblyz1fwfi" w:id="12"/>
      <w:bookmarkEnd w:id="12"/>
      <w:r w:rsidDel="00000000" w:rsidR="00000000" w:rsidRPr="00000000">
        <w:rPr>
          <w:rtl w:val="0"/>
        </w:rPr>
        <w:t xml:space="preserve">12. Herramientas de IA: Diferenciación y Aplicación</w:t>
      </w:r>
    </w:p>
    <w:p w:rsidR="00000000" w:rsidDel="00000000" w:rsidP="00000000" w:rsidRDefault="00000000" w:rsidRPr="00000000" w14:paraId="00000039">
      <w:pPr>
        <w:numPr>
          <w:ilvl w:val="0"/>
          <w:numId w:val="9"/>
        </w:numPr>
        <w:ind w:left="720" w:hanging="360"/>
        <w:rPr>
          <w:u w:val="none"/>
        </w:rPr>
      </w:pPr>
      <w:r w:rsidDel="00000000" w:rsidR="00000000" w:rsidRPr="00000000">
        <w:rPr>
          <w:b w:val="1"/>
          <w:bCs w:val="1"/>
          <w:rtl w:val="0"/>
        </w:rPr>
        <w:t xml:space="preserve">Forecasting:</w:t>
      </w:r>
      <w:r w:rsidDel="00000000" w:rsidR="00000000" w:rsidRPr="00000000">
        <w:rPr>
          <w:rtl w:val="0"/>
        </w:rPr>
        <w:t xml:space="preserve">  Predicción de tendencias de desgaste (Tool wear) a futuro basada en regresiones históricas.</w:t>
      </w:r>
    </w:p>
    <w:p w:rsidR="00000000" w:rsidDel="00000000" w:rsidP="00000000" w:rsidRDefault="00000000" w:rsidRPr="00000000" w14:paraId="0000003A">
      <w:pPr>
        <w:numPr>
          <w:ilvl w:val="0"/>
          <w:numId w:val="9"/>
        </w:numPr>
        <w:ind w:left="720" w:hanging="360"/>
        <w:rPr>
          <w:u w:val="none"/>
        </w:rPr>
      </w:pPr>
      <w:r w:rsidDel="00000000" w:rsidR="00000000" w:rsidRPr="00000000">
        <w:rPr>
          <w:b w:val="1"/>
          <w:bCs w:val="1"/>
          <w:rtl w:val="0"/>
        </w:rPr>
        <w:t xml:space="preserve">Q&amp;A:</w:t>
      </w:r>
      <w:r w:rsidDel="00000000" w:rsidR="00000000" w:rsidRPr="00000000">
        <w:rPr>
          <w:rtl w:val="0"/>
        </w:rPr>
        <w:t xml:space="preserve">  Consultas en lenguaje natural para prototipado rápido de visuales.</w:t>
      </w:r>
    </w:p>
    <w:p w:rsidR="00000000" w:rsidDel="00000000" w:rsidP="00000000" w:rsidRDefault="00000000" w:rsidRPr="00000000" w14:paraId="0000003B">
      <w:pPr>
        <w:numPr>
          <w:ilvl w:val="0"/>
          <w:numId w:val="9"/>
        </w:numPr>
        <w:ind w:left="720" w:hanging="360"/>
        <w:rPr>
          <w:u w:val="none"/>
        </w:rPr>
      </w:pPr>
      <w:r w:rsidDel="00000000" w:rsidR="00000000" w:rsidRPr="00000000">
        <w:rPr>
          <w:b w:val="1"/>
          <w:bCs w:val="1"/>
          <w:rtl w:val="0"/>
        </w:rPr>
        <w:t xml:space="preserve">AI Splits (Relativo vs. Absoluto):</w:t>
      </w:r>
      <w:r w:rsidDel="00000000" w:rsidR="00000000" w:rsidRPr="00000000">
        <w:rPr>
          <w:rtl w:val="0"/>
        </w:rPr>
        <w:t xml:space="preserve">  El modo  </w:t>
      </w:r>
      <w:r w:rsidDel="00000000" w:rsidR="00000000" w:rsidRPr="00000000">
        <w:rPr>
          <w:b w:val="1"/>
          <w:bCs w:val="1"/>
          <w:rtl w:val="0"/>
        </w:rPr>
        <w:t xml:space="preserve">Relativo</w:t>
      </w:r>
      <w:r w:rsidDel="00000000" w:rsidR="00000000" w:rsidRPr="00000000">
        <w:rPr>
          <w:rtl w:val="0"/>
        </w:rPr>
        <w:t xml:space="preserve">  es el más potente para ingenieros; busca valores que "sobresalen" comparados con el promedio.</w:t>
      </w:r>
    </w:p>
    <w:p w:rsidR="00000000" w:rsidDel="00000000" w:rsidP="00000000" w:rsidRDefault="00000000" w:rsidRPr="00000000" w14:paraId="0000003C">
      <w:pPr>
        <w:numPr>
          <w:ilvl w:val="0"/>
          <w:numId w:val="9"/>
        </w:numPr>
        <w:ind w:left="720" w:hanging="360"/>
        <w:rPr>
          <w:u w:val="none"/>
        </w:rPr>
      </w:pPr>
      <w:r w:rsidDel="00000000" w:rsidR="00000000" w:rsidRPr="00000000">
        <w:rPr>
          <w:i w:val="1"/>
          <w:iCs w:val="1"/>
          <w:rtl w:val="0"/>
        </w:rPr>
        <w:t xml:space="preserve">Lógica de Cálculo:</w:t>
      </w:r>
      <w:r w:rsidDel="00000000" w:rsidR="00000000" w:rsidRPr="00000000">
        <w:rPr>
          <w:rtl w:val="0"/>
        </w:rPr>
        <w:t xml:space="preserve">  Valor / (Promedio de todos los valores de la columna). Si el resultado es 4.25x, significa que ese factor es 4 veces más relevante que la media, independientemente de su valor absoluto.</w:t>
      </w:r>
    </w:p>
    <w:p w:rsidR="00000000" w:rsidDel="00000000" w:rsidP="00000000" w:rsidRDefault="00000000" w:rsidRPr="00000000" w14:paraId="0000003D">
      <w:pPr>
        <w:pStyle w:val="Heading4"/>
        <w:rPr/>
      </w:pPr>
      <w:bookmarkStart w:colFirst="0" w:colLast="0" w:name="_kxhk7xvjpscu" w:id="13"/>
      <w:bookmarkEnd w:id="13"/>
      <w:r w:rsidDel="00000000" w:rsidR="00000000" w:rsidRPr="00000000">
        <w:rPr>
          <w:rtl w:val="0"/>
        </w:rPr>
        <w:t xml:space="preserve">13. Riesgos y Errores Comunes en el Módulo 1</w:t>
      </w:r>
    </w:p>
    <w:p w:rsidR="00000000" w:rsidDel="00000000" w:rsidP="00000000" w:rsidRDefault="00000000" w:rsidRPr="00000000" w14:paraId="0000003E">
      <w:pPr>
        <w:numPr>
          <w:ilvl w:val="0"/>
          <w:numId w:val="6"/>
        </w:numPr>
        <w:ind w:left="720" w:hanging="360"/>
        <w:rPr>
          <w:u w:val="none"/>
        </w:rPr>
      </w:pPr>
      <w:r w:rsidDel="00000000" w:rsidR="00000000" w:rsidRPr="00000000">
        <w:rPr>
          <w:b w:val="1"/>
          <w:bCs w:val="1"/>
          <w:rtl w:val="0"/>
        </w:rPr>
        <w:t xml:space="preserve">Falla en RLS (Lógica de Unión):</w:t>
      </w:r>
      <w:r w:rsidDel="00000000" w:rsidR="00000000" w:rsidRPr="00000000">
        <w:rPr>
          <w:rtl w:val="0"/>
        </w:rPr>
        <w:t xml:space="preserve">  En Power BI, los filtros RLS son  </w:t>
      </w:r>
      <w:r w:rsidDel="00000000" w:rsidR="00000000" w:rsidRPr="00000000">
        <w:rPr>
          <w:b w:val="1"/>
          <w:bCs w:val="1"/>
          <w:rtl w:val="0"/>
        </w:rPr>
        <w:t xml:space="preserve">aditivos</w:t>
      </w:r>
      <w:r w:rsidDel="00000000" w:rsidR="00000000" w:rsidRPr="00000000">
        <w:rPr>
          <w:rtl w:val="0"/>
        </w:rPr>
        <w:t xml:space="preserve"> . Si un usuario está en el rol "Workers" (acceso denegado a nómina) y en "Managers" (acceso permitido), el sistema aplicará la unión y el usuario  </w:t>
      </w:r>
      <w:r w:rsidDel="00000000" w:rsidR="00000000" w:rsidRPr="00000000">
        <w:rPr>
          <w:b w:val="1"/>
          <w:bCs w:val="1"/>
          <w:rtl w:val="0"/>
        </w:rPr>
        <w:t xml:space="preserve">verá los datos</w:t>
      </w:r>
      <w:r w:rsidDel="00000000" w:rsidR="00000000" w:rsidRPr="00000000">
        <w:rPr>
          <w:rtl w:val="0"/>
        </w:rPr>
        <w:t xml:space="preserve"> . El principio de "once denied, always denied" de SQL no aplica aquí.</w:t>
      </w:r>
    </w:p>
    <w:p w:rsidR="00000000" w:rsidDel="00000000" w:rsidP="00000000" w:rsidRDefault="00000000" w:rsidRPr="00000000" w14:paraId="0000003F">
      <w:pPr>
        <w:numPr>
          <w:ilvl w:val="0"/>
          <w:numId w:val="6"/>
        </w:numPr>
        <w:ind w:left="720" w:hanging="360"/>
        <w:rPr>
          <w:u w:val="none"/>
        </w:rPr>
      </w:pPr>
      <w:r w:rsidDel="00000000" w:rsidR="00000000" w:rsidRPr="00000000">
        <w:rPr>
          <w:b w:val="1"/>
          <w:bCs w:val="1"/>
          <w:rtl w:val="0"/>
        </w:rPr>
        <w:t xml:space="preserve">DAX Ineficiente:</w:t>
      </w:r>
      <w:r w:rsidDel="00000000" w:rsidR="00000000" w:rsidRPr="00000000">
        <w:rPr>
          <w:rtl w:val="0"/>
        </w:rPr>
        <w:t xml:space="preserve">  El uso de LOOKUPVALUE en lugar de relaciones de modelo.</w:t>
      </w:r>
    </w:p>
    <w:p w:rsidR="00000000" w:rsidDel="00000000" w:rsidP="00000000" w:rsidRDefault="00000000" w:rsidRPr="00000000" w14:paraId="00000040">
      <w:pPr>
        <w:numPr>
          <w:ilvl w:val="0"/>
          <w:numId w:val="6"/>
        </w:numPr>
        <w:ind w:left="720" w:hanging="360"/>
        <w:rPr>
          <w:u w:val="none"/>
        </w:rPr>
      </w:pPr>
      <w:r w:rsidDel="00000000" w:rsidR="00000000" w:rsidRPr="00000000">
        <w:rPr>
          <w:i w:val="1"/>
          <w:iCs w:val="1"/>
          <w:rtl w:val="0"/>
        </w:rPr>
        <w:t xml:space="preserve">Tip para Instructores:</w:t>
      </w:r>
      <w:r w:rsidDel="00000000" w:rsidR="00000000" w:rsidRPr="00000000">
        <w:rPr>
          <w:rtl w:val="0"/>
        </w:rPr>
        <w:t xml:space="preserve">  Los alumnos vienen con hábitos de Excel (BUSCARV). Debe enseñarse que en Power BI, el modelo de datos (Star Schema) es quien debe realizar el trabajo pesado, no las funciones de búsqueda.</w:t>
      </w:r>
    </w:p>
    <w:p w:rsidR="00000000" w:rsidDel="00000000" w:rsidP="00000000" w:rsidRDefault="00000000" w:rsidRPr="00000000" w14:paraId="00000041">
      <w:pPr>
        <w:numPr>
          <w:ilvl w:val="0"/>
          <w:numId w:val="6"/>
        </w:numPr>
        <w:ind w:left="720" w:hanging="360"/>
        <w:rPr>
          <w:u w:val="none"/>
        </w:rPr>
      </w:pPr>
      <w:r w:rsidDel="00000000" w:rsidR="00000000" w:rsidRPr="00000000">
        <w:rPr>
          <w:b w:val="1"/>
          <w:bCs w:val="1"/>
          <w:rtl w:val="0"/>
        </w:rPr>
        <w:t xml:space="preserve">Diseño Móvil:</w:t>
      </w:r>
      <w:r w:rsidDel="00000000" w:rsidR="00000000" w:rsidRPr="00000000">
        <w:rPr>
          <w:rtl w:val="0"/>
        </w:rPr>
        <w:t xml:space="preserve">  Ignorar las dimensiones en puntos (pt) mencionadas en la sección 9, resultando en visuales truncados o ilegibles.</w:t>
      </w:r>
    </w:p>
    <w:p w:rsidR="00000000" w:rsidDel="00000000" w:rsidP="00000000" w:rsidRDefault="00000000" w:rsidRPr="00000000" w14:paraId="00000042">
      <w:pPr>
        <w:pStyle w:val="Heading4"/>
        <w:rPr/>
      </w:pPr>
      <w:bookmarkStart w:colFirst="0" w:colLast="0" w:name="_ebw2ucx5tcom" w:id="14"/>
      <w:bookmarkEnd w:id="14"/>
      <w:r w:rsidDel="00000000" w:rsidR="00000000" w:rsidRPr="00000000">
        <w:rPr>
          <w:rtl w:val="0"/>
        </w:rPr>
        <w:t xml:space="preserve">14. Recomendaciones para Presentación (15 Slides)</w:t>
      </w:r>
    </w:p>
    <w:p w:rsidR="00000000" w:rsidDel="00000000" w:rsidP="00000000" w:rsidRDefault="00000000" w:rsidRPr="00000000" w14:paraId="00000043">
      <w:pPr>
        <w:numPr>
          <w:ilvl w:val="0"/>
          <w:numId w:val="12"/>
        </w:numPr>
        <w:ind w:left="720" w:hanging="360"/>
        <w:rPr>
          <w:u w:val="none"/>
        </w:rPr>
      </w:pPr>
      <w:r w:rsidDel="00000000" w:rsidR="00000000" w:rsidRPr="00000000">
        <w:rPr>
          <w:b w:val="1"/>
          <w:bCs w:val="1"/>
          <w:rtl w:val="0"/>
        </w:rPr>
        <w:t xml:space="preserve">Slides 1-2:</w:t>
      </w:r>
      <w:r w:rsidDel="00000000" w:rsidR="00000000" w:rsidRPr="00000000">
        <w:rPr>
          <w:rtl w:val="0"/>
        </w:rPr>
        <w:t xml:space="preserve">  El Big Picture y el Ciclo Analítico en Tech&amp;Eng.</w:t>
      </w:r>
    </w:p>
    <w:p w:rsidR="00000000" w:rsidDel="00000000" w:rsidP="00000000" w:rsidRDefault="00000000" w:rsidRPr="00000000" w14:paraId="00000044">
      <w:pPr>
        <w:numPr>
          <w:ilvl w:val="0"/>
          <w:numId w:val="12"/>
        </w:numPr>
        <w:ind w:left="720" w:hanging="360"/>
        <w:rPr>
          <w:u w:val="none"/>
        </w:rPr>
      </w:pPr>
      <w:r w:rsidDel="00000000" w:rsidR="00000000" w:rsidRPr="00000000">
        <w:rPr>
          <w:b w:val="1"/>
          <w:bCs w:val="1"/>
          <w:rtl w:val="0"/>
        </w:rPr>
        <w:t xml:space="preserve">Slides 3-5:</w:t>
      </w:r>
      <w:r w:rsidDel="00000000" w:rsidR="00000000" w:rsidRPr="00000000">
        <w:rPr>
          <w:rtl w:val="0"/>
        </w:rPr>
        <w:t xml:space="preserve">  Desktop vs. Service y el Blueprint de Arquitectura (Fuentes EIA/INE).</w:t>
      </w:r>
    </w:p>
    <w:p w:rsidR="00000000" w:rsidDel="00000000" w:rsidP="00000000" w:rsidRDefault="00000000" w:rsidRPr="00000000" w14:paraId="00000045">
      <w:pPr>
        <w:numPr>
          <w:ilvl w:val="0"/>
          <w:numId w:val="12"/>
        </w:numPr>
        <w:ind w:left="720" w:hanging="360"/>
        <w:rPr>
          <w:u w:val="none"/>
        </w:rPr>
      </w:pPr>
      <w:r w:rsidDel="00000000" w:rsidR="00000000" w:rsidRPr="00000000">
        <w:rPr>
          <w:b w:val="1"/>
          <w:bCs w:val="1"/>
          <w:rtl w:val="0"/>
        </w:rPr>
        <w:t xml:space="preserve">Slides 6-10:</w:t>
      </w:r>
      <w:r w:rsidDel="00000000" w:rsidR="00000000" w:rsidRPr="00000000">
        <w:rPr>
          <w:rtl w:val="0"/>
        </w:rPr>
        <w:t xml:space="preserve">  Casos Prácticos AI4I. Visualización obligatoria de la correlación  </w:t>
      </w:r>
      <w:r w:rsidDel="00000000" w:rsidR="00000000" w:rsidRPr="00000000">
        <w:rPr>
          <w:b w:val="1"/>
          <w:bCs w:val="1"/>
          <w:rtl w:val="0"/>
        </w:rPr>
        <w:t xml:space="preserve">Torque (Nm)</w:t>
      </w:r>
      <w:r w:rsidDel="00000000" w:rsidR="00000000" w:rsidRPr="00000000">
        <w:rPr>
          <w:rtl w:val="0"/>
        </w:rPr>
        <w:t xml:space="preserve">  vs.  </w:t>
      </w:r>
      <w:r w:rsidDel="00000000" w:rsidR="00000000" w:rsidRPr="00000000">
        <w:rPr>
          <w:b w:val="1"/>
          <w:bCs w:val="1"/>
          <w:rtl w:val="0"/>
        </w:rPr>
        <w:t xml:space="preserve">Rotational Speed (rpm)</w:t>
      </w:r>
      <w:r w:rsidDel="00000000" w:rsidR="00000000" w:rsidRPr="00000000">
        <w:rPr>
          <w:rtl w:val="0"/>
        </w:rPr>
        <w:t xml:space="preserve">  y su impacto en la tasa de fallos.</w:t>
      </w:r>
    </w:p>
    <w:p w:rsidR="00000000" w:rsidDel="00000000" w:rsidP="00000000" w:rsidRDefault="00000000" w:rsidRPr="00000000" w14:paraId="00000046">
      <w:pPr>
        <w:numPr>
          <w:ilvl w:val="0"/>
          <w:numId w:val="12"/>
        </w:numPr>
        <w:ind w:left="720" w:hanging="360"/>
        <w:rPr>
          <w:u w:val="none"/>
        </w:rPr>
      </w:pPr>
      <w:r w:rsidDel="00000000" w:rsidR="00000000" w:rsidRPr="00000000">
        <w:rPr>
          <w:b w:val="1"/>
          <w:bCs w:val="1"/>
          <w:rtl w:val="0"/>
        </w:rPr>
        <w:t xml:space="preserve">Slides 11-13:</w:t>
      </w:r>
      <w:r w:rsidDel="00000000" w:rsidR="00000000" w:rsidRPr="00000000">
        <w:rPr>
          <w:rtl w:val="0"/>
        </w:rPr>
        <w:t xml:space="preserve">  Análisis Proactivo: Uso de AI Splits Relativos para identificar causas de falla (TWF, HDF).</w:t>
      </w:r>
    </w:p>
    <w:p w:rsidR="00000000" w:rsidDel="00000000" w:rsidP="00000000" w:rsidRDefault="00000000" w:rsidRPr="00000000" w14:paraId="00000047">
      <w:pPr>
        <w:numPr>
          <w:ilvl w:val="0"/>
          <w:numId w:val="12"/>
        </w:numPr>
        <w:ind w:left="720" w:hanging="360"/>
        <w:rPr>
          <w:u w:val="none"/>
        </w:rPr>
      </w:pPr>
      <w:r w:rsidDel="00000000" w:rsidR="00000000" w:rsidRPr="00000000">
        <w:rPr>
          <w:b w:val="1"/>
          <w:bCs w:val="1"/>
          <w:rtl w:val="0"/>
        </w:rPr>
        <w:t xml:space="preserve">Slides 14-15:</w:t>
      </w:r>
      <w:r w:rsidDel="00000000" w:rsidR="00000000" w:rsidRPr="00000000">
        <w:rPr>
          <w:rtl w:val="0"/>
        </w:rPr>
        <w:t xml:space="preserve">  Seguridad Crítica (RLS Union Logic) y Roadmap de implementación para la planta.</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