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eqfypdayfmu" w:id="0"/>
      <w:bookmarkEnd w:id="0"/>
      <w:r w:rsidDel="00000000" w:rsidR="00000000" w:rsidRPr="00000000">
        <w:rPr>
          <w:rtl w:val="0"/>
        </w:rPr>
        <w:t xml:space="preserve">Glosario Técnico: Arquitectura Analítica y Recap de Power BI (Módulo 1)</w:t>
      </w:r>
    </w:p>
    <w:p w:rsidR="00000000" w:rsidDel="00000000" w:rsidP="00000000" w:rsidRDefault="00000000" w:rsidRPr="00000000" w14:paraId="00000002">
      <w:pPr>
        <w:pStyle w:val="Heading4"/>
        <w:rPr/>
      </w:pPr>
      <w:bookmarkStart w:colFirst="0" w:colLast="0" w:name="_q5582r9lf6pm" w:id="1"/>
      <w:bookmarkEnd w:id="1"/>
      <w:r w:rsidDel="00000000" w:rsidR="00000000" w:rsidRPr="00000000">
        <w:rPr>
          <w:rtl w:val="0"/>
        </w:rPr>
        <w:t xml:space="preserve">1. Introducción a la Arquitectura Analítica Moderna</w:t>
      </w:r>
    </w:p>
    <w:p w:rsidR="00000000" w:rsidDel="00000000" w:rsidP="00000000" w:rsidRDefault="00000000" w:rsidRPr="00000000" w14:paraId="00000003">
      <w:pPr>
        <w:rPr/>
      </w:pPr>
      <w:r w:rsidDel="00000000" w:rsidR="00000000" w:rsidRPr="00000000">
        <w:rPr>
          <w:rtl w:val="0"/>
        </w:rPr>
        <w:t xml:space="preserve">Para evolucionar de un usuario de reporteo tradicional a un Arquitecto de Soluciones Senior, es fundamental comprender que Power BI no es una herramienta aislada, sino un ecosistema analítico robusto e integrado. En sectores de tecnología e ingeniería (Tech&amp;Eng), la capacidad de diseñar arquitecturas que soporten decisiones críticas depende de una terminología técnica precisa y de una visión estratégica de la gobernanza. La transición hacia sistemas asistidos por IA no solo automatiza tareas, sino que redefine el proceso de toma de decisiones, permitiendo que ingenieros de planta y analistas de datos operen sobre una "única versión de la verdad" con eficiencia operativa y escalabilidad.</w:t>
      </w:r>
    </w:p>
    <w:p w:rsidR="00000000" w:rsidDel="00000000" w:rsidP="00000000" w:rsidRDefault="00000000" w:rsidRPr="00000000" w14:paraId="00000004">
      <w:pPr>
        <w:pStyle w:val="Heading4"/>
        <w:rPr/>
      </w:pPr>
      <w:bookmarkStart w:colFirst="0" w:colLast="0" w:name="_8zbp75m3aq8r" w:id="2"/>
      <w:bookmarkEnd w:id="2"/>
      <w:r w:rsidDel="00000000" w:rsidR="00000000" w:rsidRPr="00000000">
        <w:rPr>
          <w:rtl w:val="0"/>
        </w:rPr>
        <w:t xml:space="preserve">2. Ecosistema y Componentes de Power BI</w:t>
      </w:r>
    </w:p>
    <w:p w:rsidR="00000000" w:rsidDel="00000000" w:rsidP="00000000" w:rsidRDefault="00000000" w:rsidRPr="00000000" w14:paraId="00000005">
      <w:pPr>
        <w:rPr/>
      </w:pPr>
      <w:r w:rsidDel="00000000" w:rsidR="00000000" w:rsidRPr="00000000">
        <w:rPr>
          <w:rtl w:val="0"/>
        </w:rPr>
        <w:t xml:space="preserve">La integridad de una solución analítica comienza con la separación clara entre el entorno de autoría (desarrollo) y el de consumo (distribución). Como arquitectos, debemos priorizar que las transformaciones de datos ocurran lo más cerca posible de la fuente original para minimizar la "deuda técnica" y garantizar la transparencia en el linaje de los datos.| Término | Definición breve | Explicación profesional | Ejemplo Tech&amp;Eng | Relación | Documentación de Referencia || ------ | ------ | ------ | ------ | ------ | ------ || </w:t>
      </w:r>
      <w:r w:rsidDel="00000000" w:rsidR="00000000" w:rsidRPr="00000000">
        <w:rPr>
          <w:b w:val="1"/>
          <w:bCs w:val="1"/>
          <w:rtl w:val="0"/>
        </w:rPr>
        <w:t xml:space="preserve">Power BI Desktop</w:t>
      </w:r>
      <w:r w:rsidDel="00000000" w:rsidR="00000000" w:rsidRPr="00000000">
        <w:rPr>
          <w:rtl w:val="0"/>
        </w:rPr>
        <w:t xml:space="preserve"> | Entorno de desarrollo local (Windows). | Aplicación para la ingesta, modelado dimensional y diseño visual. Permite prototipado técnico antes de la publicación. | Conexión al dataset de mantenimiento predictivo (AI4I 2020) para modelar tipos de falla (HDF, PWF). | Power BI Service / Linaje de Datos | Conceptos Básicos (MS Learn) || </w:t>
      </w:r>
      <w:r w:rsidDel="00000000" w:rsidR="00000000" w:rsidRPr="00000000">
        <w:rPr>
          <w:b w:val="1"/>
          <w:bCs w:val="1"/>
          <w:rtl w:val="0"/>
        </w:rPr>
        <w:t xml:space="preserve">Power BI Service</w:t>
      </w:r>
      <w:r w:rsidDel="00000000" w:rsidR="00000000" w:rsidRPr="00000000">
        <w:rPr>
          <w:rtl w:val="0"/>
        </w:rPr>
        <w:t xml:space="preserve"> | Ecosistema colaborativo en la nube (SaaS). | Plataforma centralizada para la gestión de permisos, seguridad (RLS/OLS) y actualización programada de datos. | Publicación de un dashboard de eficiencia energética para acceso global por directivos técnicos. | Gobernanza / Cloud Architecture | Introducción a Dashboards (MS Learn) || </w:t>
      </w:r>
      <w:r w:rsidDel="00000000" w:rsidR="00000000" w:rsidRPr="00000000">
        <w:rPr>
          <w:b w:val="1"/>
          <w:bCs w:val="1"/>
          <w:rtl w:val="0"/>
        </w:rPr>
        <w:t xml:space="preserve">Dataset (Modelo semántico)</w:t>
      </w:r>
      <w:r w:rsidDel="00000000" w:rsidR="00000000" w:rsidRPr="00000000">
        <w:rPr>
          <w:rtl w:val="0"/>
        </w:rPr>
        <w:t xml:space="preserve"> | Capa lógica y fuente de verdad. | Contenedor que encapsula conexiones, lógica de negocio (DAX), metadatos y relaciones estructurales. | Modelo semántico que integra flujos de generación eléctrica y demanda por área de la EIA. | Power Query / Medidas DAX | Modelado de Datos (MS Learn) || </w:t>
      </w:r>
      <w:r w:rsidDel="00000000" w:rsidR="00000000" w:rsidRPr="00000000">
        <w:rPr>
          <w:b w:val="1"/>
          <w:bCs w:val="1"/>
          <w:rtl w:val="0"/>
        </w:rPr>
        <w:t xml:space="preserve">Power Query</w:t>
      </w:r>
      <w:r w:rsidDel="00000000" w:rsidR="00000000" w:rsidRPr="00000000">
        <w:rPr>
          <w:rtl w:val="0"/>
        </w:rPr>
        <w:t xml:space="preserve"> | Motor de preparación de datos (ETL). | Herramienta de extracción y limpieza. Se recomienda realizar el filtrado upstream para optimizar el rendimiento del motor VertiPaq. | Limpieza de telemetría de sensores, eliminando valores nulos en el campo "Torque (Nm)" antes de la carga. | Upstream Governance / Deuda Técnica | Transformación de datos (MS Learn) |</w:t>
      </w:r>
    </w:p>
    <w:p w:rsidR="00000000" w:rsidDel="00000000" w:rsidP="00000000" w:rsidRDefault="00000000" w:rsidRPr="00000000" w14:paraId="00000006">
      <w:pPr>
        <w:pStyle w:val="Heading5"/>
        <w:rPr/>
      </w:pPr>
      <w:bookmarkStart w:colFirst="0" w:colLast="0" w:name="_rvczw9rhmr9b" w:id="3"/>
      <w:bookmarkEnd w:id="3"/>
      <w:r w:rsidDel="00000000" w:rsidR="00000000" w:rsidRPr="00000000">
        <w:rPr>
          <w:rtl w:val="0"/>
        </w:rPr>
        <w:t xml:space="preserve">Análisis de Arquitectura: Gobernanza y Seguridad</w:t>
      </w:r>
    </w:p>
    <w:p w:rsidR="00000000" w:rsidDel="00000000" w:rsidP="00000000" w:rsidRDefault="00000000" w:rsidRPr="00000000" w14:paraId="00000007">
      <w:pPr>
        <w:rPr/>
      </w:pPr>
      <w:r w:rsidDel="00000000" w:rsidR="00000000" w:rsidRPr="00000000">
        <w:rPr>
          <w:rtl w:val="0"/>
        </w:rPr>
        <w:t xml:space="preserve">Separar el desarrollo ( </w:t>
      </w:r>
      <w:r w:rsidDel="00000000" w:rsidR="00000000" w:rsidRPr="00000000">
        <w:rPr>
          <w:b w:val="1"/>
          <w:bCs w:val="1"/>
          <w:rtl w:val="0"/>
        </w:rPr>
        <w:t xml:space="preserve">Desktop</w:t>
      </w:r>
      <w:r w:rsidDel="00000000" w:rsidR="00000000" w:rsidRPr="00000000">
        <w:rPr>
          <w:rtl w:val="0"/>
        </w:rPr>
        <w:t xml:space="preserve"> ) de la distribución ( </w:t>
      </w:r>
      <w:r w:rsidDel="00000000" w:rsidR="00000000" w:rsidRPr="00000000">
        <w:rPr>
          <w:b w:val="1"/>
          <w:bCs w:val="1"/>
          <w:rtl w:val="0"/>
        </w:rPr>
        <w:t xml:space="preserve">Service</w:t>
      </w:r>
      <w:r w:rsidDel="00000000" w:rsidR="00000000" w:rsidRPr="00000000">
        <w:rPr>
          <w:rtl w:val="0"/>
        </w:rPr>
        <w:t xml:space="preserve"> ) permite un ciclo de vida de software profesional. El entorno local protege fuentes sensibles durante la construcción del modelo, mientras que la nube facilita el control de acceso granular. En este nivel, un arquitecto debe considerar el uso de  </w:t>
      </w:r>
      <w:r w:rsidDel="00000000" w:rsidR="00000000" w:rsidRPr="00000000">
        <w:rPr>
          <w:b w:val="1"/>
          <w:bCs w:val="1"/>
          <w:rtl w:val="0"/>
        </w:rPr>
        <w:t xml:space="preserve">Object-Level Security (OLS)</w:t>
      </w:r>
      <w:r w:rsidDel="00000000" w:rsidR="00000000" w:rsidRPr="00000000">
        <w:rPr>
          <w:rtl w:val="0"/>
        </w:rPr>
        <w:t xml:space="preserve">  para restringir el acceso a tablas o columnas específicas (como costos operativos) sin necesidad de duplicar el modelo.</w:t>
      </w:r>
    </w:p>
    <w:p w:rsidR="00000000" w:rsidDel="00000000" w:rsidP="00000000" w:rsidRDefault="00000000" w:rsidRPr="00000000" w14:paraId="00000008">
      <w:pPr>
        <w:pStyle w:val="Heading4"/>
        <w:rPr/>
      </w:pPr>
      <w:bookmarkStart w:colFirst="0" w:colLast="0" w:name="_h98p9qw5t747" w:id="4"/>
      <w:bookmarkEnd w:id="4"/>
      <w:r w:rsidDel="00000000" w:rsidR="00000000" w:rsidRPr="00000000">
        <w:rPr>
          <w:rtl w:val="0"/>
        </w:rPr>
        <w:t xml:space="preserve">3. Arquitectura del Modelo y Capas de Visualización</w:t>
      </w:r>
    </w:p>
    <w:p w:rsidR="00000000" w:rsidDel="00000000" w:rsidP="00000000" w:rsidRDefault="00000000" w:rsidRPr="00000000" w14:paraId="00000009">
      <w:pPr>
        <w:rPr/>
      </w:pPr>
      <w:r w:rsidDel="00000000" w:rsidR="00000000" w:rsidRPr="00000000">
        <w:rPr>
          <w:rtl w:val="0"/>
        </w:rPr>
        <w:t xml:space="preserve">Un modelo eficiente se basa en el  </w:t>
      </w:r>
      <w:r w:rsidDel="00000000" w:rsidR="00000000" w:rsidRPr="00000000">
        <w:rPr>
          <w:b w:val="1"/>
          <w:bCs w:val="1"/>
          <w:rtl w:val="0"/>
        </w:rPr>
        <w:t xml:space="preserve">Star Schema</w:t>
      </w:r>
      <w:r w:rsidDel="00000000" w:rsidR="00000000" w:rsidRPr="00000000">
        <w:rPr>
          <w:rtl w:val="0"/>
        </w:rPr>
        <w:t xml:space="preserve">  (Esquema en Estrella). Esta estructura no es opcional en proyectos de ingeniería; es la base para que las consultas DAX sean rápidas y el mantenimiento del modelo sea sostenible a largo plazo.| Término | Definición breve | Explicación profesional | Ejemplo Tech&amp;Eng | Relación | Documentación de Referencia || ------ | ------ | ------ | ------ | ------ | ------ || </w:t>
      </w:r>
      <w:r w:rsidDel="00000000" w:rsidR="00000000" w:rsidRPr="00000000">
        <w:rPr>
          <w:b w:val="1"/>
          <w:bCs w:val="1"/>
          <w:rtl w:val="0"/>
        </w:rPr>
        <w:t xml:space="preserve">Vista de modelo</w:t>
      </w:r>
      <w:r w:rsidDel="00000000" w:rsidR="00000000" w:rsidRPr="00000000">
        <w:rPr>
          <w:rtl w:val="0"/>
        </w:rPr>
        <w:t xml:space="preserve"> | Interfaz de diseño estructural. | Espacio donde se definen relaciones cardinales (1:*) y se configuran grupos de cálculo para reutilizar lógica. | Relación entre la tabla "Machine ID" (Dim) y "Failure Events" (Fact) usando el UID del dataset AI4I. | Star Schema / Cardinalidad | Relaciones en Desktop (MS Learn) || </w:t>
      </w:r>
      <w:r w:rsidDel="00000000" w:rsidR="00000000" w:rsidRPr="00000000">
        <w:rPr>
          <w:b w:val="1"/>
          <w:bCs w:val="1"/>
          <w:rtl w:val="0"/>
        </w:rPr>
        <w:t xml:space="preserve">Vista de informe</w:t>
      </w:r>
      <w:r w:rsidDel="00000000" w:rsidR="00000000" w:rsidRPr="00000000">
        <w:rPr>
          <w:rtl w:val="0"/>
        </w:rPr>
        <w:t xml:space="preserve"> | Lienzo de interacción y UX. | Capa de visualización donde se traduce la lógica de datos en insights accionables para el usuario final. | Panel de control para monitorear el "Tool wear" acumulado en minutos por cada centro de mecanizado. | Capa de Interacción | Diseño de Informes (MS Learn) || </w:t>
      </w:r>
      <w:r w:rsidDel="00000000" w:rsidR="00000000" w:rsidRPr="00000000">
        <w:rPr>
          <w:b w:val="1"/>
          <w:bCs w:val="1"/>
          <w:rtl w:val="0"/>
        </w:rPr>
        <w:t xml:space="preserve">Visual</w:t>
      </w:r>
      <w:r w:rsidDel="00000000" w:rsidR="00000000" w:rsidRPr="00000000">
        <w:rPr>
          <w:rtl w:val="0"/>
        </w:rPr>
        <w:t xml:space="preserve"> | Elemento gráfico de datos. | Representación de métricas. Se deben priorizar visuales estándar para garantizar compatibilidad móvil (323pt de ancho). | Gráfico de líneas para visualizar el comportamiento de la temperatura del aire (K) vs. la velocidad (rpm). | Visualización de Datos | Optimización Móvil (MS Learn) || </w:t>
      </w:r>
      <w:r w:rsidDel="00000000" w:rsidR="00000000" w:rsidRPr="00000000">
        <w:rPr>
          <w:b w:val="1"/>
          <w:bCs w:val="1"/>
          <w:rtl w:val="0"/>
        </w:rPr>
        <w:t xml:space="preserve">Filtro vs. Segmentador</w:t>
      </w:r>
      <w:r w:rsidDel="00000000" w:rsidR="00000000" w:rsidRPr="00000000">
        <w:rPr>
          <w:rtl w:val="0"/>
        </w:rPr>
        <w:t xml:space="preserve"> | Control de contexto de datos. | Los filtros actúan en el panel lateral (página/informe); los segmentadores (slicers) son interactivos y ocupan espacio en el lienzo. | Segmentador por "Product ID" para que el ingeniero explore fallas específicas en tiempo real. | Experiencia de Usuario (UX) | Filtros y Slicers (MS Learn) || </w:t>
      </w:r>
      <w:r w:rsidDel="00000000" w:rsidR="00000000" w:rsidRPr="00000000">
        <w:rPr>
          <w:b w:val="1"/>
          <w:bCs w:val="1"/>
          <w:rtl w:val="0"/>
        </w:rPr>
        <w:t xml:space="preserve">Tooltip (Información herramientas)</w:t>
      </w:r>
      <w:r w:rsidDel="00000000" w:rsidR="00000000" w:rsidRPr="00000000">
        <w:rPr>
          <w:rtl w:val="0"/>
        </w:rPr>
        <w:t xml:space="preserve"> | Detalle contextual bajo demanda. | Ventana flotante que permite profundizar en el análisis sin saturar el lienzo visual principal. | Mostrar detalles de la falla "RNF" (Random Failures) al pasar el cursor sobre un pico de inactividad. | Análisis Drill-down | Report Tooltips (MS Learn) |</w:t>
      </w:r>
    </w:p>
    <w:p w:rsidR="00000000" w:rsidDel="00000000" w:rsidP="00000000" w:rsidRDefault="00000000" w:rsidRPr="00000000" w14:paraId="0000000A">
      <w:pPr>
        <w:pStyle w:val="Heading5"/>
        <w:rPr/>
      </w:pPr>
      <w:bookmarkStart w:colFirst="0" w:colLast="0" w:name="_qpggqpk3cv4n" w:id="5"/>
      <w:bookmarkEnd w:id="5"/>
      <w:r w:rsidDel="00000000" w:rsidR="00000000" w:rsidRPr="00000000">
        <w:rPr>
          <w:rtl w:val="0"/>
        </w:rPr>
        <w:t xml:space="preserve">Análisis de Experiencia de Usuario (UX) y Movilidad</w:t>
      </w:r>
    </w:p>
    <w:p w:rsidR="00000000" w:rsidDel="00000000" w:rsidP="00000000" w:rsidRDefault="00000000" w:rsidRPr="00000000" w14:paraId="0000000B">
      <w:pPr>
        <w:rPr/>
      </w:pPr>
      <w:r w:rsidDel="00000000" w:rsidR="00000000" w:rsidRPr="00000000">
        <w:rPr>
          <w:rtl w:val="0"/>
        </w:rPr>
        <w:t xml:space="preserve">Para un ingeniero de planta que utiliza dispositivos móviles, el diseño debe ser restrictivo y eficiente. Dado que el ancho máximo de la lona móvil es de  </w:t>
      </w:r>
      <w:r w:rsidDel="00000000" w:rsidR="00000000" w:rsidRPr="00000000">
        <w:rPr>
          <w:b w:val="1"/>
          <w:bCs w:val="1"/>
          <w:rtl w:val="0"/>
        </w:rPr>
        <w:t xml:space="preserve">323 pt</w:t>
      </w:r>
      <w:r w:rsidDel="00000000" w:rsidR="00000000" w:rsidRPr="00000000">
        <w:rPr>
          <w:rtl w:val="0"/>
        </w:rPr>
        <w:t xml:space="preserve"> , el arquitecto debe preferir  </w:t>
      </w:r>
      <w:r w:rsidDel="00000000" w:rsidR="00000000" w:rsidRPr="00000000">
        <w:rPr>
          <w:b w:val="1"/>
          <w:bCs w:val="1"/>
          <w:rtl w:val="0"/>
        </w:rPr>
        <w:t xml:space="preserve">filtros de página</w:t>
      </w:r>
      <w:r w:rsidDel="00000000" w:rsidR="00000000" w:rsidRPr="00000000">
        <w:rPr>
          <w:rtl w:val="0"/>
        </w:rPr>
        <w:t xml:space="preserve">  sobre segmentadores para maximizar el espacio visual. Las fuentes no deben ser inferiores a  </w:t>
      </w:r>
      <w:r w:rsidDel="00000000" w:rsidR="00000000" w:rsidRPr="00000000">
        <w:rPr>
          <w:b w:val="1"/>
          <w:bCs w:val="1"/>
          <w:rtl w:val="0"/>
        </w:rPr>
        <w:t xml:space="preserve">9 puntos</w:t>
      </w:r>
      <w:r w:rsidDel="00000000" w:rsidR="00000000" w:rsidRPr="00000000">
        <w:rPr>
          <w:rtl w:val="0"/>
        </w:rPr>
        <w:t xml:space="preserve">  para garantizar la legibilidad en entornos industriales, y se debe evitar el scroll horizontal dentro de los visuales para una navegación fluida.</w:t>
      </w:r>
    </w:p>
    <w:p w:rsidR="00000000" w:rsidDel="00000000" w:rsidP="00000000" w:rsidRDefault="00000000" w:rsidRPr="00000000" w14:paraId="0000000C">
      <w:pPr>
        <w:pStyle w:val="Heading4"/>
        <w:rPr/>
      </w:pPr>
      <w:bookmarkStart w:colFirst="0" w:colLast="0" w:name="_g7zgonevlbp" w:id="6"/>
      <w:bookmarkEnd w:id="6"/>
      <w:r w:rsidDel="00000000" w:rsidR="00000000" w:rsidRPr="00000000">
        <w:rPr>
          <w:rtl w:val="0"/>
        </w:rPr>
        <w:t xml:space="preserve">4. Lógica de Datos y Computación Analítica (DAX)</w:t>
      </w:r>
    </w:p>
    <w:p w:rsidR="00000000" w:rsidDel="00000000" w:rsidP="00000000" w:rsidRDefault="00000000" w:rsidRPr="00000000" w14:paraId="0000000D">
      <w:pPr>
        <w:rPr/>
      </w:pPr>
      <w:r w:rsidDel="00000000" w:rsidR="00000000" w:rsidRPr="00000000">
        <w:rPr>
          <w:rtl w:val="0"/>
        </w:rPr>
        <w:t xml:space="preserve">DAX (Data Analysis Expressions) es el motor de inteligencia que permite realizar cálculos complejos basados en el contexto. A diferencia de Excel, DAX opera sobre columnas y tablas, lo que requiere un cambio de paradigma hacia el pensamiento relacional.| Término | Definición breve | Explicación profesional | Ejemplo Tech&amp;Eng | Relación | Documentación de Referencia || ------ | ------ | ------ | ------ | ------ | ------ || </w:t>
      </w:r>
      <w:r w:rsidDel="00000000" w:rsidR="00000000" w:rsidRPr="00000000">
        <w:rPr>
          <w:b w:val="1"/>
          <w:bCs w:val="1"/>
          <w:rtl w:val="0"/>
        </w:rPr>
        <w:t xml:space="preserve">DAX</w:t>
      </w:r>
      <w:r w:rsidDel="00000000" w:rsidR="00000000" w:rsidRPr="00000000">
        <w:rPr>
          <w:rtl w:val="0"/>
        </w:rPr>
        <w:t xml:space="preserve"> | Lenguaje de expresiones analíticas. | Motor de cálculo que permite definir lógica de negocio dinámica y análisis de series temporales. | Creación de medidas para identificar el ratio de fallas por disipación de calor (HDF). | Inteligencia de Negocio | DAX Reference (MS Learn) || </w:t>
      </w:r>
      <w:r w:rsidDel="00000000" w:rsidR="00000000" w:rsidRPr="00000000">
        <w:rPr>
          <w:b w:val="1"/>
          <w:bCs w:val="1"/>
          <w:rtl w:val="0"/>
        </w:rPr>
        <w:t xml:space="preserve">Medida</w:t>
      </w:r>
      <w:r w:rsidDel="00000000" w:rsidR="00000000" w:rsidRPr="00000000">
        <w:rPr>
          <w:rtl w:val="0"/>
        </w:rPr>
        <w:t xml:space="preserve"> | Cálculo dinámico por contexto. | Fórmula que se evalúa en tiempo de ejecución. Es eficiente en memoria y responde a los segmentadores del usuario. | AVERAGEX(Table, Process Temp): calcula el promedio tras evaluar la temperatura en cada fila del contexto. | Contexto de Filtro | Creación de Medidas (MS Learn) || </w:t>
      </w:r>
      <w:r w:rsidDel="00000000" w:rsidR="00000000" w:rsidRPr="00000000">
        <w:rPr>
          <w:b w:val="1"/>
          <w:bCs w:val="1"/>
          <w:rtl w:val="0"/>
        </w:rPr>
        <w:t xml:space="preserve">Columna calculada</w:t>
      </w:r>
      <w:r w:rsidDel="00000000" w:rsidR="00000000" w:rsidRPr="00000000">
        <w:rPr>
          <w:rtl w:val="0"/>
        </w:rPr>
        <w:t xml:space="preserve"> | Cálculo estático en carga. | Se calcula durante la actualización y consume memoria RAM. No responde a filtros interactivos de usuario. | Clasificación fija de máquinas como "Heavy Duty" si el Torque supera un umbral de 60 Nm. | Contexto de Fila | Columnas calculadas (MS Learn) || </w:t>
      </w:r>
      <w:r w:rsidDel="00000000" w:rsidR="00000000" w:rsidRPr="00000000">
        <w:rPr>
          <w:b w:val="1"/>
          <w:bCs w:val="1"/>
          <w:rtl w:val="0"/>
        </w:rPr>
        <w:t xml:space="preserve">KPI</w:t>
      </w:r>
      <w:r w:rsidDel="00000000" w:rsidR="00000000" w:rsidRPr="00000000">
        <w:rPr>
          <w:rtl w:val="0"/>
        </w:rPr>
        <w:t xml:space="preserve"> | Indicador Clave de Desempeño. | Métrica que compara un valor actual frente a un objetivo, permitiendo visualización rápida de estados. | Monitoreo del objetivo de disponibilidad operativa frente al benchmark de la industria minera (INE). | Gestión de Objetivos | Visuales de KPI (MS Learn) || </w:t>
      </w:r>
      <w:r w:rsidDel="00000000" w:rsidR="00000000" w:rsidRPr="00000000">
        <w:rPr>
          <w:b w:val="1"/>
          <w:bCs w:val="1"/>
          <w:rtl w:val="0"/>
        </w:rPr>
        <w:t xml:space="preserve">Pregunta de negocio</w:t>
      </w:r>
      <w:r w:rsidDel="00000000" w:rsidR="00000000" w:rsidRPr="00000000">
        <w:rPr>
          <w:rtl w:val="0"/>
        </w:rPr>
        <w:t xml:space="preserve"> | Punto de partida analítico. | La hipótesis técnica que precede al desarrollo; define qué medidas y dimensiones son necesarias. | "¿Qué correlación existe entre la temperatura del proceso y la falla de potencia (PWF)?" | Estrategia Analítica | Requerimientos de Diseño || </w:t>
      </w:r>
      <w:r w:rsidDel="00000000" w:rsidR="00000000" w:rsidRPr="00000000">
        <w:rPr>
          <w:b w:val="1"/>
          <w:bCs w:val="1"/>
          <w:rtl w:val="0"/>
        </w:rPr>
        <w:t xml:space="preserve">Insight</w:t>
      </w:r>
      <w:r w:rsidDel="00000000" w:rsidR="00000000" w:rsidRPr="00000000">
        <w:rPr>
          <w:rtl w:val="0"/>
        </w:rPr>
        <w:t xml:space="preserve"> | Valor extraído del análisis. | Hallazgo significativo que impulsa una acción correctiva o preventiva en la operación técnica. | Identificación de que el 80% de las fallas OSF ocurren tras 200 minutos de "Tool wear". | Toma de Decisiones | Análisis Avanzado |</w:t>
      </w:r>
    </w:p>
    <w:p w:rsidR="00000000" w:rsidDel="00000000" w:rsidP="00000000" w:rsidRDefault="00000000" w:rsidRPr="00000000" w14:paraId="0000000E">
      <w:pPr>
        <w:pStyle w:val="Heading5"/>
        <w:rPr/>
      </w:pPr>
      <w:bookmarkStart w:colFirst="0" w:colLast="0" w:name="_qre9s9h4122j" w:id="7"/>
      <w:bookmarkEnd w:id="7"/>
      <w:r w:rsidDel="00000000" w:rsidR="00000000" w:rsidRPr="00000000">
        <w:rPr>
          <w:rtl w:val="0"/>
        </w:rPr>
        <w:t xml:space="preserve">Análisis de Rendimiento y Limitaciones Técnicas</w:t>
      </w:r>
    </w:p>
    <w:p w:rsidR="00000000" w:rsidDel="00000000" w:rsidP="00000000" w:rsidRDefault="00000000" w:rsidRPr="00000000" w14:paraId="0000000F">
      <w:pPr>
        <w:rPr/>
      </w:pPr>
      <w:r w:rsidDel="00000000" w:rsidR="00000000" w:rsidRPr="00000000">
        <w:rPr>
          <w:rtl w:val="0"/>
        </w:rPr>
        <w:t xml:space="preserve">Es vital distinguir el uso de  </w:t>
      </w:r>
      <w:r w:rsidDel="00000000" w:rsidR="00000000" w:rsidRPr="00000000">
        <w:rPr>
          <w:b w:val="1"/>
          <w:bCs w:val="1"/>
          <w:rtl w:val="0"/>
        </w:rPr>
        <w:t xml:space="preserve">medidas</w:t>
      </w:r>
      <w:r w:rsidDel="00000000" w:rsidR="00000000" w:rsidRPr="00000000">
        <w:rPr>
          <w:rtl w:val="0"/>
        </w:rPr>
        <w:t xml:space="preserve">  frente a  </w:t>
      </w:r>
      <w:r w:rsidDel="00000000" w:rsidR="00000000" w:rsidRPr="00000000">
        <w:rPr>
          <w:b w:val="1"/>
          <w:bCs w:val="1"/>
          <w:rtl w:val="0"/>
        </w:rPr>
        <w:t xml:space="preserve">columnas calculadas</w:t>
      </w:r>
      <w:r w:rsidDel="00000000" w:rsidR="00000000" w:rsidRPr="00000000">
        <w:rPr>
          <w:rtl w:val="0"/>
        </w:rPr>
        <w:t xml:space="preserve"> . Las medidas son la opción preferida por su eficiencia en el motor VertiPaq. Un error común es usar funciones iteradoras como AVERAGEX en escenarios de  </w:t>
      </w:r>
      <w:r w:rsidDel="00000000" w:rsidR="00000000" w:rsidRPr="00000000">
        <w:rPr>
          <w:b w:val="1"/>
          <w:bCs w:val="1"/>
          <w:rtl w:val="0"/>
        </w:rPr>
        <w:t xml:space="preserve">DirectQuery</w:t>
      </w:r>
      <w:r w:rsidDel="00000000" w:rsidR="00000000" w:rsidRPr="00000000">
        <w:rPr>
          <w:rtl w:val="0"/>
        </w:rPr>
        <w:t xml:space="preserve">  para columnas calculadas o reglas de seguridad (RLS), lo cual  </w:t>
      </w:r>
      <w:r w:rsidDel="00000000" w:rsidR="00000000" w:rsidRPr="00000000">
        <w:rPr>
          <w:b w:val="1"/>
          <w:bCs w:val="1"/>
          <w:rtl w:val="0"/>
        </w:rPr>
        <w:t xml:space="preserve">no está soportado</w:t>
      </w:r>
      <w:r w:rsidDel="00000000" w:rsidR="00000000" w:rsidRPr="00000000">
        <w:rPr>
          <w:rtl w:val="0"/>
        </w:rPr>
        <w:t xml:space="preserve">  técnicamente y generará errores en la arquitectura. Para optimizar modelos complejos, se recomienda el uso de  </w:t>
      </w:r>
      <w:r w:rsidDel="00000000" w:rsidR="00000000" w:rsidRPr="00000000">
        <w:rPr>
          <w:b w:val="1"/>
          <w:bCs w:val="1"/>
          <w:rtl w:val="0"/>
        </w:rPr>
        <w:t xml:space="preserve">Calculation Groups</w:t>
      </w:r>
      <w:r w:rsidDel="00000000" w:rsidR="00000000" w:rsidRPr="00000000">
        <w:rPr>
          <w:rtl w:val="0"/>
        </w:rPr>
        <w:t xml:space="preserve">  para estandarizar cálculos de inteligencia de tiempo (Time Intelligence).</w:t>
      </w:r>
    </w:p>
    <w:p w:rsidR="00000000" w:rsidDel="00000000" w:rsidP="00000000" w:rsidRDefault="00000000" w:rsidRPr="00000000" w14:paraId="00000010">
      <w:pPr>
        <w:pStyle w:val="Heading4"/>
        <w:rPr/>
      </w:pPr>
      <w:bookmarkStart w:colFirst="0" w:colLast="0" w:name="_lm2wrjlc3j7b" w:id="8"/>
      <w:bookmarkEnd w:id="8"/>
      <w:r w:rsidDel="00000000" w:rsidR="00000000" w:rsidRPr="00000000">
        <w:rPr>
          <w:rtl w:val="0"/>
        </w:rPr>
        <w:t xml:space="preserve">5. Modos de Almacenamiento y Conectividad</w:t>
      </w:r>
    </w:p>
    <w:p w:rsidR="00000000" w:rsidDel="00000000" w:rsidP="00000000" w:rsidRDefault="00000000" w:rsidRPr="00000000" w14:paraId="00000011">
      <w:pPr>
        <w:rPr/>
      </w:pPr>
      <w:r w:rsidDel="00000000" w:rsidR="00000000" w:rsidRPr="00000000">
        <w:rPr>
          <w:rtl w:val="0"/>
        </w:rPr>
        <w:t xml:space="preserve">La latencia y el volumen de datos determinan el modo de conectividad. Una elección incorrecta puede degradar la experiencia del usuario o presentar datos desactualizados en procesos críticos.| Término | Definición breve | Explicación profesional | Ejemplo Tech&amp;Eng | Relación | Documentación de Referencia || ------ | ------ | ------ | ------ | ------ | ------ || </w:t>
      </w:r>
      <w:r w:rsidDel="00000000" w:rsidR="00000000" w:rsidRPr="00000000">
        <w:rPr>
          <w:b w:val="1"/>
          <w:bCs w:val="1"/>
          <w:rtl w:val="0"/>
        </w:rPr>
        <w:t xml:space="preserve">Import mode</w:t>
      </w:r>
      <w:r w:rsidDel="00000000" w:rsidR="00000000" w:rsidRPr="00000000">
        <w:rPr>
          <w:rtl w:val="0"/>
        </w:rPr>
        <w:t xml:space="preserve"> | Alta performance en memoria. | Carga y comprime los datos en RAM. Es el modo más rápido y permite el uso total de funciones DAX. | Análisis histórico de la producción de gas natural basado en datos anuales de la EIA. | Motor VertiPaq | Modos de Almacenamiento || </w:t>
      </w:r>
      <w:r w:rsidDel="00000000" w:rsidR="00000000" w:rsidRPr="00000000">
        <w:rPr>
          <w:b w:val="1"/>
          <w:bCs w:val="1"/>
          <w:rtl w:val="0"/>
        </w:rPr>
        <w:t xml:space="preserve">DirectQuery</w:t>
      </w:r>
      <w:r w:rsidDel="00000000" w:rsidR="00000000" w:rsidRPr="00000000">
        <w:rPr>
          <w:rtl w:val="0"/>
        </w:rPr>
        <w:t xml:space="preserve"> | Consulta a la fuente en tiempo real. | Los datos permanecen en el origen. Ideal para escenarios donde la actualización inmediata es crítica. | Monitoreo de demanda en "Balancing Authority Areas" con actualizaciones minuto a minuto. | Latencia Cero | DirectQuery en PBI || </w:t>
      </w:r>
      <w:r w:rsidDel="00000000" w:rsidR="00000000" w:rsidRPr="00000000">
        <w:rPr>
          <w:b w:val="1"/>
          <w:bCs w:val="1"/>
          <w:rtl w:val="0"/>
        </w:rPr>
        <w:t xml:space="preserve">Composite model</w:t>
      </w:r>
      <w:r w:rsidDel="00000000" w:rsidR="00000000" w:rsidRPr="00000000">
        <w:rPr>
          <w:rtl w:val="0"/>
        </w:rPr>
        <w:t xml:space="preserve"> | Arquitectura híbrida. | Permite combinar tablas en Import y DirectQuery en un solo modelo, optimizando rendimiento y frescura. | Datos maestros de sensores en Import y telemetría de eventos críticos en DirectQuery. | Flexibilidad Técnica | Modelos Compuestos |</w:t>
      </w:r>
    </w:p>
    <w:p w:rsidR="00000000" w:rsidDel="00000000" w:rsidP="00000000" w:rsidRDefault="00000000" w:rsidRPr="00000000" w14:paraId="00000012">
      <w:pPr>
        <w:pStyle w:val="Heading5"/>
        <w:rPr/>
      </w:pPr>
      <w:bookmarkStart w:colFirst="0" w:colLast="0" w:name="_29a2foulm99v" w:id="9"/>
      <w:bookmarkEnd w:id="9"/>
      <w:r w:rsidDel="00000000" w:rsidR="00000000" w:rsidRPr="00000000">
        <w:rPr>
          <w:rtl w:val="0"/>
        </w:rPr>
        <w:t xml:space="preserve">Criterio Arquitectónico para Ingeniería</w:t>
      </w:r>
    </w:p>
    <w:p w:rsidR="00000000" w:rsidDel="00000000" w:rsidP="00000000" w:rsidRDefault="00000000" w:rsidRPr="00000000" w14:paraId="00000013">
      <w:pPr>
        <w:rPr/>
      </w:pPr>
      <w:r w:rsidDel="00000000" w:rsidR="00000000" w:rsidRPr="00000000">
        <w:rPr>
          <w:rtl w:val="0"/>
        </w:rPr>
        <w:t xml:space="preserve">Un ingeniero de datos debe optar por  </w:t>
      </w:r>
      <w:r w:rsidDel="00000000" w:rsidR="00000000" w:rsidRPr="00000000">
        <w:rPr>
          <w:b w:val="1"/>
          <w:bCs w:val="1"/>
          <w:rtl w:val="0"/>
        </w:rPr>
        <w:t xml:space="preserve">DirectQuery</w:t>
      </w:r>
      <w:r w:rsidDel="00000000" w:rsidR="00000000" w:rsidRPr="00000000">
        <w:rPr>
          <w:rtl w:val="0"/>
        </w:rPr>
        <w:t xml:space="preserve">  exclusivamente cuando la volatilidad de la fuente no permite ventanas de actualización (ej. monitoreo de estabilidad de red eléctrica). En la mayoría de los casos analíticos, el  </w:t>
      </w:r>
      <w:r w:rsidDel="00000000" w:rsidR="00000000" w:rsidRPr="00000000">
        <w:rPr>
          <w:b w:val="1"/>
          <w:bCs w:val="1"/>
          <w:rtl w:val="0"/>
        </w:rPr>
        <w:t xml:space="preserve">Import mode</w:t>
      </w:r>
      <w:r w:rsidDel="00000000" w:rsidR="00000000" w:rsidRPr="00000000">
        <w:rPr>
          <w:rtl w:val="0"/>
        </w:rPr>
        <w:t xml:space="preserve">  es superior debido a su capacidad de compresión y velocidad de respuesta en visuales complejos.</w:t>
      </w:r>
    </w:p>
    <w:p w:rsidR="00000000" w:rsidDel="00000000" w:rsidP="00000000" w:rsidRDefault="00000000" w:rsidRPr="00000000" w14:paraId="00000014">
      <w:pPr>
        <w:pStyle w:val="Heading4"/>
        <w:rPr/>
      </w:pPr>
      <w:bookmarkStart w:colFirst="0" w:colLast="0" w:name="_8xywjconomla" w:id="10"/>
      <w:bookmarkEnd w:id="10"/>
      <w:r w:rsidDel="00000000" w:rsidR="00000000" w:rsidRPr="00000000">
        <w:rPr>
          <w:rtl w:val="0"/>
        </w:rPr>
        <w:t xml:space="preserve">6. Inteligencia Artificial y Flujos Asistidos</w:t>
      </w:r>
    </w:p>
    <w:p w:rsidR="00000000" w:rsidDel="00000000" w:rsidP="00000000" w:rsidRDefault="00000000" w:rsidRPr="00000000" w14:paraId="00000015">
      <w:pPr>
        <w:rPr/>
      </w:pPr>
      <w:r w:rsidDel="00000000" w:rsidR="00000000" w:rsidRPr="00000000">
        <w:rPr>
          <w:rtl w:val="0"/>
        </w:rPr>
        <w:t xml:space="preserve">La integración de IA generativa y herramientas asistidas está transformando al arquitecto de BI en un "Orquestador de Prompts", reduciendo drásticamente el tiempo de desarrollo de lógica compleja.| Término | Definición breve | Explicación profesional | Ejemplo Tech&amp;Eng | Relación | Documentación de Referencia || ------ | ------ | ------ | ------ | ------ | ------ || </w:t>
      </w:r>
      <w:r w:rsidDel="00000000" w:rsidR="00000000" w:rsidRPr="00000000">
        <w:rPr>
          <w:b w:val="1"/>
          <w:bCs w:val="1"/>
          <w:rtl w:val="0"/>
        </w:rPr>
        <w:t xml:space="preserve">Microsoft Copilot</w:t>
      </w:r>
      <w:r w:rsidDel="00000000" w:rsidR="00000000" w:rsidRPr="00000000">
        <w:rPr>
          <w:rtl w:val="0"/>
        </w:rPr>
        <w:t xml:space="preserve"> | Asistente de IA integrado. | Herramienta nativa para generar DAX, resúmenes de insights y layouts de informes mediante lenguaje natural. | "Crea una medida que calcule la desviación estándar de la velocidad rotacional (rpm)". | Productividad / IA | Copilot en Power BI || </w:t>
      </w:r>
      <w:r w:rsidDel="00000000" w:rsidR="00000000" w:rsidRPr="00000000">
        <w:rPr>
          <w:b w:val="1"/>
          <w:bCs w:val="1"/>
          <w:rtl w:val="0"/>
        </w:rPr>
        <w:t xml:space="preserve">Power BI Q&amp;A</w:t>
      </w:r>
      <w:r w:rsidDel="00000000" w:rsidR="00000000" w:rsidRPr="00000000">
        <w:rPr>
          <w:rtl w:val="0"/>
        </w:rPr>
        <w:t xml:space="preserve"> | Consulta en lenguaje natural. | Interfaz que permite al usuario final interrogar al modelo de datos sin conocer DAX o SQL. | Usuario pregunta: "¿Cuál fue el torque máximo por tipo de producto en la última semana?" | UX Intuitiva | Q&amp;A para Diseñadores || </w:t>
      </w:r>
      <w:r w:rsidDel="00000000" w:rsidR="00000000" w:rsidRPr="00000000">
        <w:rPr>
          <w:b w:val="1"/>
          <w:bCs w:val="1"/>
          <w:rtl w:val="0"/>
        </w:rPr>
        <w:t xml:space="preserve">LLMs (ChatGPT/Claude)</w:t>
      </w:r>
      <w:r w:rsidDel="00000000" w:rsidR="00000000" w:rsidRPr="00000000">
        <w:rPr>
          <w:rtl w:val="0"/>
        </w:rPr>
        <w:t xml:space="preserve"> | Copilotos externos de lógica. | Modelos de lenguaje utilizados para depurar scripts de Power Query (M) o estructurar lógicas DAX avanzadas. | Solicitar la explicación y optimización de una fórmula DAX iteradora con múltiples filtros. | Depuración de Código | IA Externa || </w:t>
      </w:r>
      <w:r w:rsidDel="00000000" w:rsidR="00000000" w:rsidRPr="00000000">
        <w:rPr>
          <w:b w:val="1"/>
          <w:bCs w:val="1"/>
          <w:rtl w:val="0"/>
        </w:rPr>
        <w:t xml:space="preserve">Prompt</w:t>
      </w:r>
      <w:r w:rsidDel="00000000" w:rsidR="00000000" w:rsidRPr="00000000">
        <w:rPr>
          <w:rtl w:val="0"/>
        </w:rPr>
        <w:t xml:space="preserve"> | Instrucción técnica optimizada. | Comando estructurado que proporciona contexto y formato esperado a la IA para obtener resultados precisos. | "Actúa como experto en DAX y genera una medida de promedio móvil de 7 días para la temperatura". | Prompt Engineering | IA Asistida || </w:t>
      </w:r>
      <w:r w:rsidDel="00000000" w:rsidR="00000000" w:rsidRPr="00000000">
        <w:rPr>
          <w:b w:val="1"/>
          <w:bCs w:val="1"/>
          <w:rtl w:val="0"/>
        </w:rPr>
        <w:t xml:space="preserve">IA asistida</w:t>
      </w:r>
      <w:r w:rsidDel="00000000" w:rsidR="00000000" w:rsidRPr="00000000">
        <w:rPr>
          <w:rtl w:val="0"/>
        </w:rPr>
        <w:t xml:space="preserve"> | Humano-en-el-bucle. | Enfoque donde la IA propone soluciones y el arquitecto valida la precisión técnica y la seguridad de los datos. | Validación de un "AI Split" en un árbol de descomposición para análisis de causa raíz. | Supervisión Técnica | Root Cause Analysis |</w:t>
      </w:r>
    </w:p>
    <w:p w:rsidR="00000000" w:rsidDel="00000000" w:rsidP="00000000" w:rsidRDefault="00000000" w:rsidRPr="00000000" w14:paraId="00000016">
      <w:pPr>
        <w:pStyle w:val="Heading5"/>
        <w:rPr/>
      </w:pPr>
      <w:bookmarkStart w:colFirst="0" w:colLast="0" w:name="_bjxpry10lt8o" w:id="11"/>
      <w:bookmarkEnd w:id="11"/>
      <w:r w:rsidDel="00000000" w:rsidR="00000000" w:rsidRPr="00000000">
        <w:rPr>
          <w:rtl w:val="0"/>
        </w:rPr>
        <w:t xml:space="preserve">Evaluación del Prompt Engineering en Tech&amp;Eng</w:t>
      </w:r>
    </w:p>
    <w:p w:rsidR="00000000" w:rsidDel="00000000" w:rsidP="00000000" w:rsidRDefault="00000000" w:rsidRPr="00000000" w14:paraId="00000017">
      <w:pPr>
        <w:rPr/>
      </w:pPr>
      <w:r w:rsidDel="00000000" w:rsidR="00000000" w:rsidRPr="00000000">
        <w:rPr>
          <w:rtl w:val="0"/>
        </w:rPr>
        <w:t xml:space="preserve">El  </w:t>
      </w:r>
      <w:r w:rsidDel="00000000" w:rsidR="00000000" w:rsidRPr="00000000">
        <w:rPr>
          <w:b w:val="1"/>
          <w:bCs w:val="1"/>
          <w:rtl w:val="0"/>
        </w:rPr>
        <w:t xml:space="preserve">Prompt Engineering</w:t>
      </w:r>
      <w:r w:rsidDel="00000000" w:rsidR="00000000" w:rsidRPr="00000000">
        <w:rPr>
          <w:rtl w:val="0"/>
        </w:rPr>
        <w:t xml:space="preserve">  es una competencia crítica para automatizar tareas repetitivas. Un prompt bien diseñado puede generar transformaciones en Power Query que de otro modo requerirían horas de codificación manual. Sin embargo, el arquitecto siempre debe validar que la salida de la IA no ignore las limitaciones técnicas (como la restricción de AVERAGEX en DirectQuery) ni comprometa la gobernanza del dato.</w:t>
      </w:r>
    </w:p>
    <w:p w:rsidR="00000000" w:rsidDel="00000000" w:rsidP="00000000" w:rsidRDefault="00000000" w:rsidRPr="00000000" w14:paraId="00000018">
      <w:pPr>
        <w:pStyle w:val="Heading4"/>
        <w:rPr/>
      </w:pPr>
      <w:bookmarkStart w:colFirst="0" w:colLast="0" w:name="_1fdjmz9iq6r7" w:id="12"/>
      <w:bookmarkEnd w:id="12"/>
      <w:r w:rsidDel="00000000" w:rsidR="00000000" w:rsidRPr="00000000">
        <w:rPr>
          <w:rtl w:val="0"/>
        </w:rPr>
        <w:t xml:space="preserve">7. Referencias y Bibliografía Estricta</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Microsoft Learn (2024-2026):</w:t>
      </w:r>
      <w:r w:rsidDel="00000000" w:rsidR="00000000" w:rsidRPr="00000000">
        <w:rPr>
          <w:rtl w:val="0"/>
        </w:rPr>
        <w:t xml:space="preserve">  Documentación oficial sobre  </w:t>
      </w:r>
      <w:r w:rsidDel="00000000" w:rsidR="00000000" w:rsidRPr="00000000">
        <w:rPr>
          <w:i w:val="1"/>
          <w:iCs w:val="1"/>
          <w:rtl w:val="0"/>
        </w:rPr>
        <w:t xml:space="preserve">DAX Reference (AVERAGEX)</w:t>
      </w:r>
      <w:r w:rsidDel="00000000" w:rsidR="00000000" w:rsidRPr="00000000">
        <w:rPr>
          <w:rtl w:val="0"/>
        </w:rPr>
        <w:t xml:space="preserve"> ,  </w:t>
      </w:r>
      <w:r w:rsidDel="00000000" w:rsidR="00000000" w:rsidRPr="00000000">
        <w:rPr>
          <w:i w:val="1"/>
          <w:iCs w:val="1"/>
          <w:rtl w:val="0"/>
        </w:rPr>
        <w:t xml:space="preserve">Best practices for mobile-optimized reports</w:t>
      </w:r>
      <w:r w:rsidDel="00000000" w:rsidR="00000000" w:rsidRPr="00000000">
        <w:rPr>
          <w:rtl w:val="0"/>
        </w:rPr>
        <w:t xml:space="preserve">  (323pt constraint), y  </w:t>
      </w:r>
      <w:r w:rsidDel="00000000" w:rsidR="00000000" w:rsidRPr="00000000">
        <w:rPr>
          <w:i w:val="1"/>
          <w:iCs w:val="1"/>
          <w:rtl w:val="0"/>
        </w:rPr>
        <w:t xml:space="preserve">Row-level security (RLS) guidance</w:t>
      </w:r>
      <w:r w:rsidDel="00000000" w:rsidR="00000000" w:rsidRPr="00000000">
        <w:rPr>
          <w:rtl w:val="0"/>
        </w:rPr>
        <w:t xml:space="preserve"> .</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UCI Machine Learning Repository (2020):</w:t>
      </w:r>
      <w:r w:rsidDel="00000000" w:rsidR="00000000" w:rsidRPr="00000000">
        <w:rPr>
          <w:rtl w:val="0"/>
        </w:rPr>
        <w:t xml:space="preserve">   </w:t>
      </w:r>
      <w:r w:rsidDel="00000000" w:rsidR="00000000" w:rsidRPr="00000000">
        <w:rPr>
          <w:i w:val="1"/>
          <w:iCs w:val="1"/>
          <w:rtl w:val="0"/>
        </w:rPr>
        <w:t xml:space="preserve">AI4I 2020 Predictive Maintenance Dataset</w:t>
      </w:r>
      <w:r w:rsidDel="00000000" w:rsidR="00000000" w:rsidRPr="00000000">
        <w:rPr>
          <w:rtl w:val="0"/>
        </w:rPr>
        <w:t xml:space="preserve"> . Autor: S. Matzka. Licencia CC BY 4.0. (Códigos de falla: HDF, PWF, OSF, RNF).</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U.S. Energy Information Administration (EIA):</w:t>
      </w:r>
      <w:r w:rsidDel="00000000" w:rsidR="00000000" w:rsidRPr="00000000">
        <w:rPr>
          <w:rtl w:val="0"/>
        </w:rPr>
        <w:t xml:space="preserve">  Documentación de  </w:t>
      </w:r>
      <w:r w:rsidDel="00000000" w:rsidR="00000000" w:rsidRPr="00000000">
        <w:rPr>
          <w:i w:val="1"/>
          <w:iCs w:val="1"/>
          <w:rtl w:val="0"/>
        </w:rPr>
        <w:t xml:space="preserve">Open Data API v2</w:t>
      </w:r>
      <w:r w:rsidDel="00000000" w:rsidR="00000000" w:rsidRPr="00000000">
        <w:rPr>
          <w:rtl w:val="0"/>
        </w:rPr>
        <w:t xml:space="preserve">  y estructuras de  </w:t>
      </w:r>
      <w:r w:rsidDel="00000000" w:rsidR="00000000" w:rsidRPr="00000000">
        <w:rPr>
          <w:i w:val="1"/>
          <w:iCs w:val="1"/>
          <w:rtl w:val="0"/>
        </w:rPr>
        <w:t xml:space="preserve">Balancing Authority Areas</w:t>
      </w:r>
      <w:r w:rsidDel="00000000" w:rsidR="00000000" w:rsidRPr="00000000">
        <w:rPr>
          <w:rtl w:val="0"/>
        </w:rPr>
        <w:t xml:space="preserve"> .</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Instituto Nacional de Estadísticas (INE Chile):</w:t>
      </w:r>
      <w:r w:rsidDel="00000000" w:rsidR="00000000" w:rsidRPr="00000000">
        <w:rPr>
          <w:rtl w:val="0"/>
        </w:rPr>
        <w:t xml:space="preserve">  Metodología de Indicadores de Producción Industrial (IPI) y Minería.</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Microsoft Build (2026):</w:t>
      </w:r>
      <w:r w:rsidDel="00000000" w:rsidR="00000000" w:rsidRPr="00000000">
        <w:rPr>
          <w:rtl w:val="0"/>
        </w:rPr>
        <w:t xml:space="preserve">  Sesiones técnicas sobre integración de  </w:t>
      </w:r>
      <w:r w:rsidDel="00000000" w:rsidR="00000000" w:rsidRPr="00000000">
        <w:rPr>
          <w:i w:val="1"/>
          <w:iCs w:val="1"/>
          <w:rtl w:val="0"/>
        </w:rPr>
        <w:t xml:space="preserve">Copilot</w:t>
      </w:r>
      <w:r w:rsidDel="00000000" w:rsidR="00000000" w:rsidRPr="00000000">
        <w:rPr>
          <w:rtl w:val="0"/>
        </w:rPr>
        <w:t xml:space="preserve">  y  </w:t>
      </w:r>
      <w:r w:rsidDel="00000000" w:rsidR="00000000" w:rsidRPr="00000000">
        <w:rPr>
          <w:i w:val="1"/>
          <w:iCs w:val="1"/>
          <w:rtl w:val="0"/>
        </w:rPr>
        <w:t xml:space="preserve">Calculation Groups</w:t>
      </w:r>
      <w:r w:rsidDel="00000000" w:rsidR="00000000" w:rsidRPr="00000000">
        <w:rPr>
          <w:rtl w:val="0"/>
        </w:rPr>
        <w:t xml:space="preserve">  en modelos semánticos.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