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4x5a5tgxj7o" w:id="0"/>
      <w:bookmarkEnd w:id="0"/>
      <w:r w:rsidDel="00000000" w:rsidR="00000000" w:rsidRPr="00000000">
        <w:rPr>
          <w:rtl w:val="0"/>
        </w:rPr>
        <w:t xml:space="preserve">Módulo 1: Arquitectura Analítica y Recap Power BI</w:t>
      </w:r>
    </w:p>
    <w:p w:rsidR="00000000" w:rsidDel="00000000" w:rsidP="00000000" w:rsidRDefault="00000000" w:rsidRPr="00000000" w14:paraId="00000002">
      <w:pPr>
        <w:rPr/>
      </w:pPr>
      <w:r w:rsidDel="00000000" w:rsidR="00000000" w:rsidRPr="00000000">
        <w:rPr>
          <w:rtl w:val="0"/>
        </w:rPr>
        <w:t xml:space="preserve">Como Arquitecto Senior de Soluciones BI, mi enfoque trasciende la simple creación de tableros; nos centramos en la ingeniería de un ecosistema semántico robusto. Para un profesional en áreas técnicas y de ingeniería, Power BI debe ser entendido como un motor de decisiones críticas donde la integridad del dato y la eficiencia del modelo son los pilares. En este módulo, estableceremos la base estructural para transformar datos crudos en activos estratégicos, asegurando que cada componente de la arquitectura soporte el escalado y la gobernanza institucional.</w:t>
      </w:r>
    </w:p>
    <w:p w:rsidR="00000000" w:rsidDel="00000000" w:rsidP="00000000" w:rsidRDefault="00000000" w:rsidRPr="00000000" w14:paraId="00000003">
      <w:pPr>
        <w:pStyle w:val="Heading4"/>
        <w:rPr/>
      </w:pPr>
      <w:bookmarkStart w:colFirst="0" w:colLast="0" w:name="_7wue2ad9j0xr" w:id="1"/>
      <w:bookmarkEnd w:id="1"/>
      <w:r w:rsidDel="00000000" w:rsidR="00000000" w:rsidRPr="00000000">
        <w:rPr>
          <w:rtl w:val="0"/>
        </w:rPr>
        <w:t xml:space="preserve">1. Título y objetivo de la sesión</w:t>
      </w:r>
    </w:p>
    <w:p w:rsidR="00000000" w:rsidDel="00000000" w:rsidP="00000000" w:rsidRDefault="00000000" w:rsidRPr="00000000" w14:paraId="00000004">
      <w:pPr>
        <w:rPr/>
      </w:pPr>
      <w:r w:rsidDel="00000000" w:rsidR="00000000" w:rsidRPr="00000000">
        <w:rPr>
          <w:rtl w:val="0"/>
        </w:rPr>
        <w:t xml:space="preserve">La transición de reportes aislados a ecosistemas de decisión dinámicos requiere una mentalidad de arquitecto. No diseñamos visuales; construimos tuberías de información que deben ser resistentes, precisas y alineadas con los objetivos técnicos de la organización. Este primer paso es fundamental para nivelar el conocimiento técnico antes de profundizar en la lógica avanzada.</w:t>
      </w:r>
    </w:p>
    <w:p w:rsidR="00000000" w:rsidDel="00000000" w:rsidP="00000000" w:rsidRDefault="00000000" w:rsidRPr="00000000" w14:paraId="00000005">
      <w:pPr>
        <w:numPr>
          <w:ilvl w:val="0"/>
          <w:numId w:val="7"/>
        </w:numPr>
        <w:ind w:left="720" w:hanging="360"/>
        <w:rPr>
          <w:u w:val="none"/>
        </w:rPr>
      </w:pPr>
      <w:r w:rsidDel="00000000" w:rsidR="00000000" w:rsidRPr="00000000">
        <w:rPr>
          <w:b w:val="1"/>
          <w:bCs w:val="1"/>
          <w:rtl w:val="0"/>
        </w:rPr>
        <w:t xml:space="preserve">Número:</w:t>
      </w:r>
      <w:r w:rsidDel="00000000" w:rsidR="00000000" w:rsidRPr="00000000">
        <w:rPr>
          <w:rtl w:val="0"/>
        </w:rPr>
        <w:t xml:space="preserve">  1</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Título:</w:t>
      </w:r>
      <w:r w:rsidDel="00000000" w:rsidR="00000000" w:rsidRPr="00000000">
        <w:rPr>
          <w:rtl w:val="0"/>
        </w:rPr>
        <w:t xml:space="preserve">  Módulo 1: Arquitectura Analítica y Recap Power BI.</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Comprender la transición de reportes estáticos a ecosistemas de decisión dinámicos.</w:t>
      </w:r>
    </w:p>
    <w:p w:rsidR="00000000" w:rsidDel="00000000" w:rsidP="00000000" w:rsidRDefault="00000000" w:rsidRPr="00000000" w14:paraId="00000008">
      <w:pPr>
        <w:numPr>
          <w:ilvl w:val="0"/>
          <w:numId w:val="7"/>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La arquitectura sólida es el prerrequisito para la analítica avanzada.</w:t>
      </w:r>
    </w:p>
    <w:p w:rsidR="00000000" w:rsidDel="00000000" w:rsidP="00000000" w:rsidRDefault="00000000" w:rsidRPr="00000000" w14:paraId="00000009">
      <w:pPr>
        <w:numPr>
          <w:ilvl w:val="0"/>
          <w:numId w:val="7"/>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0A">
      <w:pPr>
        <w:numPr>
          <w:ilvl w:val="0"/>
          <w:numId w:val="7"/>
        </w:numPr>
        <w:ind w:left="720" w:hanging="360"/>
        <w:rPr>
          <w:u w:val="none"/>
        </w:rPr>
      </w:pPr>
      <w:r w:rsidDel="00000000" w:rsidR="00000000" w:rsidRPr="00000000">
        <w:rPr>
          <w:rtl w:val="0"/>
        </w:rPr>
        <w:t xml:space="preserve">Visión general de la especialización intermedia: del dato al conocimiento.</w:t>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Alcance del Módulo 1: fundamentos arquitectónicos y flujo de trabajo.</w:t>
      </w:r>
    </w:p>
    <w:p w:rsidR="00000000" w:rsidDel="00000000" w:rsidP="00000000" w:rsidRDefault="00000000" w:rsidRPr="00000000" w14:paraId="0000000C">
      <w:pPr>
        <w:numPr>
          <w:ilvl w:val="0"/>
          <w:numId w:val="7"/>
        </w:numPr>
        <w:ind w:left="720" w:hanging="360"/>
        <w:rPr>
          <w:u w:val="none"/>
        </w:rPr>
      </w:pPr>
      <w:r w:rsidDel="00000000" w:rsidR="00000000" w:rsidRPr="00000000">
        <w:rPr>
          <w:rtl w:val="0"/>
        </w:rPr>
        <w:t xml:space="preserve">La arquitectura como factor crítico de éxito en perfiles Tech &amp; Eng.</w:t>
      </w:r>
    </w:p>
    <w:p w:rsidR="00000000" w:rsidDel="00000000" w:rsidP="00000000" w:rsidRDefault="00000000" w:rsidRPr="00000000" w14:paraId="0000000D">
      <w:pPr>
        <w:numPr>
          <w:ilvl w:val="0"/>
          <w:numId w:val="7"/>
        </w:numPr>
        <w:ind w:left="720" w:hanging="360"/>
        <w:rPr>
          <w:u w:val="none"/>
        </w:rPr>
      </w:pPr>
      <w:r w:rsidDel="00000000" w:rsidR="00000000" w:rsidRPr="00000000">
        <w:rPr>
          <w:rtl w:val="0"/>
        </w:rPr>
        <w:t xml:space="preserve">Hoja de ruta técnica hacia el proyecto final de mantenimiento predictivo.</w:t>
      </w:r>
    </w:p>
    <w:p w:rsidR="00000000" w:rsidDel="00000000" w:rsidP="00000000" w:rsidRDefault="00000000" w:rsidRPr="00000000" w14:paraId="0000000E">
      <w:pPr>
        <w:numPr>
          <w:ilvl w:val="0"/>
          <w:numId w:val="7"/>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Un "Roadmap" o línea de tiempo que conecte los 6 módulos de la especialización, destacando la interdependencia entre ellos.</w:t>
      </w:r>
    </w:p>
    <w:p w:rsidR="00000000" w:rsidDel="00000000" w:rsidP="00000000" w:rsidRDefault="00000000" w:rsidRPr="00000000" w14:paraId="0000000F">
      <w:pPr>
        <w:numPr>
          <w:ilvl w:val="0"/>
          <w:numId w:val="7"/>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Bienvenidos. Esta sesión redefine Power BI como una plataforma de ingeniería. La meta hoy es asegurar que todos comprendan cómo la estructura del modelo impacta directamente en la capacidad de la organización para tomar decisiones informadas.</w:t>
      </w:r>
    </w:p>
    <w:p w:rsidR="00000000" w:rsidDel="00000000" w:rsidP="00000000" w:rsidRDefault="00000000" w:rsidRPr="00000000" w14:paraId="00000010">
      <w:pPr>
        <w:numPr>
          <w:ilvl w:val="0"/>
          <w:numId w:val="7"/>
        </w:numPr>
        <w:ind w:left="720" w:hanging="360"/>
        <w:rPr>
          <w:u w:val="none"/>
        </w:rPr>
      </w:pPr>
      <w:r w:rsidDel="00000000" w:rsidR="00000000" w:rsidRPr="00000000">
        <w:rPr>
          <w:b w:val="1"/>
          <w:bCs w:val="1"/>
          <w:rtl w:val="0"/>
        </w:rPr>
        <w:t xml:space="preserve">Fuente:</w:t>
      </w:r>
      <w:r w:rsidDel="00000000" w:rsidR="00000000" w:rsidRPr="00000000">
        <w:rPr>
          <w:rtl w:val="0"/>
        </w:rPr>
        <w:t xml:space="preserve">  Basado en la estructura de la Especialización Intermedia.</w:t>
      </w:r>
    </w:p>
    <w:p w:rsidR="00000000" w:rsidDel="00000000" w:rsidP="00000000" w:rsidRDefault="00000000" w:rsidRPr="00000000" w14:paraId="00000011">
      <w:pPr>
        <w:numPr>
          <w:ilvl w:val="0"/>
          <w:numId w:val="7"/>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"Para entender hacia dónde vamos, primero debemos entender el valor real que aportamos al negocio mediante decisiones basadas en datos".</w:t>
      </w:r>
    </w:p>
    <w:p w:rsidR="00000000" w:rsidDel="00000000" w:rsidP="00000000" w:rsidRDefault="00000000" w:rsidRPr="00000000" w14:paraId="00000012">
      <w:pPr>
        <w:pStyle w:val="Heading4"/>
        <w:rPr/>
      </w:pPr>
      <w:bookmarkStart w:colFirst="0" w:colLast="0" w:name="_ogpdmhq3rxmb" w:id="2"/>
      <w:bookmarkEnd w:id="2"/>
      <w:r w:rsidDel="00000000" w:rsidR="00000000" w:rsidRPr="00000000">
        <w:rPr>
          <w:rtl w:val="0"/>
        </w:rPr>
        <w:t xml:space="preserve">2. El Valor del Dato: De la Visualización a la Decisión</w:t>
      </w:r>
    </w:p>
    <w:p w:rsidR="00000000" w:rsidDel="00000000" w:rsidP="00000000" w:rsidRDefault="00000000" w:rsidRPr="00000000" w14:paraId="00000013">
      <w:pPr>
        <w:rPr/>
      </w:pPr>
      <w:r w:rsidDel="00000000" w:rsidR="00000000" w:rsidRPr="00000000">
        <w:rPr>
          <w:rtl w:val="0"/>
        </w:rPr>
        <w:t xml:space="preserve">La visualización sin propósito es un gasto ineficiente de recursos computacionales y humanos. Un reporte técnico exitoso no se evalúa por su estética, sino por la efectividad de la decisión que facilita. Debemos transformar el dato en una narrativa técnica que reduzca la carga cognitiva del usuario final.</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Número:</w:t>
      </w:r>
      <w:r w:rsidDel="00000000" w:rsidR="00000000" w:rsidRPr="00000000">
        <w:rPr>
          <w:rtl w:val="0"/>
        </w:rPr>
        <w:t xml:space="preserve">  2</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Título:</w:t>
      </w:r>
      <w:r w:rsidDel="00000000" w:rsidR="00000000" w:rsidRPr="00000000">
        <w:rPr>
          <w:rtl w:val="0"/>
        </w:rPr>
        <w:t xml:space="preserve">  El Valor del Dato: De la Visualización a la Decisión.</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Identificar la audiencia y los tipos de reporte según la necesidad de negocio.</w:t>
      </w:r>
    </w:p>
    <w:p w:rsidR="00000000" w:rsidDel="00000000" w:rsidP="00000000" w:rsidRDefault="00000000" w:rsidRPr="00000000" w14:paraId="00000017">
      <w:pPr>
        <w:numPr>
          <w:ilvl w:val="0"/>
          <w:numId w:val="2"/>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Un reporte exitoso se mide por la decisión que facilita, no por su estética.</w:t>
      </w:r>
    </w:p>
    <w:p w:rsidR="00000000" w:rsidDel="00000000" w:rsidP="00000000" w:rsidRDefault="00000000" w:rsidRPr="00000000" w14:paraId="00000018">
      <w:pPr>
        <w:numPr>
          <w:ilvl w:val="0"/>
          <w:numId w:val="2"/>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Identificación de la audiencia: Business User (monitoreo) vs. Data Analyst (exploración profunda).</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Selección de métricas: de datos operativos a indicadores clave para decisiones informadas.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Técnicas de storytelling para resaltar hallazgos técnicos críticos.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Diseño centrado en la experiencia del usuario (UX) para optimizar el flujo de análisis.</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Un diagrama de flujo que conecte "Dato Crudo" -&gt; "Información Analizada" -&gt; "Decisión Basada en Datos".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El diseño efectivo comienza con la audiencia. Como arquitectos, nuestra misión es que el usuario encuentre la respuesta a su pregunta técnica en segundos, eliminando el ruido visual y priorizando los hallazgos significativos.</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Fuente:</w:t>
      </w:r>
      <w:r w:rsidDel="00000000" w:rsidR="00000000" w:rsidRPr="00000000">
        <w:rPr>
          <w:rtl w:val="0"/>
        </w:rPr>
        <w:t xml:space="preserve">  "Design effective reports in Power BI - Training | Microsoft Learn".</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"Esta transición de visual a decisión requiere un proceso estructurado: el ciclo analítico".</w:t>
      </w:r>
    </w:p>
    <w:p w:rsidR="00000000" w:rsidDel="00000000" w:rsidP="00000000" w:rsidRDefault="00000000" w:rsidRPr="00000000" w14:paraId="00000021">
      <w:pPr>
        <w:pStyle w:val="Heading4"/>
        <w:rPr/>
      </w:pPr>
      <w:bookmarkStart w:colFirst="0" w:colLast="0" w:name="_m9slbgqspwma" w:id="3"/>
      <w:bookmarkEnd w:id="3"/>
      <w:r w:rsidDel="00000000" w:rsidR="00000000" w:rsidRPr="00000000">
        <w:rPr>
          <w:rtl w:val="0"/>
        </w:rPr>
        <w:t xml:space="preserve">3. El Pipeline Analítico en Power BI</w:t>
      </w:r>
    </w:p>
    <w:p w:rsidR="00000000" w:rsidDel="00000000" w:rsidP="00000000" w:rsidRDefault="00000000" w:rsidRPr="00000000" w14:paraId="00000022">
      <w:pPr>
        <w:rPr/>
      </w:pPr>
      <w:r w:rsidDel="00000000" w:rsidR="00000000" w:rsidRPr="00000000">
        <w:rPr>
          <w:rtl w:val="0"/>
        </w:rPr>
        <w:t xml:space="preserve">Desde la perspectiva de ingeniería, Power BI es un pipeline integrado. Cada fase del flujo, desde la ingesta con Power Query hasta la colaboración en la nube, debe tratarse como un proceso de manufactura de datos donde la calidad en cada paso garantiza la confiabilidad del producto final.</w:t>
      </w:r>
    </w:p>
    <w:p w:rsidR="00000000" w:rsidDel="00000000" w:rsidP="00000000" w:rsidRDefault="00000000" w:rsidRPr="00000000" w14:paraId="00000023">
      <w:pPr>
        <w:numPr>
          <w:ilvl w:val="0"/>
          <w:numId w:val="8"/>
        </w:numPr>
        <w:ind w:left="720" w:hanging="360"/>
        <w:rPr>
          <w:u w:val="none"/>
        </w:rPr>
      </w:pPr>
      <w:r w:rsidDel="00000000" w:rsidR="00000000" w:rsidRPr="00000000">
        <w:rPr>
          <w:b w:val="1"/>
          <w:bCs w:val="1"/>
          <w:rtl w:val="0"/>
        </w:rPr>
        <w:t xml:space="preserve">Número:</w:t>
      </w:r>
      <w:r w:rsidDel="00000000" w:rsidR="00000000" w:rsidRPr="00000000">
        <w:rPr>
          <w:rtl w:val="0"/>
        </w:rPr>
        <w:t xml:space="preserve">  3</w:t>
      </w:r>
    </w:p>
    <w:p w:rsidR="00000000" w:rsidDel="00000000" w:rsidP="00000000" w:rsidRDefault="00000000" w:rsidRPr="00000000" w14:paraId="00000024">
      <w:pPr>
        <w:numPr>
          <w:ilvl w:val="0"/>
          <w:numId w:val="8"/>
        </w:numPr>
        <w:ind w:left="720" w:hanging="360"/>
        <w:rPr>
          <w:u w:val="none"/>
        </w:rPr>
      </w:pPr>
      <w:r w:rsidDel="00000000" w:rsidR="00000000" w:rsidRPr="00000000">
        <w:rPr>
          <w:b w:val="1"/>
          <w:bCs w:val="1"/>
          <w:rtl w:val="0"/>
        </w:rPr>
        <w:t xml:space="preserve">Título:</w:t>
      </w:r>
      <w:r w:rsidDel="00000000" w:rsidR="00000000" w:rsidRPr="00000000">
        <w:rPr>
          <w:rtl w:val="0"/>
        </w:rPr>
        <w:t xml:space="preserve">  El Pipeline Analítico en Power BI.</w:t>
      </w:r>
    </w:p>
    <w:p w:rsidR="00000000" w:rsidDel="00000000" w:rsidP="00000000" w:rsidRDefault="00000000" w:rsidRPr="00000000" w14:paraId="00000025">
      <w:pPr>
        <w:numPr>
          <w:ilvl w:val="0"/>
          <w:numId w:val="8"/>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Visualizar el flujo de datos desde el origen hasta el Power BI Service.</w:t>
      </w:r>
    </w:p>
    <w:p w:rsidR="00000000" w:rsidDel="00000000" w:rsidP="00000000" w:rsidRDefault="00000000" w:rsidRPr="00000000" w14:paraId="00000026">
      <w:pPr>
        <w:numPr>
          <w:ilvl w:val="0"/>
          <w:numId w:val="8"/>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Power BI es un ecosistema integrado, no solo una aplicación de escritorio.</w:t>
      </w:r>
    </w:p>
    <w:p w:rsidR="00000000" w:rsidDel="00000000" w:rsidP="00000000" w:rsidRDefault="00000000" w:rsidRPr="00000000" w14:paraId="00000027">
      <w:pPr>
        <w:numPr>
          <w:ilvl w:val="0"/>
          <w:numId w:val="8"/>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Ingesta y limpieza: el motor Power Query para el tratamiento de datos técnicos.</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Modelado Semántico: la importancia del Star Schema para el rendimiento y mantenimiento.</w:t>
      </w:r>
    </w:p>
    <w:p w:rsidR="00000000" w:rsidDel="00000000" w:rsidP="00000000" w:rsidRDefault="00000000" w:rsidRPr="00000000" w14:paraId="0000002A">
      <w:pPr>
        <w:numPr>
          <w:ilvl w:val="0"/>
          <w:numId w:val="8"/>
        </w:numPr>
        <w:ind w:left="720" w:hanging="360"/>
        <w:rPr>
          <w:u w:val="none"/>
        </w:rPr>
      </w:pPr>
      <w:r w:rsidDel="00000000" w:rsidR="00000000" w:rsidRPr="00000000">
        <w:rPr>
          <w:rtl w:val="0"/>
        </w:rPr>
        <w:t xml:space="preserve">Capa de métricas: implementación de lógica de negocio mediante DAX.</w:t>
      </w:r>
    </w:p>
    <w:p w:rsidR="00000000" w:rsidDel="00000000" w:rsidP="00000000" w:rsidRDefault="00000000" w:rsidRPr="00000000" w14:paraId="0000002B">
      <w:pPr>
        <w:numPr>
          <w:ilvl w:val="0"/>
          <w:numId w:val="8"/>
        </w:numPr>
        <w:ind w:left="720" w:hanging="360"/>
        <w:rPr>
          <w:u w:val="none"/>
        </w:rPr>
      </w:pPr>
      <w:r w:rsidDel="00000000" w:rsidR="00000000" w:rsidRPr="00000000">
        <w:rPr>
          <w:rtl w:val="0"/>
        </w:rPr>
        <w:t xml:space="preserve">Gobernanza y distribución: el rol estratégico de Power BI Service.</w:t>
      </w:r>
    </w:p>
    <w:p w:rsidR="00000000" w:rsidDel="00000000" w:rsidP="00000000" w:rsidRDefault="00000000" w:rsidRPr="00000000" w14:paraId="0000002C">
      <w:pPr>
        <w:numPr>
          <w:ilvl w:val="0"/>
          <w:numId w:val="8"/>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Un diagrama lineal que muestre las fases: Connect (Conectar), Prep (Preparar), Model (Modelar), Visualize (Visualizar) y Share (Compartir).</w:t>
      </w:r>
    </w:p>
    <w:p w:rsidR="00000000" w:rsidDel="00000000" w:rsidP="00000000" w:rsidRDefault="00000000" w:rsidRPr="00000000" w14:paraId="0000002D">
      <w:pPr>
        <w:numPr>
          <w:ilvl w:val="0"/>
          <w:numId w:val="8"/>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Cada etapa del pipeline tiene sus propias herramientas y mejores prácticas. Si el modelado semántico es débil, las métricas en DAX serán innecesariamente complejas. La integración es la clave del rendimiento.</w:t>
      </w:r>
    </w:p>
    <w:p w:rsidR="00000000" w:rsidDel="00000000" w:rsidP="00000000" w:rsidRDefault="00000000" w:rsidRPr="00000000" w14:paraId="0000002E">
      <w:pPr>
        <w:numPr>
          <w:ilvl w:val="0"/>
          <w:numId w:val="8"/>
        </w:numPr>
        <w:ind w:left="720" w:hanging="360"/>
        <w:rPr>
          <w:u w:val="none"/>
        </w:rPr>
      </w:pPr>
      <w:r w:rsidDel="00000000" w:rsidR="00000000" w:rsidRPr="00000000">
        <w:rPr>
          <w:b w:val="1"/>
          <w:bCs w:val="1"/>
          <w:rtl w:val="0"/>
        </w:rPr>
        <w:t xml:space="preserve">Fuente:</w:t>
      </w:r>
      <w:r w:rsidDel="00000000" w:rsidR="00000000" w:rsidRPr="00000000">
        <w:rPr>
          <w:rtl w:val="0"/>
        </w:rPr>
        <w:t xml:space="preserve">  "Power BI documentation - Power BI | Microsoft Learn".</w:t>
      </w:r>
    </w:p>
    <w:p w:rsidR="00000000" w:rsidDel="00000000" w:rsidP="00000000" w:rsidRDefault="00000000" w:rsidRPr="00000000" w14:paraId="0000002F">
      <w:pPr>
        <w:numPr>
          <w:ilvl w:val="0"/>
          <w:numId w:val="8"/>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"El corazón de este pipeline para el autor técnico es Power BI Desktop".</w:t>
      </w:r>
    </w:p>
    <w:p w:rsidR="00000000" w:rsidDel="00000000" w:rsidP="00000000" w:rsidRDefault="00000000" w:rsidRPr="00000000" w14:paraId="00000030">
      <w:pPr>
        <w:pStyle w:val="Heading4"/>
        <w:rPr/>
      </w:pPr>
      <w:bookmarkStart w:colFirst="0" w:colLast="0" w:name="_myqxpewuvwp7" w:id="4"/>
      <w:bookmarkEnd w:id="4"/>
      <w:r w:rsidDel="00000000" w:rsidR="00000000" w:rsidRPr="00000000">
        <w:rPr>
          <w:rtl w:val="0"/>
        </w:rPr>
        <w:t xml:space="preserve">4. Power BI Desktop: La Herramienta de Autoría</w:t>
      </w:r>
    </w:p>
    <w:p w:rsidR="00000000" w:rsidDel="00000000" w:rsidP="00000000" w:rsidRDefault="00000000" w:rsidRPr="00000000" w14:paraId="00000031">
      <w:pPr>
        <w:rPr/>
      </w:pPr>
      <w:r w:rsidDel="00000000" w:rsidR="00000000" w:rsidRPr="00000000">
        <w:rPr>
          <w:rtl w:val="0"/>
        </w:rPr>
        <w:t xml:space="preserve">Power BI Desktop es nuestro taller de ingeniería de datos. Es donde ocurre el modelado, la transformación y el diseño lógico. Entender sus interfaces es crucial para mantener el control total sobre la integridad del modelo semántico y la calidad del reporte.</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Número:</w:t>
      </w:r>
      <w:r w:rsidDel="00000000" w:rsidR="00000000" w:rsidRPr="00000000">
        <w:rPr>
          <w:rtl w:val="0"/>
        </w:rPr>
        <w:t xml:space="preserve">  4</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Título:</w:t>
      </w:r>
      <w:r w:rsidDel="00000000" w:rsidR="00000000" w:rsidRPr="00000000">
        <w:rPr>
          <w:rtl w:val="0"/>
        </w:rPr>
        <w:t xml:space="preserve">  Power BI Desktop: La Herramienta de Autoría.</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Dominar las interfaces clave para el desarrollo de modelos y reportes.</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El control total del modelo ocurre en la aplicación de escritorio.</w:t>
      </w:r>
    </w:p>
    <w:p w:rsidR="00000000" w:rsidDel="00000000" w:rsidP="00000000" w:rsidRDefault="00000000" w:rsidRPr="00000000" w14:paraId="00000036">
      <w:pPr>
        <w:numPr>
          <w:ilvl w:val="0"/>
          <w:numId w:val="1"/>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Vista de Informe: entorno para el diseño interactivo y visual.</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Vista de Datos: inspección granular de tablas y validación de calidad.</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Vista de Modelo: gestión de relaciones, cardinalidad y arquitectura de datos.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Diferencia estratégica: Desktop es para creación técnica; Service es para consumo y gobernanza.</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Captura de pantalla de la interfaz de Power BI Desktop con etiquetas que resalten claramente las tres vistas principales.</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El modelado DAX y las transformaciones de Power Query son exclusivos de la versión Desktop. El Service permite ediciones menores, pero la ingeniería robusta sucede aquí.</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Fuente:</w:t>
      </w:r>
      <w:r w:rsidDel="00000000" w:rsidR="00000000" w:rsidRPr="00000000">
        <w:rPr>
          <w:rtl w:val="0"/>
        </w:rPr>
        <w:t xml:space="preserve">  "Power BI documentation - Power BI | Microsoft Learn".</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"La primera fase de autoría técnica comienza con la conexión: Power Query".</w:t>
      </w:r>
    </w:p>
    <w:p w:rsidR="00000000" w:rsidDel="00000000" w:rsidP="00000000" w:rsidRDefault="00000000" w:rsidRPr="00000000" w14:paraId="0000003F">
      <w:pPr>
        <w:pStyle w:val="Heading4"/>
        <w:rPr/>
      </w:pPr>
      <w:bookmarkStart w:colFirst="0" w:colLast="0" w:name="_e0rundzadk0g" w:id="5"/>
      <w:bookmarkEnd w:id="5"/>
      <w:r w:rsidDel="00000000" w:rsidR="00000000" w:rsidRPr="00000000">
        <w:rPr>
          <w:rtl w:val="0"/>
        </w:rPr>
        <w:t xml:space="preserve">5. Preparación de Datos: El Motor Power Query</w:t>
      </w:r>
    </w:p>
    <w:p w:rsidR="00000000" w:rsidDel="00000000" w:rsidP="00000000" w:rsidRDefault="00000000" w:rsidRPr="00000000" w14:paraId="00000040">
      <w:pPr>
        <w:rPr/>
      </w:pPr>
      <w:r w:rsidDel="00000000" w:rsidR="00000000" w:rsidRPr="00000000">
        <w:rPr>
          <w:rtl w:val="0"/>
        </w:rPr>
        <w:t xml:space="preserve">En el análisis industrial, nos enfrentamos al principio de "Garbage In, Garbage Out". Power Query es nuestra primera línea de defensa para limpiar y normalizar datos complejos de sensores y procesos, asegurando que la estructura sea óptima para el análisis predictivo.</w:t>
      </w:r>
    </w:p>
    <w:p w:rsidR="00000000" w:rsidDel="00000000" w:rsidP="00000000" w:rsidRDefault="00000000" w:rsidRPr="00000000" w14:paraId="00000041">
      <w:pPr>
        <w:numPr>
          <w:ilvl w:val="0"/>
          <w:numId w:val="15"/>
        </w:numPr>
        <w:ind w:left="720" w:hanging="360"/>
        <w:rPr>
          <w:u w:val="none"/>
        </w:rPr>
      </w:pPr>
      <w:r w:rsidDel="00000000" w:rsidR="00000000" w:rsidRPr="00000000">
        <w:rPr>
          <w:b w:val="1"/>
          <w:bCs w:val="1"/>
          <w:rtl w:val="0"/>
        </w:rPr>
        <w:t xml:space="preserve">Número:</w:t>
      </w:r>
      <w:r w:rsidDel="00000000" w:rsidR="00000000" w:rsidRPr="00000000">
        <w:rPr>
          <w:rtl w:val="0"/>
        </w:rPr>
        <w:t xml:space="preserve">  5</w:t>
      </w:r>
    </w:p>
    <w:p w:rsidR="00000000" w:rsidDel="00000000" w:rsidP="00000000" w:rsidRDefault="00000000" w:rsidRPr="00000000" w14:paraId="00000042">
      <w:pPr>
        <w:numPr>
          <w:ilvl w:val="0"/>
          <w:numId w:val="15"/>
        </w:numPr>
        <w:ind w:left="720" w:hanging="360"/>
        <w:rPr>
          <w:u w:val="none"/>
        </w:rPr>
      </w:pPr>
      <w:r w:rsidDel="00000000" w:rsidR="00000000" w:rsidRPr="00000000">
        <w:rPr>
          <w:b w:val="1"/>
          <w:bCs w:val="1"/>
          <w:rtl w:val="0"/>
        </w:rPr>
        <w:t xml:space="preserve">Título:</w:t>
      </w:r>
      <w:r w:rsidDel="00000000" w:rsidR="00000000" w:rsidRPr="00000000">
        <w:rPr>
          <w:rtl w:val="0"/>
        </w:rPr>
        <w:t xml:space="preserve">  Preparación de Datos: El Motor Power Query.</w:t>
      </w:r>
    </w:p>
    <w:p w:rsidR="00000000" w:rsidDel="00000000" w:rsidP="00000000" w:rsidRDefault="00000000" w:rsidRPr="00000000" w14:paraId="00000043">
      <w:pPr>
        <w:numPr>
          <w:ilvl w:val="0"/>
          <w:numId w:val="15"/>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Entender el proceso de ETL (Extract, Transform, Load) dentro de la herramienta.</w:t>
      </w:r>
    </w:p>
    <w:p w:rsidR="00000000" w:rsidDel="00000000" w:rsidP="00000000" w:rsidRDefault="00000000" w:rsidRPr="00000000" w14:paraId="00000044">
      <w:pPr>
        <w:numPr>
          <w:ilvl w:val="0"/>
          <w:numId w:val="15"/>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La calidad del análisis depende de la estructura de la tabla importada.</w:t>
      </w:r>
    </w:p>
    <w:p w:rsidR="00000000" w:rsidDel="00000000" w:rsidP="00000000" w:rsidRDefault="00000000" w:rsidRPr="00000000" w14:paraId="00000045">
      <w:pPr>
        <w:numPr>
          <w:ilvl w:val="0"/>
          <w:numId w:val="15"/>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46">
      <w:pPr>
        <w:numPr>
          <w:ilvl w:val="0"/>
          <w:numId w:val="15"/>
        </w:numPr>
        <w:ind w:left="720" w:hanging="360"/>
        <w:rPr>
          <w:u w:val="none"/>
        </w:rPr>
      </w:pPr>
      <w:r w:rsidDel="00000000" w:rsidR="00000000" w:rsidRPr="00000000">
        <w:rPr>
          <w:rtl w:val="0"/>
        </w:rPr>
        <w:t xml:space="preserve">Conectividad multiorigen: acceso a SQL, APIs y archivos de planta.</w:t>
      </w:r>
    </w:p>
    <w:p w:rsidR="00000000" w:rsidDel="00000000" w:rsidP="00000000" w:rsidRDefault="00000000" w:rsidRPr="00000000" w14:paraId="00000047">
      <w:pPr>
        <w:numPr>
          <w:ilvl w:val="0"/>
          <w:numId w:val="15"/>
        </w:numPr>
        <w:ind w:left="720" w:hanging="360"/>
        <w:rPr>
          <w:u w:val="none"/>
        </w:rPr>
      </w:pPr>
      <w:r w:rsidDel="00000000" w:rsidR="00000000" w:rsidRPr="00000000">
        <w:rPr>
          <w:rtl w:val="0"/>
        </w:rPr>
        <w:t xml:space="preserve">Transformaciones técnicas: tipado preciso, filtrado y normalización de columnas.</w:t>
      </w:r>
    </w:p>
    <w:p w:rsidR="00000000" w:rsidDel="00000000" w:rsidP="00000000" w:rsidRDefault="00000000" w:rsidRPr="00000000" w14:paraId="00000048">
      <w:pPr>
        <w:numPr>
          <w:ilvl w:val="0"/>
          <w:numId w:val="15"/>
        </w:numPr>
        <w:ind w:left="720" w:hanging="360"/>
        <w:rPr>
          <w:u w:val="none"/>
        </w:rPr>
      </w:pPr>
      <w:r w:rsidDel="00000000" w:rsidR="00000000" w:rsidRPr="00000000">
        <w:rPr>
          <w:rtl w:val="0"/>
        </w:rPr>
        <w:t xml:space="preserve">Caso de estudio AI4I 2020: importación de 10,000 instancias de mantenimiento.</w:t>
      </w:r>
    </w:p>
    <w:p w:rsidR="00000000" w:rsidDel="00000000" w:rsidP="00000000" w:rsidRDefault="00000000" w:rsidRPr="00000000" w14:paraId="00000049">
      <w:pPr>
        <w:numPr>
          <w:ilvl w:val="0"/>
          <w:numId w:val="15"/>
        </w:numPr>
        <w:ind w:left="720" w:hanging="360"/>
        <w:rPr>
          <w:u w:val="none"/>
        </w:rPr>
      </w:pPr>
      <w:r w:rsidDel="00000000" w:rsidR="00000000" w:rsidRPr="00000000">
        <w:rPr>
          <w:rtl w:val="0"/>
        </w:rPr>
        <w:t xml:space="preserve">Variables de ingeniería: Air temperature (K), Torque (Nm), Rotational speed (rpm), Tool wear (min).</w:t>
      </w:r>
    </w:p>
    <w:p w:rsidR="00000000" w:rsidDel="00000000" w:rsidP="00000000" w:rsidRDefault="00000000" w:rsidRPr="00000000" w14:paraId="0000004A">
      <w:pPr>
        <w:numPr>
          <w:ilvl w:val="0"/>
          <w:numId w:val="15"/>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Una tabla comparativa que muestre datos sucios frente a datos transformados y normalizados mediante el proceso ETL.</w:t>
      </w:r>
    </w:p>
    <w:p w:rsidR="00000000" w:rsidDel="00000000" w:rsidP="00000000" w:rsidRDefault="00000000" w:rsidRPr="00000000" w14:paraId="0000004B">
      <w:pPr>
        <w:numPr>
          <w:ilvl w:val="0"/>
          <w:numId w:val="15"/>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En el dataset AI4I 2020, la precisión de las unidades es vital (Kelvin para temperatura, Nm para torque). Power Query nos permite asegurar que estas variables continuas estén listas para el modelado matemático.</w:t>
      </w:r>
    </w:p>
    <w:p w:rsidR="00000000" w:rsidDel="00000000" w:rsidP="00000000" w:rsidRDefault="00000000" w:rsidRPr="00000000" w14:paraId="0000004C">
      <w:pPr>
        <w:numPr>
          <w:ilvl w:val="0"/>
          <w:numId w:val="15"/>
        </w:numPr>
        <w:ind w:left="720" w:hanging="360"/>
        <w:rPr>
          <w:u w:val="none"/>
        </w:rPr>
      </w:pPr>
      <w:r w:rsidDel="00000000" w:rsidR="00000000" w:rsidRPr="00000000">
        <w:rPr>
          <w:b w:val="1"/>
          <w:bCs w:val="1"/>
          <w:rtl w:val="0"/>
        </w:rPr>
        <w:t xml:space="preserve">Fuente:</w:t>
      </w:r>
      <w:r w:rsidDel="00000000" w:rsidR="00000000" w:rsidRPr="00000000">
        <w:rPr>
          <w:rtl w:val="0"/>
        </w:rPr>
        <w:t xml:space="preserve">  "AI4I 2020 Predictive Maintenance Dataset - UCI Machine Learning Repository".</w:t>
      </w:r>
    </w:p>
    <w:p w:rsidR="00000000" w:rsidDel="00000000" w:rsidP="00000000" w:rsidRDefault="00000000" w:rsidRPr="00000000" w14:paraId="0000004D">
      <w:pPr>
        <w:numPr>
          <w:ilvl w:val="0"/>
          <w:numId w:val="15"/>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"Tras la limpieza, los datos deben estructurarse en un modelo semántico eficiente".</w:t>
      </w:r>
    </w:p>
    <w:p w:rsidR="00000000" w:rsidDel="00000000" w:rsidP="00000000" w:rsidRDefault="00000000" w:rsidRPr="00000000" w14:paraId="0000004E">
      <w:pPr>
        <w:pStyle w:val="Heading4"/>
        <w:rPr/>
      </w:pPr>
      <w:bookmarkStart w:colFirst="0" w:colLast="0" w:name="_wh3969jxslwq" w:id="6"/>
      <w:bookmarkEnd w:id="6"/>
      <w:r w:rsidDel="00000000" w:rsidR="00000000" w:rsidRPr="00000000">
        <w:rPr>
          <w:rtl w:val="0"/>
        </w:rPr>
        <w:t xml:space="preserve">6. El Modelo Semántico: Estructura y Relaciones</w:t>
      </w:r>
    </w:p>
    <w:p w:rsidR="00000000" w:rsidDel="00000000" w:rsidP="00000000" w:rsidRDefault="00000000" w:rsidRPr="00000000" w14:paraId="0000004F">
      <w:pPr>
        <w:rPr/>
      </w:pPr>
      <w:r w:rsidDel="00000000" w:rsidR="00000000" w:rsidRPr="00000000">
        <w:rPr>
          <w:rtl w:val="0"/>
        </w:rPr>
        <w:t xml:space="preserve">El Modelo Semántico es el cimiento de nuestra solución. Adoptar el esquema en estrella (Star Schema) no es opcional; es el estándar de oro para garantizar la eficiencia en el rendimiento y, sobre todo, la simplicidad en el mantenimiento de nuestro código DAX a largo plazo.</w:t>
      </w:r>
    </w:p>
    <w:p w:rsidR="00000000" w:rsidDel="00000000" w:rsidP="00000000" w:rsidRDefault="00000000" w:rsidRPr="00000000" w14:paraId="00000050">
      <w:pPr>
        <w:numPr>
          <w:ilvl w:val="0"/>
          <w:numId w:val="6"/>
        </w:numPr>
        <w:ind w:left="720" w:hanging="360"/>
        <w:rPr>
          <w:u w:val="none"/>
        </w:rPr>
      </w:pPr>
      <w:r w:rsidDel="00000000" w:rsidR="00000000" w:rsidRPr="00000000">
        <w:rPr>
          <w:b w:val="1"/>
          <w:bCs w:val="1"/>
          <w:rtl w:val="0"/>
        </w:rPr>
        <w:t xml:space="preserve">Número:</w:t>
      </w:r>
      <w:r w:rsidDel="00000000" w:rsidR="00000000" w:rsidRPr="00000000">
        <w:rPr>
          <w:rtl w:val="0"/>
        </w:rPr>
        <w:t xml:space="preserve">  6</w:t>
      </w:r>
    </w:p>
    <w:p w:rsidR="00000000" w:rsidDel="00000000" w:rsidP="00000000" w:rsidRDefault="00000000" w:rsidRPr="00000000" w14:paraId="00000051">
      <w:pPr>
        <w:numPr>
          <w:ilvl w:val="0"/>
          <w:numId w:val="6"/>
        </w:numPr>
        <w:ind w:left="720" w:hanging="360"/>
        <w:rPr>
          <w:u w:val="none"/>
        </w:rPr>
      </w:pPr>
      <w:r w:rsidDel="00000000" w:rsidR="00000000" w:rsidRPr="00000000">
        <w:rPr>
          <w:b w:val="1"/>
          <w:bCs w:val="1"/>
          <w:rtl w:val="0"/>
        </w:rPr>
        <w:t xml:space="preserve">Título:</w:t>
      </w:r>
      <w:r w:rsidDel="00000000" w:rsidR="00000000" w:rsidRPr="00000000">
        <w:rPr>
          <w:rtl w:val="0"/>
        </w:rPr>
        <w:t xml:space="preserve">  El Modelo Semántico: Estructura y Relaciones.</w:t>
      </w:r>
    </w:p>
    <w:p w:rsidR="00000000" w:rsidDel="00000000" w:rsidP="00000000" w:rsidRDefault="00000000" w:rsidRPr="00000000" w14:paraId="00000052">
      <w:pPr>
        <w:numPr>
          <w:ilvl w:val="0"/>
          <w:numId w:val="6"/>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Diseñar relaciones efectivas para garantizar la integridad de los datos.</w:t>
      </w:r>
    </w:p>
    <w:p w:rsidR="00000000" w:rsidDel="00000000" w:rsidP="00000000" w:rsidRDefault="00000000" w:rsidRPr="00000000" w14:paraId="00000053">
      <w:pPr>
        <w:numPr>
          <w:ilvl w:val="0"/>
          <w:numId w:val="6"/>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Un modelo bien relacionado reduce la complejidad del DAX futuro.</w:t>
      </w:r>
    </w:p>
    <w:p w:rsidR="00000000" w:rsidDel="00000000" w:rsidP="00000000" w:rsidRDefault="00000000" w:rsidRPr="00000000" w14:paraId="00000054">
      <w:pPr>
        <w:numPr>
          <w:ilvl w:val="0"/>
          <w:numId w:val="6"/>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55">
      <w:pPr>
        <w:numPr>
          <w:ilvl w:val="0"/>
          <w:numId w:val="6"/>
        </w:numPr>
        <w:ind w:left="720" w:hanging="360"/>
        <w:rPr>
          <w:u w:val="none"/>
        </w:rPr>
      </w:pPr>
      <w:r w:rsidDel="00000000" w:rsidR="00000000" w:rsidRPr="00000000">
        <w:rPr>
          <w:rtl w:val="0"/>
        </w:rPr>
        <w:t xml:space="preserve">Concepto de Modelo Semántico como núcleo de la arquitectura.</w:t>
      </w:r>
    </w:p>
    <w:p w:rsidR="00000000" w:rsidDel="00000000" w:rsidP="00000000" w:rsidRDefault="00000000" w:rsidRPr="00000000" w14:paraId="00000056">
      <w:pPr>
        <w:numPr>
          <w:ilvl w:val="0"/>
          <w:numId w:val="6"/>
        </w:numPr>
        <w:ind w:left="720" w:hanging="360"/>
        <w:rPr>
          <w:u w:val="none"/>
        </w:rPr>
      </w:pPr>
      <w:r w:rsidDel="00000000" w:rsidR="00000000" w:rsidRPr="00000000">
        <w:rPr>
          <w:rtl w:val="0"/>
        </w:rPr>
        <w:t xml:space="preserve">Esquema en estrella: segregación de Hechos (Facts) y Dimensiones.</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Cardinalidad (1:*) y dirección del filtro: impacto en la propagación de datos.</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Relaciones activas: el motor para la seguridad de nivel de fila (RLS).</w:t>
      </w:r>
    </w:p>
    <w:p w:rsidR="00000000" w:rsidDel="00000000" w:rsidP="00000000" w:rsidRDefault="00000000" w:rsidRPr="00000000" w14:paraId="00000059">
      <w:pPr>
        <w:numPr>
          <w:ilvl w:val="0"/>
          <w:numId w:val="6"/>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Diagrama de un Star Schema con una tabla de hechos central rodeada de dimensiones.</w:t>
      </w:r>
    </w:p>
    <w:p w:rsidR="00000000" w:rsidDel="00000000" w:rsidP="00000000" w:rsidRDefault="00000000" w:rsidRPr="00000000" w14:paraId="0000005A">
      <w:pPr>
        <w:numPr>
          <w:ilvl w:val="0"/>
          <w:numId w:val="6"/>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Un modelo bien diseñado permite que los filtros fluyan naturalmente. Eviten relaciones bidireccionales innecesarias que comprometen la integridad referencial y complican la seguridad por roles.</w:t>
      </w:r>
    </w:p>
    <w:p w:rsidR="00000000" w:rsidDel="00000000" w:rsidP="00000000" w:rsidRDefault="00000000" w:rsidRPr="00000000" w14:paraId="0000005B">
      <w:pPr>
        <w:numPr>
          <w:ilvl w:val="0"/>
          <w:numId w:val="6"/>
        </w:numPr>
        <w:ind w:left="720" w:hanging="360"/>
        <w:rPr>
          <w:u w:val="none"/>
        </w:rPr>
      </w:pPr>
      <w:r w:rsidDel="00000000" w:rsidR="00000000" w:rsidRPr="00000000">
        <w:rPr>
          <w:b w:val="1"/>
          <w:bCs w:val="1"/>
          <w:rtl w:val="0"/>
        </w:rPr>
        <w:t xml:space="preserve">Fuente:</w:t>
      </w:r>
      <w:r w:rsidDel="00000000" w:rsidR="00000000" w:rsidRPr="00000000">
        <w:rPr>
          <w:rtl w:val="0"/>
        </w:rPr>
        <w:t xml:space="preserve">  "Row-level security (RLS) guidance in Power BI Desktop".</w:t>
      </w:r>
    </w:p>
    <w:p w:rsidR="00000000" w:rsidDel="00000000" w:rsidP="00000000" w:rsidRDefault="00000000" w:rsidRPr="00000000" w14:paraId="0000005C">
      <w:pPr>
        <w:numPr>
          <w:ilvl w:val="0"/>
          <w:numId w:val="6"/>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"Sobre esta base estructural, definimos la lógica de cálculo con DAX".</w:t>
      </w:r>
    </w:p>
    <w:p w:rsidR="00000000" w:rsidDel="00000000" w:rsidP="00000000" w:rsidRDefault="00000000" w:rsidRPr="00000000" w14:paraId="0000005D">
      <w:pPr>
        <w:pStyle w:val="Heading4"/>
        <w:rPr/>
      </w:pPr>
      <w:bookmarkStart w:colFirst="0" w:colLast="0" w:name="_ma7pr9odkl4q" w:id="7"/>
      <w:bookmarkEnd w:id="7"/>
      <w:r w:rsidDel="00000000" w:rsidR="00000000" w:rsidRPr="00000000">
        <w:rPr>
          <w:rtl w:val="0"/>
        </w:rPr>
        <w:t xml:space="preserve">7. DAX: Definiendo la Lógica de Negocio</w:t>
      </w:r>
    </w:p>
    <w:p w:rsidR="00000000" w:rsidDel="00000000" w:rsidP="00000000" w:rsidRDefault="00000000" w:rsidRPr="00000000" w14:paraId="0000005E">
      <w:pPr>
        <w:rPr/>
      </w:pPr>
      <w:r w:rsidDel="00000000" w:rsidR="00000000" w:rsidRPr="00000000">
        <w:rPr>
          <w:rtl w:val="0"/>
        </w:rPr>
        <w:t xml:space="preserve">DAX no es un lenguaje de programación tradicional, es una capa de lógica semántica. Su potencia reside en la capacidad de evaluar expresiones dinámicas sobre el contexto de los datos, permitiendo análisis granulares sin alterar la inmutabilidad de la fuente original.</w:t>
      </w:r>
    </w:p>
    <w:p w:rsidR="00000000" w:rsidDel="00000000" w:rsidP="00000000" w:rsidRDefault="00000000" w:rsidRPr="00000000" w14:paraId="0000005F">
      <w:pPr>
        <w:numPr>
          <w:ilvl w:val="0"/>
          <w:numId w:val="5"/>
        </w:numPr>
        <w:ind w:left="720" w:hanging="360"/>
        <w:rPr>
          <w:u w:val="none"/>
        </w:rPr>
      </w:pPr>
      <w:r w:rsidDel="00000000" w:rsidR="00000000" w:rsidRPr="00000000">
        <w:rPr>
          <w:b w:val="1"/>
          <w:bCs w:val="1"/>
          <w:rtl w:val="0"/>
        </w:rPr>
        <w:t xml:space="preserve">Número:</w:t>
      </w:r>
      <w:r w:rsidDel="00000000" w:rsidR="00000000" w:rsidRPr="00000000">
        <w:rPr>
          <w:rtl w:val="0"/>
        </w:rPr>
        <w:t xml:space="preserve">  7</w:t>
      </w:r>
    </w:p>
    <w:p w:rsidR="00000000" w:rsidDel="00000000" w:rsidP="00000000" w:rsidRDefault="00000000" w:rsidRPr="00000000" w14:paraId="00000060">
      <w:pPr>
        <w:numPr>
          <w:ilvl w:val="0"/>
          <w:numId w:val="5"/>
        </w:numPr>
        <w:ind w:left="720" w:hanging="360"/>
        <w:rPr>
          <w:u w:val="none"/>
        </w:rPr>
      </w:pPr>
      <w:r w:rsidDel="00000000" w:rsidR="00000000" w:rsidRPr="00000000">
        <w:rPr>
          <w:b w:val="1"/>
          <w:bCs w:val="1"/>
          <w:rtl w:val="0"/>
        </w:rPr>
        <w:t xml:space="preserve">Título:</w:t>
      </w:r>
      <w:r w:rsidDel="00000000" w:rsidR="00000000" w:rsidRPr="00000000">
        <w:rPr>
          <w:rtl w:val="0"/>
        </w:rPr>
        <w:t xml:space="preserve">  DAX: Definiendo la Lógica de Negocio.</w:t>
      </w:r>
    </w:p>
    <w:p w:rsidR="00000000" w:rsidDel="00000000" w:rsidP="00000000" w:rsidRDefault="00000000" w:rsidRPr="00000000" w14:paraId="00000061">
      <w:pPr>
        <w:numPr>
          <w:ilvl w:val="0"/>
          <w:numId w:val="5"/>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Diferenciar entre tipos de cálculos y entender funciones de iteración.</w:t>
      </w:r>
    </w:p>
    <w:p w:rsidR="00000000" w:rsidDel="00000000" w:rsidP="00000000" w:rsidRDefault="00000000" w:rsidRPr="00000000" w14:paraId="00000062">
      <w:pPr>
        <w:numPr>
          <w:ilvl w:val="0"/>
          <w:numId w:val="5"/>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Las medidas DAX permiten análisis dinámicos que no cambian el tipo de dato original.</w:t>
      </w:r>
    </w:p>
    <w:p w:rsidR="00000000" w:rsidDel="00000000" w:rsidP="00000000" w:rsidRDefault="00000000" w:rsidRPr="00000000" w14:paraId="00000063">
      <w:pPr>
        <w:numPr>
          <w:ilvl w:val="0"/>
          <w:numId w:val="5"/>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Medidas vs. Columnas calculadas: Contexto de filtro (dinámico) vs. Contexto de fila (estático).</w:t>
      </w:r>
    </w:p>
    <w:p w:rsidR="00000000" w:rsidDel="00000000" w:rsidP="00000000" w:rsidRDefault="00000000" w:rsidRPr="00000000" w14:paraId="00000065">
      <w:pPr>
        <w:numPr>
          <w:ilvl w:val="0"/>
          <w:numId w:val="5"/>
        </w:numPr>
        <w:ind w:left="720" w:hanging="360"/>
        <w:rPr>
          <w:u w:val="none"/>
        </w:rPr>
      </w:pPr>
      <w:r w:rsidDel="00000000" w:rsidR="00000000" w:rsidRPr="00000000">
        <w:rPr>
          <w:rtl w:val="0"/>
        </w:rPr>
        <w:t xml:space="preserve">Funciones iteradoras: el valor de AVERAGEX para cálculos de precisión.</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Evaluación fila por fila: procesar expresiones (ej. sumas o ajustes) antes de promediar.</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Ventajas de las medidas explícitas para la escalabilidad y el control.</w:t>
      </w:r>
    </w:p>
    <w:p w:rsidR="00000000" w:rsidDel="00000000" w:rsidP="00000000" w:rsidRDefault="00000000" w:rsidRPr="00000000" w14:paraId="00000068">
      <w:pPr>
        <w:numPr>
          <w:ilvl w:val="0"/>
          <w:numId w:val="5"/>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Ejemplo de sintaxis DAX comparando una suma simple con un cálculo iterado de AVERAGEX(tabla, expresión).</w:t>
      </w:r>
    </w:p>
    <w:p w:rsidR="00000000" w:rsidDel="00000000" w:rsidP="00000000" w:rsidRDefault="00000000" w:rsidRPr="00000000" w14:paraId="00000069">
      <w:pPr>
        <w:numPr>
          <w:ilvl w:val="0"/>
          <w:numId w:val="5"/>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AVERAGEX es fundamental en ingeniería. Nos permite evaluar una expresión en cada fila individualmente antes de obtener la media aritmética, lo cual es crítico para métricas de eficiencia térmica o de torque.</w:t>
      </w:r>
    </w:p>
    <w:p w:rsidR="00000000" w:rsidDel="00000000" w:rsidP="00000000" w:rsidRDefault="00000000" w:rsidRPr="00000000" w14:paraId="0000006A">
      <w:pPr>
        <w:numPr>
          <w:ilvl w:val="0"/>
          <w:numId w:val="5"/>
        </w:numPr>
        <w:ind w:left="720" w:hanging="360"/>
        <w:rPr>
          <w:u w:val="none"/>
        </w:rPr>
      </w:pPr>
      <w:r w:rsidDel="00000000" w:rsidR="00000000" w:rsidRPr="00000000">
        <w:rPr>
          <w:b w:val="1"/>
          <w:bCs w:val="1"/>
          <w:rtl w:val="0"/>
        </w:rPr>
        <w:t xml:space="preserve">Fuente:</w:t>
      </w:r>
      <w:r w:rsidDel="00000000" w:rsidR="00000000" w:rsidRPr="00000000">
        <w:rPr>
          <w:rtl w:val="0"/>
        </w:rPr>
        <w:t xml:space="preserve">  "AVERAGEX function (DAX) - DAX | Microsoft Learn".</w:t>
      </w:r>
    </w:p>
    <w:p w:rsidR="00000000" w:rsidDel="00000000" w:rsidP="00000000" w:rsidRDefault="00000000" w:rsidRPr="00000000" w14:paraId="0000006B">
      <w:pPr>
        <w:numPr>
          <w:ilvl w:val="0"/>
          <w:numId w:val="5"/>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"Con los cálculos definidos, pasamos a la capa de visualización e interactividad".</w:t>
      </w:r>
    </w:p>
    <w:p w:rsidR="00000000" w:rsidDel="00000000" w:rsidP="00000000" w:rsidRDefault="00000000" w:rsidRPr="00000000" w14:paraId="0000006C">
      <w:pPr>
        <w:pStyle w:val="Heading4"/>
        <w:rPr/>
      </w:pPr>
      <w:bookmarkStart w:colFirst="0" w:colLast="0" w:name="_3w7eftliwshk" w:id="8"/>
      <w:bookmarkEnd w:id="8"/>
      <w:r w:rsidDel="00000000" w:rsidR="00000000" w:rsidRPr="00000000">
        <w:rPr>
          <w:rtl w:val="0"/>
        </w:rPr>
        <w:t xml:space="preserve">8. Visualización e Interactividad</w:t>
      </w:r>
    </w:p>
    <w:p w:rsidR="00000000" w:rsidDel="00000000" w:rsidP="00000000" w:rsidRDefault="00000000" w:rsidRPr="00000000" w14:paraId="0000006D">
      <w:pPr>
        <w:rPr/>
      </w:pPr>
      <w:r w:rsidDel="00000000" w:rsidR="00000000" w:rsidRPr="00000000">
        <w:rPr>
          <w:rtl w:val="0"/>
        </w:rPr>
        <w:t xml:space="preserve">El lienzo del reporte es donde los datos se convierten en comunicación. La selección visual debe reducir la carga cognitiva, mientras que las herramientas de análisis avanzado permiten añadir contexto estadístico inmediato sin necesidad de cálculos adicionales.</w:t>
      </w:r>
    </w:p>
    <w:p w:rsidR="00000000" w:rsidDel="00000000" w:rsidP="00000000" w:rsidRDefault="00000000" w:rsidRPr="00000000" w14:paraId="0000006E">
      <w:pPr>
        <w:numPr>
          <w:ilvl w:val="0"/>
          <w:numId w:val="13"/>
        </w:numPr>
        <w:ind w:left="720" w:hanging="360"/>
        <w:rPr>
          <w:u w:val="none"/>
        </w:rPr>
      </w:pPr>
      <w:r w:rsidDel="00000000" w:rsidR="00000000" w:rsidRPr="00000000">
        <w:rPr>
          <w:b w:val="1"/>
          <w:bCs w:val="1"/>
          <w:rtl w:val="0"/>
        </w:rPr>
        <w:t xml:space="preserve">Número:</w:t>
      </w:r>
      <w:r w:rsidDel="00000000" w:rsidR="00000000" w:rsidRPr="00000000">
        <w:rPr>
          <w:rtl w:val="0"/>
        </w:rPr>
        <w:t xml:space="preserve">  8</w:t>
      </w:r>
    </w:p>
    <w:p w:rsidR="00000000" w:rsidDel="00000000" w:rsidP="00000000" w:rsidRDefault="00000000" w:rsidRPr="00000000" w14:paraId="0000006F">
      <w:pPr>
        <w:numPr>
          <w:ilvl w:val="0"/>
          <w:numId w:val="13"/>
        </w:numPr>
        <w:ind w:left="720" w:hanging="360"/>
        <w:rPr>
          <w:u w:val="none"/>
        </w:rPr>
      </w:pPr>
      <w:r w:rsidDel="00000000" w:rsidR="00000000" w:rsidRPr="00000000">
        <w:rPr>
          <w:b w:val="1"/>
          <w:bCs w:val="1"/>
          <w:rtl w:val="0"/>
        </w:rPr>
        <w:t xml:space="preserve">Título:</w:t>
      </w:r>
      <w:r w:rsidDel="00000000" w:rsidR="00000000" w:rsidRPr="00000000">
        <w:rPr>
          <w:rtl w:val="0"/>
        </w:rPr>
        <w:t xml:space="preserve">  Visualización e Interactividad.</w:t>
      </w:r>
    </w:p>
    <w:p w:rsidR="00000000" w:rsidDel="00000000" w:rsidP="00000000" w:rsidRDefault="00000000" w:rsidRPr="00000000" w14:paraId="00000070">
      <w:pPr>
        <w:numPr>
          <w:ilvl w:val="0"/>
          <w:numId w:val="13"/>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Seleccionar visuales adecuados y configurar filtros de usuario.</w:t>
      </w:r>
    </w:p>
    <w:p w:rsidR="00000000" w:rsidDel="00000000" w:rsidP="00000000" w:rsidRDefault="00000000" w:rsidRPr="00000000" w14:paraId="00000071">
      <w:pPr>
        <w:numPr>
          <w:ilvl w:val="0"/>
          <w:numId w:val="13"/>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El visual correcto debe reducir la carga cognitiva del usuario.</w:t>
      </w:r>
    </w:p>
    <w:p w:rsidR="00000000" w:rsidDel="00000000" w:rsidP="00000000" w:rsidRDefault="00000000" w:rsidRPr="00000000" w14:paraId="00000072">
      <w:pPr>
        <w:numPr>
          <w:ilvl w:val="0"/>
          <w:numId w:val="13"/>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73">
      <w:pPr>
        <w:numPr>
          <w:ilvl w:val="0"/>
          <w:numId w:val="13"/>
        </w:numPr>
        <w:ind w:left="720" w:hanging="360"/>
        <w:rPr>
          <w:u w:val="none"/>
        </w:rPr>
      </w:pPr>
      <w:r w:rsidDel="00000000" w:rsidR="00000000" w:rsidRPr="00000000">
        <w:rPr>
          <w:rtl w:val="0"/>
        </w:rPr>
        <w:t xml:space="preserve">Selección visual técnica: líneas de tendencia para sensores y barras para comparativas.</w:t>
      </w:r>
    </w:p>
    <w:p w:rsidR="00000000" w:rsidDel="00000000" w:rsidP="00000000" w:rsidRDefault="00000000" w:rsidRPr="00000000" w14:paraId="00000074">
      <w:pPr>
        <w:numPr>
          <w:ilvl w:val="0"/>
          <w:numId w:val="13"/>
        </w:numPr>
        <w:ind w:left="720" w:hanging="360"/>
        <w:rPr>
          <w:u w:val="none"/>
        </w:rPr>
      </w:pPr>
      <w:r w:rsidDel="00000000" w:rsidR="00000000" w:rsidRPr="00000000">
        <w:rPr>
          <w:rtl w:val="0"/>
        </w:rPr>
        <w:t xml:space="preserve">Interactividad mediante segmentadores (Slicers) y niveles de filtrado (visual, página, informe).</w:t>
      </w:r>
    </w:p>
    <w:p w:rsidR="00000000" w:rsidDel="00000000" w:rsidP="00000000" w:rsidRDefault="00000000" w:rsidRPr="00000000" w14:paraId="00000075">
      <w:pPr>
        <w:numPr>
          <w:ilvl w:val="0"/>
          <w:numId w:val="13"/>
        </w:numPr>
        <w:ind w:left="720" w:hanging="360"/>
        <w:rPr>
          <w:u w:val="none"/>
        </w:rPr>
      </w:pPr>
      <w:r w:rsidDel="00000000" w:rsidR="00000000" w:rsidRPr="00000000">
        <w:rPr>
          <w:rtl w:val="0"/>
        </w:rPr>
        <w:t xml:space="preserve">Panel de Analytics: incorporación de líneas de referencia dinámicas (Promedio, Máximo, Mínimo).</w:t>
      </w:r>
    </w:p>
    <w:p w:rsidR="00000000" w:rsidDel="00000000" w:rsidP="00000000" w:rsidRDefault="00000000" w:rsidRPr="00000000" w14:paraId="00000076">
      <w:pPr>
        <w:numPr>
          <w:ilvl w:val="0"/>
          <w:numId w:val="13"/>
        </w:numPr>
        <w:ind w:left="720" w:hanging="360"/>
        <w:rPr>
          <w:u w:val="none"/>
        </w:rPr>
      </w:pPr>
      <w:r w:rsidDel="00000000" w:rsidR="00000000" w:rsidRPr="00000000">
        <w:rPr>
          <w:rtl w:val="0"/>
        </w:rPr>
        <w:t xml:space="preserve">Análisis avanzado: uso de Percentiles, Medianas y Barras de error para control de procesos.</w:t>
      </w:r>
    </w:p>
    <w:p w:rsidR="00000000" w:rsidDel="00000000" w:rsidP="00000000" w:rsidRDefault="00000000" w:rsidRPr="00000000" w14:paraId="00000077">
      <w:pPr>
        <w:numPr>
          <w:ilvl w:val="0"/>
          <w:numId w:val="13"/>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Un gráfico de líneas que incluya una línea de promedio dinámica y barras de error configuradas desde el panel de Analytics.</w:t>
      </w:r>
    </w:p>
    <w:p w:rsidR="00000000" w:rsidDel="00000000" w:rsidP="00000000" w:rsidRDefault="00000000" w:rsidRPr="00000000" w14:paraId="00000078">
      <w:pPr>
        <w:numPr>
          <w:ilvl w:val="0"/>
          <w:numId w:val="13"/>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El panel de Analytics permite añadir herramientas estadísticas vitales para ingenieros, como percentiles o medianas, proporcionando contexto inmediato sobre la variabilidad de los datos de los sensores.</w:t>
      </w:r>
    </w:p>
    <w:p w:rsidR="00000000" w:rsidDel="00000000" w:rsidP="00000000" w:rsidRDefault="00000000" w:rsidRPr="00000000" w14:paraId="00000079">
      <w:pPr>
        <w:numPr>
          <w:ilvl w:val="0"/>
          <w:numId w:val="13"/>
        </w:numPr>
        <w:ind w:left="720" w:hanging="360"/>
        <w:rPr>
          <w:u w:val="none"/>
        </w:rPr>
      </w:pPr>
      <w:r w:rsidDel="00000000" w:rsidR="00000000" w:rsidRPr="00000000">
        <w:rPr>
          <w:b w:val="1"/>
          <w:bCs w:val="1"/>
          <w:rtl w:val="0"/>
        </w:rPr>
        <w:t xml:space="preserve">Fuente:</w:t>
      </w:r>
      <w:r w:rsidDel="00000000" w:rsidR="00000000" w:rsidRPr="00000000">
        <w:rPr>
          <w:rtl w:val="0"/>
        </w:rPr>
        <w:t xml:space="preserve">  "Use the Analytics pane in Power BI - Power BI | Microsoft Learn".</w:t>
      </w:r>
    </w:p>
    <w:p w:rsidR="00000000" w:rsidDel="00000000" w:rsidP="00000000" w:rsidRDefault="00000000" w:rsidRPr="00000000" w14:paraId="0000007A">
      <w:pPr>
        <w:numPr>
          <w:ilvl w:val="0"/>
          <w:numId w:val="13"/>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"Ahora, ¿cómo movemos este desarrollo del entorno local a un entorno organizacional?".</w:t>
      </w:r>
    </w:p>
    <w:p w:rsidR="00000000" w:rsidDel="00000000" w:rsidP="00000000" w:rsidRDefault="00000000" w:rsidRPr="00000000" w14:paraId="0000007B">
      <w:pPr>
        <w:pStyle w:val="Heading4"/>
        <w:rPr/>
      </w:pPr>
      <w:bookmarkStart w:colFirst="0" w:colLast="0" w:name="_on0m39tj8rub" w:id="9"/>
      <w:bookmarkEnd w:id="9"/>
      <w:r w:rsidDel="00000000" w:rsidR="00000000" w:rsidRPr="00000000">
        <w:rPr>
          <w:rtl w:val="0"/>
        </w:rPr>
        <w:t xml:space="preserve">9. Colaboración y Distribución: Desktop vs. Service</w:t>
      </w:r>
    </w:p>
    <w:p w:rsidR="00000000" w:rsidDel="00000000" w:rsidP="00000000" w:rsidRDefault="00000000" w:rsidRPr="00000000" w14:paraId="0000007C">
      <w:pPr>
        <w:rPr/>
      </w:pPr>
      <w:r w:rsidDel="00000000" w:rsidR="00000000" w:rsidRPr="00000000">
        <w:rPr>
          <w:rtl w:val="0"/>
        </w:rPr>
        <w:t xml:space="preserve">La distinción entre Desktop y Service es una cuestión de gobernanza. Mientras Desktop es nuestra estación de ingeniería, el Service es la plataforma donde el valor se democratiza, se asegura y se monitorea a nivel organizacional.</w:t>
      </w:r>
    </w:p>
    <w:p w:rsidR="00000000" w:rsidDel="00000000" w:rsidP="00000000" w:rsidRDefault="00000000" w:rsidRPr="00000000" w14:paraId="0000007D">
      <w:pPr>
        <w:numPr>
          <w:ilvl w:val="0"/>
          <w:numId w:val="9"/>
        </w:numPr>
        <w:ind w:left="720" w:hanging="360"/>
        <w:rPr>
          <w:u w:val="none"/>
        </w:rPr>
      </w:pPr>
      <w:r w:rsidDel="00000000" w:rsidR="00000000" w:rsidRPr="00000000">
        <w:rPr>
          <w:b w:val="1"/>
          <w:bCs w:val="1"/>
          <w:rtl w:val="0"/>
        </w:rPr>
        <w:t xml:space="preserve">Número:</w:t>
      </w:r>
      <w:r w:rsidDel="00000000" w:rsidR="00000000" w:rsidRPr="00000000">
        <w:rPr>
          <w:rtl w:val="0"/>
        </w:rPr>
        <w:t xml:space="preserve">  9</w:t>
      </w:r>
    </w:p>
    <w:p w:rsidR="00000000" w:rsidDel="00000000" w:rsidP="00000000" w:rsidRDefault="00000000" w:rsidRPr="00000000" w14:paraId="0000007E">
      <w:pPr>
        <w:numPr>
          <w:ilvl w:val="0"/>
          <w:numId w:val="9"/>
        </w:numPr>
        <w:ind w:left="720" w:hanging="360"/>
        <w:rPr>
          <w:u w:val="none"/>
        </w:rPr>
      </w:pPr>
      <w:r w:rsidDel="00000000" w:rsidR="00000000" w:rsidRPr="00000000">
        <w:rPr>
          <w:b w:val="1"/>
          <w:bCs w:val="1"/>
          <w:rtl w:val="0"/>
        </w:rPr>
        <w:t xml:space="preserve">Título:</w:t>
      </w:r>
      <w:r w:rsidDel="00000000" w:rsidR="00000000" w:rsidRPr="00000000">
        <w:rPr>
          <w:rtl w:val="0"/>
        </w:rPr>
        <w:t xml:space="preserve">  Colaboración y Distribución: Desktop vs. Service.</w:t>
      </w:r>
    </w:p>
    <w:p w:rsidR="00000000" w:rsidDel="00000000" w:rsidP="00000000" w:rsidRDefault="00000000" w:rsidRPr="00000000" w14:paraId="0000007F">
      <w:pPr>
        <w:numPr>
          <w:ilvl w:val="0"/>
          <w:numId w:val="9"/>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Identificar las capacidades exclusivas de cada entorno.</w:t>
      </w:r>
    </w:p>
    <w:p w:rsidR="00000000" w:rsidDel="00000000" w:rsidP="00000000" w:rsidRDefault="00000000" w:rsidRPr="00000000" w14:paraId="00000080">
      <w:pPr>
        <w:numPr>
          <w:ilvl w:val="0"/>
          <w:numId w:val="9"/>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Desktop es para ingeniería; Service es para gobernanza y colaboración.</w:t>
      </w:r>
    </w:p>
    <w:p w:rsidR="00000000" w:rsidDel="00000000" w:rsidP="00000000" w:rsidRDefault="00000000" w:rsidRPr="00000000" w14:paraId="00000081">
      <w:pPr>
        <w:numPr>
          <w:ilvl w:val="0"/>
          <w:numId w:val="9"/>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82">
      <w:pPr>
        <w:numPr>
          <w:ilvl w:val="0"/>
          <w:numId w:val="9"/>
        </w:numPr>
        <w:ind w:left="720" w:hanging="360"/>
        <w:rPr>
          <w:u w:val="none"/>
        </w:rPr>
      </w:pPr>
      <w:r w:rsidDel="00000000" w:rsidR="00000000" w:rsidRPr="00000000">
        <w:rPr>
          <w:rtl w:val="0"/>
        </w:rPr>
        <w:t xml:space="preserve">Desktop: único entorno para modelado semántico, Power Query y DAX avanzado.</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Service: exclusividad de Dashboards (paneles de una página) para monitoreo de alto nivel.</w:t>
      </w:r>
    </w:p>
    <w:p w:rsidR="00000000" w:rsidDel="00000000" w:rsidP="00000000" w:rsidRDefault="00000000" w:rsidRPr="00000000" w14:paraId="00000084">
      <w:pPr>
        <w:numPr>
          <w:ilvl w:val="0"/>
          <w:numId w:val="9"/>
        </w:numPr>
        <w:ind w:left="720" w:hanging="360"/>
        <w:rPr>
          <w:u w:val="none"/>
        </w:rPr>
      </w:pPr>
      <w:r w:rsidDel="00000000" w:rsidR="00000000" w:rsidRPr="00000000">
        <w:rPr>
          <w:rtl w:val="0"/>
        </w:rPr>
        <w:t xml:space="preserve">Gestión de seguridad: configuración de RLS y permisos de Workspace en la nube.</w:t>
      </w:r>
    </w:p>
    <w:p w:rsidR="00000000" w:rsidDel="00000000" w:rsidP="00000000" w:rsidRDefault="00000000" w:rsidRPr="00000000" w14:paraId="00000085">
      <w:pPr>
        <w:numPr>
          <w:ilvl w:val="0"/>
          <w:numId w:val="9"/>
        </w:numPr>
        <w:ind w:left="720" w:hanging="360"/>
        <w:rPr>
          <w:u w:val="none"/>
        </w:rPr>
      </w:pPr>
      <w:r w:rsidDel="00000000" w:rsidR="00000000" w:rsidRPr="00000000">
        <w:rPr>
          <w:rtl w:val="0"/>
        </w:rPr>
        <w:t xml:space="preserve">Actualización: uso de Gateways para mantener la frescura de los datos industriales.</w:t>
      </w:r>
    </w:p>
    <w:p w:rsidR="00000000" w:rsidDel="00000000" w:rsidP="00000000" w:rsidRDefault="00000000" w:rsidRPr="00000000" w14:paraId="00000086">
      <w:pPr>
        <w:numPr>
          <w:ilvl w:val="0"/>
          <w:numId w:val="9"/>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Tabla comparativa de capacidades (Capability | Dashboards | Reports) resaltando que los Dashboards solo existen en el Service.</w:t>
      </w:r>
    </w:p>
    <w:p w:rsidR="00000000" w:rsidDel="00000000" w:rsidP="00000000" w:rsidRDefault="00000000" w:rsidRPr="00000000" w14:paraId="00000087">
      <w:pPr>
        <w:numPr>
          <w:ilvl w:val="0"/>
          <w:numId w:val="9"/>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Es vital entender que los Dashboards son para el monitoreo rápido de métricas clave (highlights) provenientes de múltiples informes, pero la creación técnica siempre reside en el Desktop.</w:t>
      </w:r>
    </w:p>
    <w:p w:rsidR="00000000" w:rsidDel="00000000" w:rsidP="00000000" w:rsidRDefault="00000000" w:rsidRPr="00000000" w14:paraId="00000088">
      <w:pPr>
        <w:numPr>
          <w:ilvl w:val="0"/>
          <w:numId w:val="9"/>
        </w:numPr>
        <w:ind w:left="720" w:hanging="360"/>
        <w:rPr>
          <w:u w:val="none"/>
        </w:rPr>
      </w:pPr>
      <w:r w:rsidDel="00000000" w:rsidR="00000000" w:rsidRPr="00000000">
        <w:rPr>
          <w:b w:val="1"/>
          <w:bCs w:val="1"/>
          <w:rtl w:val="0"/>
        </w:rPr>
        <w:t xml:space="preserve">Fuente:</w:t>
      </w:r>
      <w:r w:rsidDel="00000000" w:rsidR="00000000" w:rsidRPr="00000000">
        <w:rPr>
          <w:rtl w:val="0"/>
        </w:rPr>
        <w:t xml:space="preserve">  "Intro to dashboards for Power BI designers - Power BI | Microsoft Learn".</w:t>
      </w:r>
    </w:p>
    <w:p w:rsidR="00000000" w:rsidDel="00000000" w:rsidP="00000000" w:rsidRDefault="00000000" w:rsidRPr="00000000" w14:paraId="00000089">
      <w:pPr>
        <w:numPr>
          <w:ilvl w:val="0"/>
          <w:numId w:val="9"/>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"Con las herramientas dominadas, volvamos al problema: ¿cómo traducir estrategia en datos?".</w:t>
      </w:r>
    </w:p>
    <w:p w:rsidR="00000000" w:rsidDel="00000000" w:rsidP="00000000" w:rsidRDefault="00000000" w:rsidRPr="00000000" w14:paraId="0000008A">
      <w:pPr>
        <w:pStyle w:val="Heading4"/>
        <w:rPr/>
      </w:pPr>
      <w:bookmarkStart w:colFirst="0" w:colLast="0" w:name="_sd8ikpjw3aei" w:id="10"/>
      <w:bookmarkEnd w:id="10"/>
      <w:r w:rsidDel="00000000" w:rsidR="00000000" w:rsidRPr="00000000">
        <w:rPr>
          <w:rtl w:val="0"/>
        </w:rPr>
        <w:t xml:space="preserve">10. Traduciendo Estrategia a Datos</w:t>
      </w:r>
    </w:p>
    <w:p w:rsidR="00000000" w:rsidDel="00000000" w:rsidP="00000000" w:rsidRDefault="00000000" w:rsidRPr="00000000" w14:paraId="0000008B">
      <w:pPr>
        <w:rPr/>
      </w:pPr>
      <w:r w:rsidDel="00000000" w:rsidR="00000000" w:rsidRPr="00000000">
        <w:rPr>
          <w:rtl w:val="0"/>
        </w:rPr>
        <w:t xml:space="preserve">El análisis de datos sin una pregunta técnica clara es simplemente ruido. Como profesionales Tech &amp; Eng, nuestra labor es mapear los "dolores" operativos hacia variables físicas y medibles que el dataset pueda responder de forma científica.</w:t>
      </w:r>
    </w:p>
    <w:p w:rsidR="00000000" w:rsidDel="00000000" w:rsidP="00000000" w:rsidRDefault="00000000" w:rsidRPr="00000000" w14:paraId="0000008C">
      <w:pPr>
        <w:numPr>
          <w:ilvl w:val="0"/>
          <w:numId w:val="3"/>
        </w:numPr>
        <w:ind w:left="720" w:hanging="360"/>
        <w:rPr>
          <w:u w:val="none"/>
        </w:rPr>
      </w:pPr>
      <w:r w:rsidDel="00000000" w:rsidR="00000000" w:rsidRPr="00000000">
        <w:rPr>
          <w:b w:val="1"/>
          <w:bCs w:val="1"/>
          <w:rtl w:val="0"/>
        </w:rPr>
        <w:t xml:space="preserve">Número:</w:t>
      </w:r>
      <w:r w:rsidDel="00000000" w:rsidR="00000000" w:rsidRPr="00000000">
        <w:rPr>
          <w:rtl w:val="0"/>
        </w:rPr>
        <w:t xml:space="preserve">  10</w:t>
      </w:r>
    </w:p>
    <w:p w:rsidR="00000000" w:rsidDel="00000000" w:rsidP="00000000" w:rsidRDefault="00000000" w:rsidRPr="00000000" w14:paraId="0000008D">
      <w:pPr>
        <w:numPr>
          <w:ilvl w:val="0"/>
          <w:numId w:val="3"/>
        </w:numPr>
        <w:ind w:left="720" w:hanging="360"/>
        <w:rPr>
          <w:u w:val="none"/>
        </w:rPr>
      </w:pPr>
      <w:r w:rsidDel="00000000" w:rsidR="00000000" w:rsidRPr="00000000">
        <w:rPr>
          <w:b w:val="1"/>
          <w:bCs w:val="1"/>
          <w:rtl w:val="0"/>
        </w:rPr>
        <w:t xml:space="preserve">Título:</w:t>
      </w:r>
      <w:r w:rsidDel="00000000" w:rsidR="00000000" w:rsidRPr="00000000">
        <w:rPr>
          <w:rtl w:val="0"/>
        </w:rPr>
        <w:t xml:space="preserve">  Traduciendo Estrategia a Datos.</w:t>
      </w:r>
    </w:p>
    <w:p w:rsidR="00000000" w:rsidDel="00000000" w:rsidP="00000000" w:rsidRDefault="00000000" w:rsidRPr="00000000" w14:paraId="0000008E">
      <w:pPr>
        <w:numPr>
          <w:ilvl w:val="0"/>
          <w:numId w:val="3"/>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Formular preguntas analíticas que el dataset pueda responder.</w:t>
      </w:r>
    </w:p>
    <w:p w:rsidR="00000000" w:rsidDel="00000000" w:rsidP="00000000" w:rsidRDefault="00000000" w:rsidRPr="00000000" w14:paraId="0000008F">
      <w:pPr>
        <w:numPr>
          <w:ilvl w:val="0"/>
          <w:numId w:val="3"/>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Sin una pregunta clara, el análisis carece de dirección.</w:t>
      </w:r>
    </w:p>
    <w:p w:rsidR="00000000" w:rsidDel="00000000" w:rsidP="00000000" w:rsidRDefault="00000000" w:rsidRPr="00000000" w14:paraId="00000090">
      <w:pPr>
        <w:numPr>
          <w:ilvl w:val="0"/>
          <w:numId w:val="3"/>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91">
      <w:pPr>
        <w:numPr>
          <w:ilvl w:val="0"/>
          <w:numId w:val="3"/>
        </w:numPr>
        <w:ind w:left="720" w:hanging="360"/>
        <w:rPr>
          <w:u w:val="none"/>
        </w:rPr>
      </w:pPr>
      <w:r w:rsidDel="00000000" w:rsidR="00000000" w:rsidRPr="00000000">
        <w:rPr>
          <w:rtl w:val="0"/>
        </w:rPr>
        <w:t xml:space="preserve">Identificación de problemas críticos: ¿Por qué fallan los equipos industriales?</w:t>
      </w:r>
    </w:p>
    <w:p w:rsidR="00000000" w:rsidDel="00000000" w:rsidP="00000000" w:rsidRDefault="00000000" w:rsidRPr="00000000" w14:paraId="00000092">
      <w:pPr>
        <w:numPr>
          <w:ilvl w:val="0"/>
          <w:numId w:val="3"/>
        </w:numPr>
        <w:ind w:left="720" w:hanging="360"/>
        <w:rPr>
          <w:u w:val="none"/>
        </w:rPr>
      </w:pPr>
      <w:r w:rsidDel="00000000" w:rsidR="00000000" w:rsidRPr="00000000">
        <w:rPr>
          <w:rtl w:val="0"/>
        </w:rPr>
        <w:t xml:space="preserve">Variables de influencia en mantenimiento: Air temperature (K), Torque (Nm), Tool wear (min).</w:t>
      </w:r>
    </w:p>
    <w:p w:rsidR="00000000" w:rsidDel="00000000" w:rsidP="00000000" w:rsidRDefault="00000000" w:rsidRPr="00000000" w14:paraId="00000093">
      <w:pPr>
        <w:numPr>
          <w:ilvl w:val="0"/>
          <w:numId w:val="3"/>
        </w:numPr>
        <w:ind w:left="720" w:hanging="360"/>
        <w:rPr>
          <w:u w:val="none"/>
        </w:rPr>
      </w:pPr>
      <w:r w:rsidDel="00000000" w:rsidR="00000000" w:rsidRPr="00000000">
        <w:rPr>
          <w:rtl w:val="0"/>
        </w:rPr>
        <w:t xml:space="preserve">Formulación técnica: "¿Existe correlación entre el torque y la temperatura de proceso en las fallas?".</w:t>
      </w:r>
    </w:p>
    <w:p w:rsidR="00000000" w:rsidDel="00000000" w:rsidP="00000000" w:rsidRDefault="00000000" w:rsidRPr="00000000" w14:paraId="00000094">
      <w:pPr>
        <w:numPr>
          <w:ilvl w:val="0"/>
          <w:numId w:val="3"/>
        </w:numPr>
        <w:ind w:left="720" w:hanging="360"/>
        <w:rPr>
          <w:u w:val="none"/>
        </w:rPr>
      </w:pPr>
      <w:r w:rsidDel="00000000" w:rsidR="00000000" w:rsidRPr="00000000">
        <w:rPr>
          <w:rtl w:val="0"/>
        </w:rPr>
        <w:t xml:space="preserve">Definición de targets: Machine failure (HDF, PWF, OSF, TWF).</w:t>
      </w:r>
    </w:p>
    <w:p w:rsidR="00000000" w:rsidDel="00000000" w:rsidP="00000000" w:rsidRDefault="00000000" w:rsidRPr="00000000" w14:paraId="00000095">
      <w:pPr>
        <w:numPr>
          <w:ilvl w:val="0"/>
          <w:numId w:val="3"/>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Infografía que muestre el flujo: Dolor de Negocio -&gt; Pregunta Analítica -&gt; Métrica de Ingeniería.</w:t>
      </w:r>
    </w:p>
    <w:p w:rsidR="00000000" w:rsidDel="00000000" w:rsidP="00000000" w:rsidRDefault="00000000" w:rsidRPr="00000000" w14:paraId="00000096">
      <w:pPr>
        <w:numPr>
          <w:ilvl w:val="0"/>
          <w:numId w:val="3"/>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En el dataset AI4I 2020, cada "feature" como la velocidad de rotación (rpm) o el desgaste de herramienta es una respuesta potencial a un problema de confiabilidad en planta.</w:t>
      </w:r>
    </w:p>
    <w:p w:rsidR="00000000" w:rsidDel="00000000" w:rsidP="00000000" w:rsidRDefault="00000000" w:rsidRPr="00000000" w14:paraId="00000097">
      <w:pPr>
        <w:numPr>
          <w:ilvl w:val="0"/>
          <w:numId w:val="3"/>
        </w:numPr>
        <w:ind w:left="720" w:hanging="360"/>
        <w:rPr>
          <w:u w:val="none"/>
        </w:rPr>
      </w:pPr>
      <w:r w:rsidDel="00000000" w:rsidR="00000000" w:rsidRPr="00000000">
        <w:rPr>
          <w:b w:val="1"/>
          <w:bCs w:val="1"/>
          <w:rtl w:val="0"/>
        </w:rPr>
        <w:t xml:space="preserve">Fuente:</w:t>
      </w:r>
      <w:r w:rsidDel="00000000" w:rsidR="00000000" w:rsidRPr="00000000">
        <w:rPr>
          <w:rtl w:val="0"/>
        </w:rPr>
        <w:t xml:space="preserve">  "AI4I 2020 Predictive Maintenance Dataset - UCI Machine Learning Repository".</w:t>
      </w:r>
    </w:p>
    <w:p w:rsidR="00000000" w:rsidDel="00000000" w:rsidP="00000000" w:rsidRDefault="00000000" w:rsidRPr="00000000" w14:paraId="00000098">
      <w:pPr>
        <w:numPr>
          <w:ilvl w:val="0"/>
          <w:numId w:val="3"/>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"De estas preguntas técnicas nacen nuestros indicadores clave de rendimiento".</w:t>
      </w:r>
    </w:p>
    <w:p w:rsidR="00000000" w:rsidDel="00000000" w:rsidP="00000000" w:rsidRDefault="00000000" w:rsidRPr="00000000" w14:paraId="00000099">
      <w:pPr>
        <w:pStyle w:val="Heading4"/>
        <w:rPr/>
      </w:pPr>
      <w:bookmarkStart w:colFirst="0" w:colLast="0" w:name="_wwlxmvoodt1d" w:id="11"/>
      <w:bookmarkEnd w:id="11"/>
      <w:r w:rsidDel="00000000" w:rsidR="00000000" w:rsidRPr="00000000">
        <w:rPr>
          <w:rtl w:val="0"/>
        </w:rPr>
        <w:t xml:space="preserve">11. Diseño de KPIs e Indicadores Clave</w:t>
      </w:r>
    </w:p>
    <w:p w:rsidR="00000000" w:rsidDel="00000000" w:rsidP="00000000" w:rsidRDefault="00000000" w:rsidRPr="00000000" w14:paraId="0000009A">
      <w:pPr>
        <w:rPr/>
      </w:pPr>
      <w:r w:rsidDel="00000000" w:rsidR="00000000" w:rsidRPr="00000000">
        <w:rPr>
          <w:rtl w:val="0"/>
        </w:rPr>
        <w:t xml:space="preserve">Un KPI es una medida de estado que debe comunicar éxito o alerta instantáneamente. En entornos de alta ingeniería, el uso de cadenas de formato dinámico permite que las métricas sean claras y precisas sin sacrificar la naturaleza numérica de los datos.</w:t>
      </w:r>
    </w:p>
    <w:p w:rsidR="00000000" w:rsidDel="00000000" w:rsidP="00000000" w:rsidRDefault="00000000" w:rsidRPr="00000000" w14:paraId="0000009B">
      <w:pPr>
        <w:numPr>
          <w:ilvl w:val="0"/>
          <w:numId w:val="10"/>
        </w:numPr>
        <w:ind w:left="720" w:hanging="360"/>
        <w:rPr>
          <w:u w:val="none"/>
        </w:rPr>
      </w:pPr>
      <w:r w:rsidDel="00000000" w:rsidR="00000000" w:rsidRPr="00000000">
        <w:rPr>
          <w:b w:val="1"/>
          <w:bCs w:val="1"/>
          <w:rtl w:val="0"/>
        </w:rPr>
        <w:t xml:space="preserve">Número:</w:t>
      </w:r>
      <w:r w:rsidDel="00000000" w:rsidR="00000000" w:rsidRPr="00000000">
        <w:rPr>
          <w:rtl w:val="0"/>
        </w:rPr>
        <w:t xml:space="preserve">  11</w:t>
      </w:r>
    </w:p>
    <w:p w:rsidR="00000000" w:rsidDel="00000000" w:rsidP="00000000" w:rsidRDefault="00000000" w:rsidRPr="00000000" w14:paraId="0000009C">
      <w:pPr>
        <w:numPr>
          <w:ilvl w:val="0"/>
          <w:numId w:val="10"/>
        </w:numPr>
        <w:ind w:left="720" w:hanging="360"/>
        <w:rPr>
          <w:u w:val="none"/>
        </w:rPr>
      </w:pPr>
      <w:r w:rsidDel="00000000" w:rsidR="00000000" w:rsidRPr="00000000">
        <w:rPr>
          <w:b w:val="1"/>
          <w:bCs w:val="1"/>
          <w:rtl w:val="0"/>
        </w:rPr>
        <w:t xml:space="preserve">Título:</w:t>
      </w:r>
      <w:r w:rsidDel="00000000" w:rsidR="00000000" w:rsidRPr="00000000">
        <w:rPr>
          <w:rtl w:val="0"/>
        </w:rPr>
        <w:t xml:space="preserve">  Diseño de KPIs e Indicadores Clave.</w:t>
      </w:r>
    </w:p>
    <w:p w:rsidR="00000000" w:rsidDel="00000000" w:rsidP="00000000" w:rsidRDefault="00000000" w:rsidRPr="00000000" w14:paraId="0000009D">
      <w:pPr>
        <w:numPr>
          <w:ilvl w:val="0"/>
          <w:numId w:val="10"/>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Crear indicadores que reflejen estados críticos de salud del negocio.</w:t>
      </w:r>
    </w:p>
    <w:p w:rsidR="00000000" w:rsidDel="00000000" w:rsidP="00000000" w:rsidRDefault="00000000" w:rsidRPr="00000000" w14:paraId="0000009E">
      <w:pPr>
        <w:numPr>
          <w:ilvl w:val="0"/>
          <w:numId w:val="10"/>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Un KPI debe indicar inmediatamente si estamos en un estado de "éxito" o "alerta".</w:t>
      </w:r>
    </w:p>
    <w:p w:rsidR="00000000" w:rsidDel="00000000" w:rsidP="00000000" w:rsidRDefault="00000000" w:rsidRPr="00000000" w14:paraId="0000009F">
      <w:pPr>
        <w:numPr>
          <w:ilvl w:val="0"/>
          <w:numId w:val="10"/>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A0">
      <w:pPr>
        <w:numPr>
          <w:ilvl w:val="0"/>
          <w:numId w:val="10"/>
        </w:numPr>
        <w:ind w:left="720" w:hanging="360"/>
        <w:rPr>
          <w:u w:val="none"/>
        </w:rPr>
      </w:pPr>
      <w:r w:rsidDel="00000000" w:rsidR="00000000" w:rsidRPr="00000000">
        <w:rPr>
          <w:rtl w:val="0"/>
        </w:rPr>
        <w:t xml:space="preserve">Atributos de un KPI efectivo: relevancia, claridad y capacidad de comparación.</w:t>
      </w:r>
    </w:p>
    <w:p w:rsidR="00000000" w:rsidDel="00000000" w:rsidP="00000000" w:rsidRDefault="00000000" w:rsidRPr="00000000" w14:paraId="000000A1">
      <w:pPr>
        <w:numPr>
          <w:ilvl w:val="0"/>
          <w:numId w:val="10"/>
        </w:numPr>
        <w:ind w:left="720" w:hanging="360"/>
        <w:rPr>
          <w:u w:val="none"/>
        </w:rPr>
      </w:pPr>
      <w:r w:rsidDel="00000000" w:rsidR="00000000" w:rsidRPr="00000000">
        <w:rPr>
          <w:rtl w:val="0"/>
        </w:rPr>
        <w:t xml:space="preserve">Dynamic Format Strings: aplicación de formatos condicionales mediante DAX.</w:t>
      </w:r>
    </w:p>
    <w:p w:rsidR="00000000" w:rsidDel="00000000" w:rsidP="00000000" w:rsidRDefault="00000000" w:rsidRPr="00000000" w14:paraId="000000A2">
      <w:pPr>
        <w:numPr>
          <w:ilvl w:val="0"/>
          <w:numId w:val="10"/>
        </w:numPr>
        <w:ind w:left="720" w:hanging="360"/>
        <w:rPr>
          <w:u w:val="none"/>
        </w:rPr>
      </w:pPr>
      <w:r w:rsidDel="00000000" w:rsidR="00000000" w:rsidRPr="00000000">
        <w:rPr>
          <w:rtl w:val="0"/>
        </w:rPr>
        <w:t xml:space="preserve">Ventaja técnica: permite usar valores en cuadros de texto dinámicos manteniendo el tipo numérico.</w:t>
      </w:r>
    </w:p>
    <w:p w:rsidR="00000000" w:rsidDel="00000000" w:rsidP="00000000" w:rsidRDefault="00000000" w:rsidRPr="00000000" w14:paraId="000000A3">
      <w:pPr>
        <w:numPr>
          <w:ilvl w:val="0"/>
          <w:numId w:val="10"/>
        </w:numPr>
        <w:ind w:left="720" w:hanging="360"/>
        <w:rPr>
          <w:u w:val="none"/>
        </w:rPr>
      </w:pPr>
      <w:r w:rsidDel="00000000" w:rsidR="00000000" w:rsidRPr="00000000">
        <w:rPr>
          <w:rtl w:val="0"/>
        </w:rPr>
        <w:t xml:space="preserve">Visualización: integración en tarjetas y velocímetros con formato según región o unidad.</w:t>
      </w:r>
    </w:p>
    <w:p w:rsidR="00000000" w:rsidDel="00000000" w:rsidP="00000000" w:rsidRDefault="00000000" w:rsidRPr="00000000" w14:paraId="000000A4">
      <w:pPr>
        <w:numPr>
          <w:ilvl w:val="0"/>
          <w:numId w:val="10"/>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Ejemplo de un KPI con formato condicional (Verde/Rojo) y el uso de una medida dinámica en un cuadro de texto.</w:t>
      </w:r>
    </w:p>
    <w:p w:rsidR="00000000" w:rsidDel="00000000" w:rsidP="00000000" w:rsidRDefault="00000000" w:rsidRPr="00000000" w14:paraId="000000A5">
      <w:pPr>
        <w:numPr>
          <w:ilvl w:val="0"/>
          <w:numId w:val="10"/>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Las "dynamic format strings" son superiores a la función FORMAT porque el dato sigue siendo un número. Esto permite que los gráficos y cuadros de texto dinámicos reflejen la unidad correcta sin perder potencia analítica.</w:t>
      </w:r>
    </w:p>
    <w:p w:rsidR="00000000" w:rsidDel="00000000" w:rsidP="00000000" w:rsidRDefault="00000000" w:rsidRPr="00000000" w14:paraId="000000A6">
      <w:pPr>
        <w:numPr>
          <w:ilvl w:val="0"/>
          <w:numId w:val="10"/>
        </w:numPr>
        <w:ind w:left="720" w:hanging="360"/>
        <w:rPr>
          <w:u w:val="none"/>
        </w:rPr>
      </w:pPr>
      <w:r w:rsidDel="00000000" w:rsidR="00000000" w:rsidRPr="00000000">
        <w:rPr>
          <w:b w:val="1"/>
          <w:bCs w:val="1"/>
          <w:rtl w:val="0"/>
        </w:rPr>
        <w:t xml:space="preserve">Fuente:</w:t>
      </w:r>
      <w:r w:rsidDel="00000000" w:rsidR="00000000" w:rsidRPr="00000000">
        <w:rPr>
          <w:rtl w:val="0"/>
        </w:rPr>
        <w:t xml:space="preserve">  "Create dynamic format strings for measures - Power BI | Microsoft Learn".</w:t>
      </w:r>
    </w:p>
    <w:p w:rsidR="00000000" w:rsidDel="00000000" w:rsidP="00000000" w:rsidRDefault="00000000" w:rsidRPr="00000000" w14:paraId="000000A7">
      <w:pPr>
        <w:numPr>
          <w:ilvl w:val="0"/>
          <w:numId w:val="10"/>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"Definidas las métricas, diseñemos la arquitectura visual donde vivirán".</w:t>
      </w:r>
    </w:p>
    <w:p w:rsidR="00000000" w:rsidDel="00000000" w:rsidP="00000000" w:rsidRDefault="00000000" w:rsidRPr="00000000" w14:paraId="000000A8">
      <w:pPr>
        <w:pStyle w:val="Heading4"/>
        <w:rPr/>
      </w:pPr>
      <w:bookmarkStart w:colFirst="0" w:colLast="0" w:name="_msb9f02drqfq" w:id="12"/>
      <w:bookmarkEnd w:id="12"/>
      <w:r w:rsidDel="00000000" w:rsidR="00000000" w:rsidRPr="00000000">
        <w:rPr>
          <w:rtl w:val="0"/>
        </w:rPr>
        <w:t xml:space="preserve">12. Arquitectura de Información y Wireframing</w:t>
      </w:r>
    </w:p>
    <w:p w:rsidR="00000000" w:rsidDel="00000000" w:rsidP="00000000" w:rsidRDefault="00000000" w:rsidRPr="00000000" w14:paraId="000000A9">
      <w:pPr>
        <w:rPr/>
      </w:pPr>
      <w:r w:rsidDel="00000000" w:rsidR="00000000" w:rsidRPr="00000000">
        <w:rPr>
          <w:rtl w:val="0"/>
        </w:rPr>
        <w:t xml:space="preserve">La planificación visual es ingeniería de interfaz. Debemos estructurar la información de lo general a lo específico, asegurando que la solución sea funcional tanto en pantallas de alta resolución como en dispositivos móviles utilizados en campo.</w:t>
      </w:r>
    </w:p>
    <w:p w:rsidR="00000000" w:rsidDel="00000000" w:rsidP="00000000" w:rsidRDefault="00000000" w:rsidRPr="00000000" w14:paraId="000000AA">
      <w:pPr>
        <w:numPr>
          <w:ilvl w:val="0"/>
          <w:numId w:val="11"/>
        </w:numPr>
        <w:ind w:left="720" w:hanging="360"/>
        <w:rPr>
          <w:u w:val="none"/>
        </w:rPr>
      </w:pPr>
      <w:r w:rsidDel="00000000" w:rsidR="00000000" w:rsidRPr="00000000">
        <w:rPr>
          <w:b w:val="1"/>
          <w:bCs w:val="1"/>
          <w:rtl w:val="0"/>
        </w:rPr>
        <w:t xml:space="preserve">Número:</w:t>
      </w:r>
      <w:r w:rsidDel="00000000" w:rsidR="00000000" w:rsidRPr="00000000">
        <w:rPr>
          <w:rtl w:val="0"/>
        </w:rPr>
        <w:t xml:space="preserve">  12</w:t>
      </w:r>
    </w:p>
    <w:p w:rsidR="00000000" w:rsidDel="00000000" w:rsidP="00000000" w:rsidRDefault="00000000" w:rsidRPr="00000000" w14:paraId="000000AB">
      <w:pPr>
        <w:numPr>
          <w:ilvl w:val="0"/>
          <w:numId w:val="11"/>
        </w:numPr>
        <w:ind w:left="720" w:hanging="360"/>
        <w:rPr>
          <w:u w:val="none"/>
        </w:rPr>
      </w:pPr>
      <w:r w:rsidDel="00000000" w:rsidR="00000000" w:rsidRPr="00000000">
        <w:rPr>
          <w:b w:val="1"/>
          <w:bCs w:val="1"/>
          <w:rtl w:val="0"/>
        </w:rPr>
        <w:t xml:space="preserve">Título:</w:t>
      </w:r>
      <w:r w:rsidDel="00000000" w:rsidR="00000000" w:rsidRPr="00000000">
        <w:rPr>
          <w:rtl w:val="0"/>
        </w:rPr>
        <w:t xml:space="preserve">  Arquitectura de Información y Wireframing.</w:t>
      </w:r>
    </w:p>
    <w:p w:rsidR="00000000" w:rsidDel="00000000" w:rsidP="00000000" w:rsidRDefault="00000000" w:rsidRPr="00000000" w14:paraId="000000AC">
      <w:pPr>
        <w:numPr>
          <w:ilvl w:val="0"/>
          <w:numId w:val="11"/>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Estructurar el reporte para diferentes dispositivos y audiencias.</w:t>
      </w:r>
    </w:p>
    <w:p w:rsidR="00000000" w:rsidDel="00000000" w:rsidP="00000000" w:rsidRDefault="00000000" w:rsidRPr="00000000" w14:paraId="000000AD">
      <w:pPr>
        <w:numPr>
          <w:ilvl w:val="0"/>
          <w:numId w:val="11"/>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El diseño debe fluir de lo general (Top) a lo específico (Bottom).</w:t>
      </w:r>
    </w:p>
    <w:p w:rsidR="00000000" w:rsidDel="00000000" w:rsidP="00000000" w:rsidRDefault="00000000" w:rsidRPr="00000000" w14:paraId="000000AE">
      <w:pPr>
        <w:numPr>
          <w:ilvl w:val="0"/>
          <w:numId w:val="11"/>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AF">
      <w:pPr>
        <w:numPr>
          <w:ilvl w:val="0"/>
          <w:numId w:val="11"/>
        </w:numPr>
        <w:ind w:left="720" w:hanging="360"/>
        <w:rPr>
          <w:u w:val="none"/>
        </w:rPr>
      </w:pPr>
      <w:r w:rsidDel="00000000" w:rsidR="00000000" w:rsidRPr="00000000">
        <w:rPr>
          <w:rtl w:val="0"/>
        </w:rPr>
        <w:t xml:space="preserve">Priorización de contenido técnico: enfoque en lo significativo, eliminación del ruido.</w:t>
      </w:r>
    </w:p>
    <w:p w:rsidR="00000000" w:rsidDel="00000000" w:rsidP="00000000" w:rsidRDefault="00000000" w:rsidRPr="00000000" w14:paraId="000000B0">
      <w:pPr>
        <w:numPr>
          <w:ilvl w:val="0"/>
          <w:numId w:val="11"/>
        </w:numPr>
        <w:ind w:left="720" w:hanging="360"/>
        <w:rPr>
          <w:u w:val="none"/>
        </w:rPr>
      </w:pPr>
      <w:r w:rsidDel="00000000" w:rsidR="00000000" w:rsidRPr="00000000">
        <w:rPr>
          <w:rtl w:val="0"/>
        </w:rPr>
        <w:t xml:space="preserve">Diseño móvil: ancho máximo de 323 pt y flujo estrictamente vertical.</w:t>
      </w:r>
    </w:p>
    <w:p w:rsidR="00000000" w:rsidDel="00000000" w:rsidP="00000000" w:rsidRDefault="00000000" w:rsidRPr="00000000" w14:paraId="000000B1">
      <w:pPr>
        <w:numPr>
          <w:ilvl w:val="0"/>
          <w:numId w:val="11"/>
        </w:numPr>
        <w:ind w:left="720" w:hanging="360"/>
        <w:rPr>
          <w:u w:val="none"/>
        </w:rPr>
      </w:pPr>
      <w:r w:rsidDel="00000000" w:rsidR="00000000" w:rsidRPr="00000000">
        <w:rPr>
          <w:rtl w:val="0"/>
        </w:rPr>
        <w:t xml:space="preserve">UX móvil: evitar colocar visuales lado a lado (excepto tarjetas o KPIs).</w:t>
      </w:r>
    </w:p>
    <w:p w:rsidR="00000000" w:rsidDel="00000000" w:rsidP="00000000" w:rsidRDefault="00000000" w:rsidRPr="00000000" w14:paraId="000000B2">
      <w:pPr>
        <w:numPr>
          <w:ilvl w:val="0"/>
          <w:numId w:val="11"/>
        </w:numPr>
        <w:ind w:left="720" w:hanging="360"/>
        <w:rPr>
          <w:u w:val="none"/>
        </w:rPr>
      </w:pPr>
      <w:r w:rsidDel="00000000" w:rsidR="00000000" w:rsidRPr="00000000">
        <w:rPr>
          <w:rtl w:val="0"/>
        </w:rPr>
        <w:t xml:space="preserve">Interactividad: uso de Tooltips personalizados para detalles profundos sin saturar la pantalla.</w:t>
      </w:r>
    </w:p>
    <w:p w:rsidR="00000000" w:rsidDel="00000000" w:rsidP="00000000" w:rsidRDefault="00000000" w:rsidRPr="00000000" w14:paraId="000000B3">
      <w:pPr>
        <w:numPr>
          <w:ilvl w:val="0"/>
          <w:numId w:val="11"/>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Wireframe comparativo entre un Layout de Escritorio y un Layout Móvil (323 pt) con disposición vertical de elementos.</w:t>
      </w:r>
    </w:p>
    <w:p w:rsidR="00000000" w:rsidDel="00000000" w:rsidP="00000000" w:rsidRDefault="00000000" w:rsidRPr="00000000" w14:paraId="000000B4">
      <w:pPr>
        <w:numPr>
          <w:ilvl w:val="0"/>
          <w:numId w:val="11"/>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En el diseño móvil, la claridad es ley. Al limitar el ancho a 323 pt y evitar visuales laterales, aseguramos que el personal en planta pueda consumir información crítica de forma eficiente.</w:t>
      </w:r>
    </w:p>
    <w:p w:rsidR="00000000" w:rsidDel="00000000" w:rsidP="00000000" w:rsidRDefault="00000000" w:rsidRPr="00000000" w14:paraId="000000B5">
      <w:pPr>
        <w:numPr>
          <w:ilvl w:val="0"/>
          <w:numId w:val="11"/>
        </w:numPr>
        <w:ind w:left="720" w:hanging="360"/>
        <w:rPr>
          <w:u w:val="none"/>
        </w:rPr>
      </w:pPr>
      <w:r w:rsidDel="00000000" w:rsidR="00000000" w:rsidRPr="00000000">
        <w:rPr>
          <w:b w:val="1"/>
          <w:bCs w:val="1"/>
          <w:rtl w:val="0"/>
        </w:rPr>
        <w:t xml:space="preserve">Fuente:</w:t>
      </w:r>
      <w:r w:rsidDel="00000000" w:rsidR="00000000" w:rsidRPr="00000000">
        <w:rPr>
          <w:rtl w:val="0"/>
        </w:rPr>
        <w:t xml:space="preserve">  "Best practices for creating mobile-optimized Power BI reports".</w:t>
      </w:r>
    </w:p>
    <w:p w:rsidR="00000000" w:rsidDel="00000000" w:rsidP="00000000" w:rsidRDefault="00000000" w:rsidRPr="00000000" w14:paraId="000000B6">
      <w:pPr>
        <w:numPr>
          <w:ilvl w:val="0"/>
          <w:numId w:val="11"/>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"Podemos potenciar este diseño utilizando herramientas de Inteligencia Artificial".</w:t>
      </w:r>
    </w:p>
    <w:p w:rsidR="00000000" w:rsidDel="00000000" w:rsidP="00000000" w:rsidRDefault="00000000" w:rsidRPr="00000000" w14:paraId="000000B7">
      <w:pPr>
        <w:pStyle w:val="Heading4"/>
        <w:rPr/>
      </w:pPr>
      <w:bookmarkStart w:colFirst="0" w:colLast="0" w:name="_xvnj316ejjb9" w:id="13"/>
      <w:bookmarkEnd w:id="13"/>
      <w:r w:rsidDel="00000000" w:rsidR="00000000" w:rsidRPr="00000000">
        <w:rPr>
          <w:rtl w:val="0"/>
        </w:rPr>
        <w:t xml:space="preserve">13. Inteligencia Artificial Integrada</w:t>
      </w:r>
    </w:p>
    <w:p w:rsidR="00000000" w:rsidDel="00000000" w:rsidP="00000000" w:rsidRDefault="00000000" w:rsidRPr="00000000" w14:paraId="000000B8">
      <w:pPr>
        <w:rPr/>
      </w:pPr>
      <w:r w:rsidDel="00000000" w:rsidR="00000000" w:rsidRPr="00000000">
        <w:rPr>
          <w:rtl w:val="0"/>
        </w:rPr>
        <w:t xml:space="preserve">Power BI democratiza el análisis de causa raíz mediante visuales de IA. Estas herramientas permiten descubrir patrones en datos industriales que podrían pasar desapercibidos para el ojo humano, facilitando una exploración de datos ad hoc y rápida.</w:t>
      </w:r>
    </w:p>
    <w:p w:rsidR="00000000" w:rsidDel="00000000" w:rsidP="00000000" w:rsidRDefault="00000000" w:rsidRPr="00000000" w14:paraId="000000B9">
      <w:pPr>
        <w:numPr>
          <w:ilvl w:val="0"/>
          <w:numId w:val="4"/>
        </w:numPr>
        <w:ind w:left="720" w:hanging="360"/>
        <w:rPr>
          <w:u w:val="none"/>
        </w:rPr>
      </w:pPr>
      <w:r w:rsidDel="00000000" w:rsidR="00000000" w:rsidRPr="00000000">
        <w:rPr>
          <w:b w:val="1"/>
          <w:bCs w:val="1"/>
          <w:rtl w:val="0"/>
        </w:rPr>
        <w:t xml:space="preserve">Número:</w:t>
      </w:r>
      <w:r w:rsidDel="00000000" w:rsidR="00000000" w:rsidRPr="00000000">
        <w:rPr>
          <w:rtl w:val="0"/>
        </w:rPr>
        <w:t xml:space="preserve">  13</w:t>
      </w:r>
    </w:p>
    <w:p w:rsidR="00000000" w:rsidDel="00000000" w:rsidP="00000000" w:rsidRDefault="00000000" w:rsidRPr="00000000" w14:paraId="000000BA">
      <w:pPr>
        <w:numPr>
          <w:ilvl w:val="0"/>
          <w:numId w:val="4"/>
        </w:numPr>
        <w:ind w:left="720" w:hanging="360"/>
        <w:rPr>
          <w:u w:val="none"/>
        </w:rPr>
      </w:pPr>
      <w:r w:rsidDel="00000000" w:rsidR="00000000" w:rsidRPr="00000000">
        <w:rPr>
          <w:b w:val="1"/>
          <w:bCs w:val="1"/>
          <w:rtl w:val="0"/>
        </w:rPr>
        <w:t xml:space="preserve">Título:</w:t>
      </w:r>
      <w:r w:rsidDel="00000000" w:rsidR="00000000" w:rsidRPr="00000000">
        <w:rPr>
          <w:rtl w:val="0"/>
        </w:rPr>
        <w:t xml:space="preserve">  Inteligencia Artificial Integrada.</w:t>
      </w:r>
    </w:p>
    <w:p w:rsidR="00000000" w:rsidDel="00000000" w:rsidP="00000000" w:rsidRDefault="00000000" w:rsidRPr="00000000" w14:paraId="000000BB">
      <w:pPr>
        <w:numPr>
          <w:ilvl w:val="0"/>
          <w:numId w:val="4"/>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Utilizar visuales de IA para análisis de causa raíz.</w:t>
      </w:r>
    </w:p>
    <w:p w:rsidR="00000000" w:rsidDel="00000000" w:rsidP="00000000" w:rsidRDefault="00000000" w:rsidRPr="00000000" w14:paraId="000000BC">
      <w:pPr>
        <w:numPr>
          <w:ilvl w:val="0"/>
          <w:numId w:val="4"/>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La IA en Power BI democratiza el análisis avanzado sin necesidad de código.</w:t>
      </w:r>
    </w:p>
    <w:p w:rsidR="00000000" w:rsidDel="00000000" w:rsidP="00000000" w:rsidRDefault="00000000" w:rsidRPr="00000000" w14:paraId="000000BD">
      <w:pPr>
        <w:numPr>
          <w:ilvl w:val="0"/>
          <w:numId w:val="4"/>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BE">
      <w:pPr>
        <w:numPr>
          <w:ilvl w:val="0"/>
          <w:numId w:val="4"/>
        </w:numPr>
        <w:ind w:left="720" w:hanging="360"/>
        <w:rPr>
          <w:u w:val="none"/>
        </w:rPr>
      </w:pPr>
      <w:r w:rsidDel="00000000" w:rsidR="00000000" w:rsidRPr="00000000">
        <w:rPr>
          <w:rtl w:val="0"/>
        </w:rPr>
        <w:t xml:space="preserve">Decomposition Tree: desglose de métricas técnicas a través de múltiples dimensiones.</w:t>
      </w:r>
    </w:p>
    <w:p w:rsidR="00000000" w:rsidDel="00000000" w:rsidP="00000000" w:rsidRDefault="00000000" w:rsidRPr="00000000" w14:paraId="000000BF">
      <w:pPr>
        <w:numPr>
          <w:ilvl w:val="0"/>
          <w:numId w:val="4"/>
        </w:numPr>
        <w:ind w:left="720" w:hanging="360"/>
        <w:rPr>
          <w:u w:val="none"/>
        </w:rPr>
      </w:pPr>
      <w:r w:rsidDel="00000000" w:rsidR="00000000" w:rsidRPr="00000000">
        <w:rPr>
          <w:rtl w:val="0"/>
        </w:rPr>
        <w:t xml:space="preserve">AI Splits: detección automática de valores altos y bajos (High/Low Value).</w:t>
      </w:r>
    </w:p>
    <w:p w:rsidR="00000000" w:rsidDel="00000000" w:rsidP="00000000" w:rsidRDefault="00000000" w:rsidRPr="00000000" w14:paraId="000000C0">
      <w:pPr>
        <w:numPr>
          <w:ilvl w:val="0"/>
          <w:numId w:val="4"/>
        </w:numPr>
        <w:ind w:left="720" w:hanging="360"/>
        <w:rPr>
          <w:u w:val="none"/>
        </w:rPr>
      </w:pPr>
      <w:r w:rsidDel="00000000" w:rsidR="00000000" w:rsidRPr="00000000">
        <w:rPr>
          <w:rtl w:val="0"/>
        </w:rPr>
        <w:t xml:space="preserve">Anomalies: identificación de picos o caídas inesperadas en series temporales de sensores.</w:t>
      </w:r>
    </w:p>
    <w:p w:rsidR="00000000" w:rsidDel="00000000" w:rsidP="00000000" w:rsidRDefault="00000000" w:rsidRPr="00000000" w14:paraId="000000C1">
      <w:pPr>
        <w:numPr>
          <w:ilvl w:val="0"/>
          <w:numId w:val="4"/>
        </w:numPr>
        <w:ind w:left="720" w:hanging="360"/>
        <w:rPr>
          <w:u w:val="none"/>
        </w:rPr>
      </w:pPr>
      <w:r w:rsidDel="00000000" w:rsidR="00000000" w:rsidRPr="00000000">
        <w:rPr>
          <w:rtl w:val="0"/>
        </w:rPr>
        <w:t xml:space="preserve">Forecasting: predicción de tendencias futuras basada en historial de planta.</w:t>
      </w:r>
    </w:p>
    <w:p w:rsidR="00000000" w:rsidDel="00000000" w:rsidP="00000000" w:rsidRDefault="00000000" w:rsidRPr="00000000" w14:paraId="000000C2">
      <w:pPr>
        <w:numPr>
          <w:ilvl w:val="0"/>
          <w:numId w:val="4"/>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Un "Decomposition Tree" analizando la medida "Machine Failure" desglosada por "Type" y "Torque (Nm)".</w:t>
      </w:r>
    </w:p>
    <w:p w:rsidR="00000000" w:rsidDel="00000000" w:rsidP="00000000" w:rsidRDefault="00000000" w:rsidRPr="00000000" w14:paraId="000000C3">
      <w:pPr>
        <w:numPr>
          <w:ilvl w:val="0"/>
          <w:numId w:val="4"/>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El Árbol de Descomposición es ideal para mantenimiento. Podemos analizar una falla y pedirle a la IA que identifique si el torque o el desgaste de herramienta son los factores que más influyen en el incremento del indicador.</w:t>
      </w:r>
    </w:p>
    <w:p w:rsidR="00000000" w:rsidDel="00000000" w:rsidP="00000000" w:rsidRDefault="00000000" w:rsidRPr="00000000" w14:paraId="000000C4">
      <w:pPr>
        <w:numPr>
          <w:ilvl w:val="0"/>
          <w:numId w:val="4"/>
        </w:numPr>
        <w:ind w:left="720" w:hanging="360"/>
        <w:rPr>
          <w:u w:val="none"/>
        </w:rPr>
      </w:pPr>
      <w:r w:rsidDel="00000000" w:rsidR="00000000" w:rsidRPr="00000000">
        <w:rPr>
          <w:b w:val="1"/>
          <w:bCs w:val="1"/>
          <w:rtl w:val="0"/>
        </w:rPr>
        <w:t xml:space="preserve">Fuente:</w:t>
      </w:r>
      <w:r w:rsidDel="00000000" w:rsidR="00000000" w:rsidRPr="00000000">
        <w:rPr>
          <w:rtl w:val="0"/>
        </w:rPr>
        <w:t xml:space="preserve">  "Create and View Decomposition Tree Visuals in Power BI - Power BI | Microsoft Learn".</w:t>
      </w:r>
    </w:p>
    <w:p w:rsidR="00000000" w:rsidDel="00000000" w:rsidP="00000000" w:rsidRDefault="00000000" w:rsidRPr="00000000" w14:paraId="000000C5">
      <w:pPr>
        <w:numPr>
          <w:ilvl w:val="0"/>
          <w:numId w:val="4"/>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"La IA es una aliada poderosa, pero requiere supervisión técnica y ética".</w:t>
      </w:r>
    </w:p>
    <w:p w:rsidR="00000000" w:rsidDel="00000000" w:rsidP="00000000" w:rsidRDefault="00000000" w:rsidRPr="00000000" w14:paraId="000000C6">
      <w:pPr>
        <w:pStyle w:val="Heading4"/>
        <w:rPr/>
      </w:pPr>
      <w:bookmarkStart w:colFirst="0" w:colLast="0" w:name="_8y628gu57i2o" w:id="14"/>
      <w:bookmarkEnd w:id="14"/>
      <w:r w:rsidDel="00000000" w:rsidR="00000000" w:rsidRPr="00000000">
        <w:rPr>
          <w:rtl w:val="0"/>
        </w:rPr>
        <w:t xml:space="preserve">14. Ética y Validación en la Analítica con IA</w:t>
      </w:r>
    </w:p>
    <w:p w:rsidR="00000000" w:rsidDel="00000000" w:rsidP="00000000" w:rsidRDefault="00000000" w:rsidRPr="00000000" w14:paraId="000000C7">
      <w:pPr>
        <w:rPr/>
      </w:pPr>
      <w:r w:rsidDel="00000000" w:rsidR="00000000" w:rsidRPr="00000000">
        <w:rPr>
          <w:rtl w:val="0"/>
        </w:rPr>
        <w:t xml:space="preserve">La Inteligencia Artificial es una herramienta de asistencia, no de reemplazo. Como expertos técnicos, somos responsables de validar los resultados generados para evitar riesgos de veracidad en la toma de decisiones críticas de ingeniería.</w:t>
      </w:r>
    </w:p>
    <w:p w:rsidR="00000000" w:rsidDel="00000000" w:rsidP="00000000" w:rsidRDefault="00000000" w:rsidRPr="00000000" w14:paraId="000000C8">
      <w:pPr>
        <w:numPr>
          <w:ilvl w:val="0"/>
          <w:numId w:val="14"/>
        </w:numPr>
        <w:ind w:left="720" w:hanging="360"/>
        <w:rPr>
          <w:u w:val="none"/>
        </w:rPr>
      </w:pPr>
      <w:r w:rsidDel="00000000" w:rsidR="00000000" w:rsidRPr="00000000">
        <w:rPr>
          <w:b w:val="1"/>
          <w:bCs w:val="1"/>
          <w:rtl w:val="0"/>
        </w:rPr>
        <w:t xml:space="preserve">Número:</w:t>
      </w:r>
      <w:r w:rsidDel="00000000" w:rsidR="00000000" w:rsidRPr="00000000">
        <w:rPr>
          <w:rtl w:val="0"/>
        </w:rPr>
        <w:t xml:space="preserve">  14</w:t>
      </w:r>
    </w:p>
    <w:p w:rsidR="00000000" w:rsidDel="00000000" w:rsidP="00000000" w:rsidRDefault="00000000" w:rsidRPr="00000000" w14:paraId="000000C9">
      <w:pPr>
        <w:numPr>
          <w:ilvl w:val="0"/>
          <w:numId w:val="14"/>
        </w:numPr>
        <w:ind w:left="720" w:hanging="360"/>
        <w:rPr>
          <w:u w:val="none"/>
        </w:rPr>
      </w:pPr>
      <w:r w:rsidDel="00000000" w:rsidR="00000000" w:rsidRPr="00000000">
        <w:rPr>
          <w:b w:val="1"/>
          <w:bCs w:val="1"/>
          <w:rtl w:val="0"/>
        </w:rPr>
        <w:t xml:space="preserve">Título:</w:t>
      </w:r>
      <w:r w:rsidDel="00000000" w:rsidR="00000000" w:rsidRPr="00000000">
        <w:rPr>
          <w:rtl w:val="0"/>
        </w:rPr>
        <w:t xml:space="preserve">  Ética y Validación en la Analítica con IA.</w:t>
      </w:r>
    </w:p>
    <w:p w:rsidR="00000000" w:rsidDel="00000000" w:rsidP="00000000" w:rsidRDefault="00000000" w:rsidRPr="00000000" w14:paraId="000000CA">
      <w:pPr>
        <w:numPr>
          <w:ilvl w:val="0"/>
          <w:numId w:val="14"/>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Implementar mecanismos de control sobre los resultados generados por IA.</w:t>
      </w:r>
    </w:p>
    <w:p w:rsidR="00000000" w:rsidDel="00000000" w:rsidP="00000000" w:rsidRDefault="00000000" w:rsidRPr="00000000" w14:paraId="000000CB">
      <w:pPr>
        <w:numPr>
          <w:ilvl w:val="0"/>
          <w:numId w:val="14"/>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El analista técnico es el responsable final de la veracidad del dato, no la IA.</w:t>
      </w:r>
    </w:p>
    <w:p w:rsidR="00000000" w:rsidDel="00000000" w:rsidP="00000000" w:rsidRDefault="00000000" w:rsidRPr="00000000" w14:paraId="000000CC">
      <w:pPr>
        <w:numPr>
          <w:ilvl w:val="0"/>
          <w:numId w:val="14"/>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CD">
      <w:pPr>
        <w:numPr>
          <w:ilvl w:val="0"/>
          <w:numId w:val="14"/>
        </w:numPr>
        <w:ind w:left="720" w:hanging="360"/>
        <w:rPr>
          <w:u w:val="none"/>
        </w:rPr>
      </w:pPr>
      <w:r w:rsidDel="00000000" w:rsidR="00000000" w:rsidRPr="00000000">
        <w:rPr>
          <w:rtl w:val="0"/>
        </w:rPr>
        <w:t xml:space="preserve">Riesgos de veracidad: supervisión necesaria en resúmenes de lenguaje natural generados.</w:t>
      </w:r>
    </w:p>
    <w:p w:rsidR="00000000" w:rsidDel="00000000" w:rsidP="00000000" w:rsidRDefault="00000000" w:rsidRPr="00000000" w14:paraId="000000CE">
      <w:pPr>
        <w:numPr>
          <w:ilvl w:val="0"/>
          <w:numId w:val="14"/>
        </w:numPr>
        <w:ind w:left="720" w:hanging="360"/>
        <w:rPr>
          <w:u w:val="none"/>
        </w:rPr>
      </w:pPr>
      <w:r w:rsidDel="00000000" w:rsidR="00000000" w:rsidRPr="00000000">
        <w:rPr>
          <w:rtl w:val="0"/>
        </w:rPr>
        <w:t xml:space="preserve">Validación cruzada: contrastar hallazgos de IA con medidas DAX manuales.</w:t>
      </w:r>
    </w:p>
    <w:p w:rsidR="00000000" w:rsidDel="00000000" w:rsidP="00000000" w:rsidRDefault="00000000" w:rsidRPr="00000000" w14:paraId="000000CF">
      <w:pPr>
        <w:numPr>
          <w:ilvl w:val="0"/>
          <w:numId w:val="14"/>
        </w:numPr>
        <w:ind w:left="720" w:hanging="360"/>
        <w:rPr>
          <w:u w:val="none"/>
        </w:rPr>
      </w:pPr>
      <w:r w:rsidDel="00000000" w:rsidR="00000000" w:rsidRPr="00000000">
        <w:rPr>
          <w:rtl w:val="0"/>
        </w:rPr>
        <w:t xml:space="preserve">Ajuste de sensibilidad: control de falsos positivos en la detección de anomalías.</w:t>
      </w:r>
    </w:p>
    <w:p w:rsidR="00000000" w:rsidDel="00000000" w:rsidP="00000000" w:rsidRDefault="00000000" w:rsidRPr="00000000" w14:paraId="000000D0">
      <w:pPr>
        <w:numPr>
          <w:ilvl w:val="0"/>
          <w:numId w:val="14"/>
        </w:numPr>
        <w:ind w:left="720" w:hanging="360"/>
        <w:rPr>
          <w:u w:val="none"/>
        </w:rPr>
      </w:pPr>
      <w:r w:rsidDel="00000000" w:rsidR="00000000" w:rsidRPr="00000000">
        <w:rPr>
          <w:rtl w:val="0"/>
        </w:rPr>
        <w:t xml:space="preserve">Uso responsable: revisión técnica de sugerencias de código o transformaciones.</w:t>
      </w:r>
    </w:p>
    <w:p w:rsidR="00000000" w:rsidDel="00000000" w:rsidP="00000000" w:rsidRDefault="00000000" w:rsidRPr="00000000" w14:paraId="000000D1">
      <w:pPr>
        <w:numPr>
          <w:ilvl w:val="0"/>
          <w:numId w:val="14"/>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Ícono de validación técnica sobre un visual de IA para representar el control humano necesario.</w:t>
      </w:r>
    </w:p>
    <w:p w:rsidR="00000000" w:rsidDel="00000000" w:rsidP="00000000" w:rsidRDefault="00000000" w:rsidRPr="00000000" w14:paraId="000000D2">
      <w:pPr>
        <w:numPr>
          <w:ilvl w:val="0"/>
          <w:numId w:val="14"/>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En contextos industriales, un error de interpretación de la IA puede ser costoso. La validación humana, contrastando los resultados de IA con nuestras propias medidas DAX, es una barrera de seguridad indispensable.</w:t>
      </w:r>
    </w:p>
    <w:p w:rsidR="00000000" w:rsidDel="00000000" w:rsidP="00000000" w:rsidRDefault="00000000" w:rsidRPr="00000000" w14:paraId="000000D3">
      <w:pPr>
        <w:numPr>
          <w:ilvl w:val="0"/>
          <w:numId w:val="14"/>
        </w:numPr>
        <w:ind w:left="720" w:hanging="360"/>
        <w:rPr>
          <w:u w:val="none"/>
        </w:rPr>
      </w:pPr>
      <w:r w:rsidDel="00000000" w:rsidR="00000000" w:rsidRPr="00000000">
        <w:rPr>
          <w:b w:val="1"/>
          <w:bCs w:val="1"/>
          <w:rtl w:val="0"/>
        </w:rPr>
        <w:t xml:space="preserve">Fuente:</w:t>
      </w:r>
      <w:r w:rsidDel="00000000" w:rsidR="00000000" w:rsidRPr="00000000">
        <w:rPr>
          <w:rtl w:val="0"/>
        </w:rPr>
        <w:t xml:space="preserve">  Basado en "AI Disclaimer" y notas de seguridad de Microsoft Learn.</w:t>
      </w:r>
    </w:p>
    <w:p w:rsidR="00000000" w:rsidDel="00000000" w:rsidP="00000000" w:rsidRDefault="00000000" w:rsidRPr="00000000" w14:paraId="000000D4">
      <w:pPr>
        <w:numPr>
          <w:ilvl w:val="0"/>
          <w:numId w:val="14"/>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"Es momento de aplicar todo este marco teórico en un escenario industrial real".</w:t>
      </w:r>
    </w:p>
    <w:p w:rsidR="00000000" w:rsidDel="00000000" w:rsidP="00000000" w:rsidRDefault="00000000" w:rsidRPr="00000000" w14:paraId="000000D5">
      <w:pPr>
        <w:pStyle w:val="Heading4"/>
        <w:rPr/>
      </w:pPr>
      <w:bookmarkStart w:colFirst="0" w:colLast="0" w:name="_6zt2pnnm4uj" w:id="15"/>
      <w:bookmarkEnd w:id="15"/>
      <w:r w:rsidDel="00000000" w:rsidR="00000000" w:rsidRPr="00000000">
        <w:rPr>
          <w:rtl w:val="0"/>
        </w:rPr>
        <w:t xml:space="preserve">15. Actividad práctica y cierre de la sesión</w:t>
      </w:r>
    </w:p>
    <w:p w:rsidR="00000000" w:rsidDel="00000000" w:rsidP="00000000" w:rsidRDefault="00000000" w:rsidRPr="00000000" w14:paraId="000000D6">
      <w:pPr>
        <w:rPr/>
      </w:pPr>
      <w:r w:rsidDel="00000000" w:rsidR="00000000" w:rsidRPr="00000000">
        <w:rPr>
          <w:rtl w:val="0"/>
        </w:rPr>
        <w:t xml:space="preserve">Concluiremos integrando los conceptos de arquitectura, cálculos y visualización. Este ejercicio práctico sienta las bases para el resto de la especialización, conectando la teoría con los desafíos reales del mantenimiento predictivo.</w:t>
      </w:r>
    </w:p>
    <w:p w:rsidR="00000000" w:rsidDel="00000000" w:rsidP="00000000" w:rsidRDefault="00000000" w:rsidRPr="00000000" w14:paraId="000000D7">
      <w:pPr>
        <w:numPr>
          <w:ilvl w:val="0"/>
          <w:numId w:val="12"/>
        </w:numPr>
        <w:ind w:left="720" w:hanging="360"/>
        <w:rPr>
          <w:u w:val="none"/>
        </w:rPr>
      </w:pPr>
      <w:r w:rsidDel="00000000" w:rsidR="00000000" w:rsidRPr="00000000">
        <w:rPr>
          <w:b w:val="1"/>
          <w:bCs w:val="1"/>
          <w:rtl w:val="0"/>
        </w:rPr>
        <w:t xml:space="preserve">Número:</w:t>
      </w:r>
      <w:r w:rsidDel="00000000" w:rsidR="00000000" w:rsidRPr="00000000">
        <w:rPr>
          <w:rtl w:val="0"/>
        </w:rPr>
        <w:t xml:space="preserve">  15</w:t>
      </w:r>
    </w:p>
    <w:p w:rsidR="00000000" w:rsidDel="00000000" w:rsidP="00000000" w:rsidRDefault="00000000" w:rsidRPr="00000000" w14:paraId="000000D8">
      <w:pPr>
        <w:numPr>
          <w:ilvl w:val="0"/>
          <w:numId w:val="12"/>
        </w:numPr>
        <w:ind w:left="720" w:hanging="360"/>
        <w:rPr>
          <w:u w:val="none"/>
        </w:rPr>
      </w:pPr>
      <w:r w:rsidDel="00000000" w:rsidR="00000000" w:rsidRPr="00000000">
        <w:rPr>
          <w:b w:val="1"/>
          <w:bCs w:val="1"/>
          <w:rtl w:val="0"/>
        </w:rPr>
        <w:t xml:space="preserve">Título:</w:t>
      </w:r>
      <w:r w:rsidDel="00000000" w:rsidR="00000000" w:rsidRPr="00000000">
        <w:rPr>
          <w:rtl w:val="0"/>
        </w:rPr>
        <w:t xml:space="preserve">  Aplicación Práctica: Mantenimiento Predictivo.</w:t>
      </w:r>
    </w:p>
    <w:p w:rsidR="00000000" w:rsidDel="00000000" w:rsidP="00000000" w:rsidRDefault="00000000" w:rsidRPr="00000000" w14:paraId="000000D9">
      <w:pPr>
        <w:numPr>
          <w:ilvl w:val="0"/>
          <w:numId w:val="12"/>
        </w:numPr>
        <w:ind w:left="720" w:hanging="360"/>
        <w:rPr>
          <w:u w:val="none"/>
        </w:rPr>
      </w:pPr>
      <w:r w:rsidDel="00000000" w:rsidR="00000000" w:rsidRPr="00000000">
        <w:rPr>
          <w:b w:val="1"/>
          <w:bCs w:val="1"/>
          <w:rtl w:val="0"/>
        </w:rPr>
        <w:t xml:space="preserve">Objetivo de aprendizaje:</w:t>
      </w:r>
      <w:r w:rsidDel="00000000" w:rsidR="00000000" w:rsidRPr="00000000">
        <w:rPr>
          <w:rtl w:val="0"/>
        </w:rPr>
        <w:t xml:space="preserve">  Integrar arquitectura, cálculos y visualización en un mini-caso.</w:t>
      </w:r>
    </w:p>
    <w:p w:rsidR="00000000" w:rsidDel="00000000" w:rsidP="00000000" w:rsidRDefault="00000000" w:rsidRPr="00000000" w14:paraId="000000DA">
      <w:pPr>
        <w:numPr>
          <w:ilvl w:val="0"/>
          <w:numId w:val="12"/>
        </w:numPr>
        <w:ind w:left="720" w:hanging="360"/>
        <w:rPr>
          <w:u w:val="none"/>
        </w:rPr>
      </w:pPr>
      <w:r w:rsidDel="00000000" w:rsidR="00000000" w:rsidRPr="00000000">
        <w:rPr>
          <w:b w:val="1"/>
          <w:bCs w:val="1"/>
          <w:rtl w:val="0"/>
        </w:rPr>
        <w:t xml:space="preserve">Mensaje principal:</w:t>
      </w:r>
      <w:r w:rsidDel="00000000" w:rsidR="00000000" w:rsidRPr="00000000">
        <w:rPr>
          <w:rtl w:val="0"/>
        </w:rPr>
        <w:t xml:space="preserve">  La teoría se consolida a través de la arquitectura de datos real.</w:t>
      </w:r>
    </w:p>
    <w:p w:rsidR="00000000" w:rsidDel="00000000" w:rsidP="00000000" w:rsidRDefault="00000000" w:rsidRPr="00000000" w14:paraId="000000DB">
      <w:pPr>
        <w:numPr>
          <w:ilvl w:val="0"/>
          <w:numId w:val="12"/>
        </w:numPr>
        <w:ind w:left="720" w:hanging="360"/>
        <w:rPr>
          <w:b w:val="1"/>
          <w:bCs w:val="1"/>
        </w:rPr>
      </w:pPr>
      <w:r w:rsidDel="00000000" w:rsidR="00000000" w:rsidRPr="00000000">
        <w:rPr>
          <w:b w:val="1"/>
          <w:bCs w:val="1"/>
          <w:rtl w:val="0"/>
        </w:rPr>
        <w:t xml:space="preserve">Bullets:</w:t>
      </w:r>
    </w:p>
    <w:p w:rsidR="00000000" w:rsidDel="00000000" w:rsidP="00000000" w:rsidRDefault="00000000" w:rsidRPr="00000000" w14:paraId="000000DC">
      <w:pPr>
        <w:numPr>
          <w:ilvl w:val="0"/>
          <w:numId w:val="12"/>
        </w:numPr>
        <w:ind w:left="720" w:hanging="360"/>
        <w:rPr>
          <w:u w:val="none"/>
        </w:rPr>
      </w:pPr>
      <w:r w:rsidDel="00000000" w:rsidR="00000000" w:rsidRPr="00000000">
        <w:rPr>
          <w:rtl w:val="0"/>
        </w:rPr>
        <w:t xml:space="preserve">Ingesta: conectar al dataset AI4I 2020 e inspeccionar variables técnicas.</w:t>
      </w:r>
    </w:p>
    <w:p w:rsidR="00000000" w:rsidDel="00000000" w:rsidP="00000000" w:rsidRDefault="00000000" w:rsidRPr="00000000" w14:paraId="000000DD">
      <w:pPr>
        <w:numPr>
          <w:ilvl w:val="0"/>
          <w:numId w:val="12"/>
        </w:numPr>
        <w:ind w:left="720" w:hanging="360"/>
        <w:rPr>
          <w:u w:val="none"/>
        </w:rPr>
      </w:pPr>
      <w:r w:rsidDel="00000000" w:rsidR="00000000" w:rsidRPr="00000000">
        <w:rPr>
          <w:rtl w:val="0"/>
        </w:rPr>
        <w:t xml:space="preserve">Cálculo: crear una medida para el promedio de Air Temperature (K) usando AVERAGEX.</w:t>
      </w:r>
    </w:p>
    <w:p w:rsidR="00000000" w:rsidDel="00000000" w:rsidP="00000000" w:rsidRDefault="00000000" w:rsidRPr="00000000" w14:paraId="000000DE">
      <w:pPr>
        <w:numPr>
          <w:ilvl w:val="0"/>
          <w:numId w:val="12"/>
        </w:numPr>
        <w:ind w:left="720" w:hanging="360"/>
        <w:rPr>
          <w:u w:val="none"/>
        </w:rPr>
      </w:pPr>
      <w:r w:rsidDel="00000000" w:rsidR="00000000" w:rsidRPr="00000000">
        <w:rPr>
          <w:rtl w:val="0"/>
        </w:rPr>
        <w:t xml:space="preserve">Análisis IA: implementar un Decomposition Tree para explorar la causa de "Machine failure".</w:t>
      </w:r>
    </w:p>
    <w:p w:rsidR="00000000" w:rsidDel="00000000" w:rsidP="00000000" w:rsidRDefault="00000000" w:rsidRPr="00000000" w14:paraId="000000DF">
      <w:pPr>
        <w:numPr>
          <w:ilvl w:val="0"/>
          <w:numId w:val="12"/>
        </w:numPr>
        <w:ind w:left="720" w:hanging="360"/>
        <w:rPr>
          <w:u w:val="none"/>
        </w:rPr>
      </w:pPr>
      <w:r w:rsidDel="00000000" w:rsidR="00000000" w:rsidRPr="00000000">
        <w:rPr>
          <w:rtl w:val="0"/>
        </w:rPr>
        <w:t xml:space="preserve">Próximo paso: ingeniería de datos profunda en el Módulo 2 (Power Query).</w:t>
      </w:r>
    </w:p>
    <w:p w:rsidR="00000000" w:rsidDel="00000000" w:rsidP="00000000" w:rsidRDefault="00000000" w:rsidRPr="00000000" w14:paraId="000000E0">
      <w:pPr>
        <w:numPr>
          <w:ilvl w:val="0"/>
          <w:numId w:val="12"/>
        </w:numPr>
        <w:ind w:left="720" w:hanging="360"/>
        <w:rPr>
          <w:u w:val="none"/>
        </w:rPr>
      </w:pPr>
      <w:r w:rsidDel="00000000" w:rsidR="00000000" w:rsidRPr="00000000">
        <w:rPr>
          <w:b w:val="1"/>
          <w:bCs w:val="1"/>
          <w:rtl w:val="0"/>
        </w:rPr>
        <w:t xml:space="preserve">Visual recomendado:</w:t>
      </w:r>
      <w:r w:rsidDel="00000000" w:rsidR="00000000" w:rsidRPr="00000000">
        <w:rPr>
          <w:rtl w:val="0"/>
        </w:rPr>
        <w:t xml:space="preserve">  Captura de pantalla del dataset AI4I 2020 con las columnas de sensores resaltadas.</w:t>
      </w:r>
    </w:p>
    <w:p w:rsidR="00000000" w:rsidDel="00000000" w:rsidP="00000000" w:rsidRDefault="00000000" w:rsidRPr="00000000" w14:paraId="000000E1">
      <w:pPr>
        <w:numPr>
          <w:ilvl w:val="0"/>
          <w:numId w:val="12"/>
        </w:numPr>
        <w:ind w:left="720" w:hanging="360"/>
        <w:rPr>
          <w:u w:val="none"/>
        </w:rPr>
      </w:pPr>
      <w:r w:rsidDel="00000000" w:rsidR="00000000" w:rsidRPr="00000000">
        <w:rPr>
          <w:b w:val="1"/>
          <w:bCs w:val="1"/>
          <w:rtl w:val="0"/>
        </w:rPr>
        <w:t xml:space="preserve">Speaker notes:</w:t>
      </w:r>
      <w:r w:rsidDel="00000000" w:rsidR="00000000" w:rsidRPr="00000000">
        <w:rPr>
          <w:rtl w:val="0"/>
        </w:rPr>
        <w:t xml:space="preserve">  Este ejercicio les permitirá ver cómo el Star Schema y una medida bien formulada con AVERAGEX nos dan claridad inmediata. En el siguiente módulo, nos enfocaremos en llevar la limpieza de datos al siguiente nivel.</w:t>
      </w:r>
    </w:p>
    <w:p w:rsidR="00000000" w:rsidDel="00000000" w:rsidP="00000000" w:rsidRDefault="00000000" w:rsidRPr="00000000" w14:paraId="000000E2">
      <w:pPr>
        <w:numPr>
          <w:ilvl w:val="0"/>
          <w:numId w:val="12"/>
        </w:numPr>
        <w:ind w:left="720" w:hanging="360"/>
        <w:rPr>
          <w:u w:val="none"/>
        </w:rPr>
      </w:pPr>
      <w:r w:rsidDel="00000000" w:rsidR="00000000" w:rsidRPr="00000000">
        <w:rPr>
          <w:b w:val="1"/>
          <w:bCs w:val="1"/>
          <w:rtl w:val="0"/>
        </w:rPr>
        <w:t xml:space="preserve">Fuente:</w:t>
      </w:r>
      <w:r w:rsidDel="00000000" w:rsidR="00000000" w:rsidRPr="00000000">
        <w:rPr>
          <w:rtl w:val="0"/>
        </w:rPr>
        <w:t xml:space="preserve">  Metadatos AI4I 2020 y guía de AVERAGEX.</w:t>
      </w:r>
    </w:p>
    <w:p w:rsidR="00000000" w:rsidDel="00000000" w:rsidP="00000000" w:rsidRDefault="00000000" w:rsidRPr="00000000" w14:paraId="000000E3">
      <w:pPr>
        <w:numPr>
          <w:ilvl w:val="0"/>
          <w:numId w:val="12"/>
        </w:numPr>
        <w:ind w:left="720" w:hanging="360"/>
        <w:rPr>
          <w:u w:val="none"/>
        </w:rPr>
      </w:pPr>
      <w:r w:rsidDel="00000000" w:rsidR="00000000" w:rsidRPr="00000000">
        <w:rPr>
          <w:b w:val="1"/>
          <w:bCs w:val="1"/>
          <w:rtl w:val="0"/>
        </w:rPr>
        <w:t xml:space="preserve">Transición:</w:t>
      </w:r>
      <w:r w:rsidDel="00000000" w:rsidR="00000000" w:rsidRPr="00000000">
        <w:rPr>
          <w:rtl w:val="0"/>
        </w:rPr>
        <w:t xml:space="preserve">  "Nos vemos en el próximo módulo para dominar la limpieza de datos avanzada con Power Query".</w:t>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