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id39fji0wyq" w:id="0"/>
      <w:bookmarkEnd w:id="0"/>
      <w:r w:rsidDel="00000000" w:rsidR="00000000" w:rsidRPr="00000000">
        <w:rPr>
          <w:rtl w:val="0"/>
        </w:rPr>
        <w:t xml:space="preserve">Matriz de Decisión: Integración de IA en la Arquitectura Analítica y Power BI #### 1. El Nuevo Paradigma: La IA como Copiloto del Diseño Analítico En el ecosistema de la transformación digital moderna, la sesión "Módulo 1: Arquitectura analítica y recap Power BI" establece un punto de inflexión: la Inteligencia Artificial (IA) no es un reemplazo de la lógica de negocio ni del criterio del arquitecto, sino un acelerador de alta fidelidad para el diseño analítico. Sin embargo, este aumento en la velocidad operativa exige un marco de decisión estructurado. La agilidad sin arquitectura es simplemente deuda técnica acelerada; por ello, la integración de IA debe ser tratada como un componente de ingeniería que requiere rigor, validación y una comprensión clara de las dependencias del modelo semántico. El objetivo de este documento es definir el criterio técnico para seleccionar la herramienta de IA óptima según la fase del ciclo de vida del reporte. Navegaremos desde el modelado DAX hasta la optimización de layouts móviles, priorizando la integridad de los datos por encima de la automatización ciega. </w:t>
      </w:r>
      <w:r w:rsidDel="00000000" w:rsidR="00000000" w:rsidRPr="00000000">
        <w:rPr>
          <w:b w:val="1"/>
          <w:bCs w:val="1"/>
          <w:rtl w:val="0"/>
        </w:rPr>
        <w:t xml:space="preserve">El Factor "So What?": Riesgos de Integridad y Seguridad</w:t>
      </w:r>
      <w:r w:rsidDel="00000000" w:rsidR="00000000" w:rsidRPr="00000000">
        <w:rPr>
          <w:rtl w:val="0"/>
        </w:rPr>
        <w:t xml:space="preserve"> Integrar erróneamente una IA generativa externa en flujos que involucran metadatos internos o seguridad de nivel de fila (RLS) puede ser catastrófico. Una IA externa carece de conciencia sobre el esquema de estrella y las reglas de filtrado dinámico. El riesgo no es solo una fórmula incorrecta, sino la exposición inadvertida de datos sensibles o la creación de brechas en la arquitectura de seguridad que el motor de Power BI no podrá subsanar si la lógica base está viciada. La eficiencia comienza con la elección del flujo de trabajo correcto. #### 2. Matriz de Decisión de Herramientas de IA Como estrategas, debemos diferenciar entre herramientas </w:t>
      </w:r>
      <w:r w:rsidDel="00000000" w:rsidR="00000000" w:rsidRPr="00000000">
        <w:rPr>
          <w:b w:val="1"/>
          <w:bCs w:val="1"/>
          <w:rtl w:val="0"/>
        </w:rPr>
        <w:t xml:space="preserve">In-App</w:t>
      </w:r>
      <w:r w:rsidDel="00000000" w:rsidR="00000000" w:rsidRPr="00000000">
        <w:rPr>
          <w:rtl w:val="0"/>
        </w:rPr>
        <w:t xml:space="preserve"> (nativas de Microsoft), que operan con baja latencia y contexto total del modelo, y herramientas </w:t>
      </w:r>
      <w:r w:rsidDel="00000000" w:rsidR="00000000" w:rsidRPr="00000000">
        <w:rPr>
          <w:b w:val="1"/>
          <w:bCs w:val="1"/>
          <w:rtl w:val="0"/>
        </w:rPr>
        <w:t xml:space="preserve">Generativas Externas</w:t>
      </w:r>
      <w:r w:rsidDel="00000000" w:rsidR="00000000" w:rsidRPr="00000000">
        <w:rPr>
          <w:rtl w:val="0"/>
        </w:rPr>
        <w:t xml:space="preserve"> , que ofrecen flexibilidad lógica superior pero operan en un "vacío" de metadatos corporativos. ##### Cuadro Comparativo Estratégico | Herramienta / Flujo | Mejor uso en Sesión 1 | Tarea Ejemplo | Prompt sugerido | Fortaleza | Limitación | Privacidad | Validación Humana | Prioridad | | ------ | ------ | ------ | ------ | ------ | ------ | ------ | ------ | ------ | | </w:t>
      </w:r>
      <w:r w:rsidDel="00000000" w:rsidR="00000000" w:rsidRPr="00000000">
        <w:rPr>
          <w:b w:val="1"/>
          <w:bCs w:val="1"/>
          <w:rtl w:val="0"/>
        </w:rPr>
        <w:t xml:space="preserve">Microsoft Copilot for Power BI</w:t>
      </w:r>
      <w:r w:rsidDel="00000000" w:rsidR="00000000" w:rsidRPr="00000000">
        <w:rPr>
          <w:rtl w:val="0"/>
        </w:rPr>
        <w:t xml:space="preserve"> | Narrativas y predicciones. | Resumen de ventas. | Resume los impulsores de margen en este reporte. | Contexto nativo del reporte. | Requiere licencias F64/P1+. | Alta (Tenant). | Coherencia vs. datos reales. | Alta | | </w:t>
      </w:r>
      <w:r w:rsidDel="00000000" w:rsidR="00000000" w:rsidRPr="00000000">
        <w:rPr>
          <w:b w:val="1"/>
          <w:bCs w:val="1"/>
          <w:rtl w:val="0"/>
        </w:rPr>
        <w:t xml:space="preserve">Microsoft Copilot for M365</w:t>
      </w:r>
      <w:r w:rsidDel="00000000" w:rsidR="00000000" w:rsidRPr="00000000">
        <w:rPr>
          <w:rtl w:val="0"/>
        </w:rPr>
        <w:t xml:space="preserve"> | Documentación técnica. | Resumir requerimientos. | Extrae KPIs de este documento de diseño. | Ecosistema Office 365. | No interactúa con DAX. | Alta (Tenant). | Alineación de negocio. | Media | | </w:t>
      </w:r>
      <w:r w:rsidDel="00000000" w:rsidR="00000000" w:rsidRPr="00000000">
        <w:rPr>
          <w:b w:val="1"/>
          <w:bCs w:val="1"/>
          <w:rtl w:val="0"/>
        </w:rPr>
        <w:t xml:space="preserve">Power BI Q&amp;A</w:t>
      </w:r>
      <w:r w:rsidDel="00000000" w:rsidR="00000000" w:rsidRPr="00000000">
        <w:rPr>
          <w:rtl w:val="0"/>
        </w:rPr>
        <w:t xml:space="preserve"> | Exploración ad-hoc. | Crear visual de barras. | Ventas por región en barras. | Uso natural para usuarios. | Depende de sinónimos. | Alta (Aplica RLS). | Nombres de campos. | Media | | </w:t>
      </w:r>
      <w:r w:rsidDel="00000000" w:rsidR="00000000" w:rsidRPr="00000000">
        <w:rPr>
          <w:b w:val="1"/>
          <w:bCs w:val="1"/>
          <w:rtl w:val="0"/>
        </w:rPr>
        <w:t xml:space="preserve">ChatGPT / Claude</w:t>
      </w:r>
      <w:r w:rsidDel="00000000" w:rsidR="00000000" w:rsidRPr="00000000">
        <w:rPr>
          <w:rtl w:val="0"/>
        </w:rPr>
        <w:t xml:space="preserve"> | Lógica DAX compleja. | Medida con AVERAGEX. | DAX: Promedio de Freight + TaxAmt en InternetSales. | Razonamiento avanzado. | </w:t>
      </w:r>
      <w:r w:rsidDel="00000000" w:rsidR="00000000" w:rsidRPr="00000000">
        <w:rPr>
          <w:b w:val="1"/>
          <w:bCs w:val="1"/>
          <w:rtl w:val="0"/>
        </w:rPr>
        <w:t xml:space="preserve">No soporta DirectQuery/RLS para</w:t>
      </w:r>
      <w:r w:rsidDel="00000000" w:rsidR="00000000" w:rsidRPr="00000000">
        <w:rPr>
          <w:rtl w:val="0"/>
        </w:rPr>
        <w:t xml:space="preserve"> </w:t>
      </w:r>
      <w:r w:rsidDel="00000000" w:rsidR="00000000" w:rsidRPr="00000000">
        <w:rPr>
          <w:b w:val="1"/>
          <w:bCs w:val="1"/>
          <w:rtl w:val="0"/>
        </w:rPr>
        <w:t xml:space="preserve">AVERAGEX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Baja (Anonimizar). | </w:t>
      </w:r>
      <w:r w:rsidDel="00000000" w:rsidR="00000000" w:rsidRPr="00000000">
        <w:rPr>
          <w:b w:val="1"/>
          <w:bCs w:val="1"/>
          <w:rtl w:val="0"/>
        </w:rPr>
        <w:t xml:space="preserve">Check: Blank vs. Zero.</w:t>
      </w:r>
      <w:r w:rsidDel="00000000" w:rsidR="00000000" w:rsidRPr="00000000">
        <w:rPr>
          <w:rtl w:val="0"/>
        </w:rPr>
        <w:t xml:space="preserve"> | Alta | | </w:t>
      </w:r>
      <w:r w:rsidDel="00000000" w:rsidR="00000000" w:rsidRPr="00000000">
        <w:rPr>
          <w:b w:val="1"/>
          <w:bCs w:val="1"/>
          <w:rtl w:val="0"/>
        </w:rPr>
        <w:t xml:space="preserve">Gemini</w:t>
      </w:r>
      <w:r w:rsidDel="00000000" w:rsidR="00000000" w:rsidRPr="00000000">
        <w:rPr>
          <w:rtl w:val="0"/>
        </w:rPr>
        <w:t xml:space="preserve"> | Benchmarking externo. | Buscar indicadores. | Benchmarks mantenimiento predictivo sensores. | Búsqueda web potente. | Menor precisión en DAX. | Baja (Anonimizar). | Veracidad de fuentes. | Baja | | </w:t>
      </w:r>
      <w:r w:rsidDel="00000000" w:rsidR="00000000" w:rsidRPr="00000000">
        <w:rPr>
          <w:b w:val="1"/>
          <w:bCs w:val="1"/>
          <w:rtl w:val="0"/>
        </w:rPr>
        <w:t xml:space="preserve">Perplexity</w:t>
      </w:r>
      <w:r w:rsidDel="00000000" w:rsidR="00000000" w:rsidRPr="00000000">
        <w:rPr>
          <w:rtl w:val="0"/>
        </w:rPr>
        <w:t xml:space="preserve"> | Documentación técnica. | Consultar límites. | Límites de visual Decomposition Tree. | Citación de fuentes. | No genera código complejo. | Media. | Vigencia de la versión. | Media | | </w:t>
      </w:r>
      <w:r w:rsidDel="00000000" w:rsidR="00000000" w:rsidRPr="00000000">
        <w:rPr>
          <w:b w:val="1"/>
          <w:bCs w:val="1"/>
          <w:rtl w:val="0"/>
        </w:rPr>
        <w:t xml:space="preserve">Excel Copilot</w:t>
      </w:r>
      <w:r w:rsidDel="00000000" w:rsidR="00000000" w:rsidRPr="00000000">
        <w:rPr>
          <w:rtl w:val="0"/>
        </w:rPr>
        <w:t xml:space="preserve"> | Análisis de fuentes. | Analizar "Customer Profitability". | Top 5 clientes con menor margen. | Limpieza en archivos .xlsx. | Limitado a tablas Excel. | Alta (Tenant). | Fórmulas de márgenes. | Media | #### 3. Casos de Aplicación Táctica: Del Modelado a la Visualización Una arquitectura robusta no se improvisa; se construye sobre la precisión del modelado DAX y la sofisticación visual. El uso de herramientas de IA debe seguir este rigor técnico para evitar degradación del rendimiento. ##### Modelado DAX: El rigor de AVERAGEX La función AVERAGEX es un iterador potente que calcula la media de una expresión evaluada fila a fila en una tabla. Para su generación asistida, siga este protocolo: 1. </w:t>
      </w:r>
      <w:r w:rsidDel="00000000" w:rsidR="00000000" w:rsidRPr="00000000">
        <w:rPr>
          <w:b w:val="1"/>
          <w:bCs w:val="1"/>
          <w:rtl w:val="0"/>
        </w:rPr>
        <w:t xml:space="preserve">Solicitud de Sintaxis:</w:t>
      </w:r>
      <w:r w:rsidDel="00000000" w:rsidR="00000000" w:rsidRPr="00000000">
        <w:rPr>
          <w:rtl w:val="0"/>
        </w:rPr>
        <w:t xml:space="preserve"> Estructura AVERAGEX(). 2. </w:t>
      </w:r>
      <w:r w:rsidDel="00000000" w:rsidR="00000000" w:rsidRPr="00000000">
        <w:rPr>
          <w:b w:val="1"/>
          <w:bCs w:val="1"/>
          <w:rtl w:val="0"/>
        </w:rPr>
        <w:t xml:space="preserve">Adaptación de Contexto:</w:t>
      </w:r>
      <w:r w:rsidDel="00000000" w:rsidR="00000000" w:rsidRPr="00000000">
        <w:rPr>
          <w:rtl w:val="0"/>
        </w:rPr>
        <w:t xml:space="preserve"> Integrar tablas reales, p.ej., AVERAGEX(InternetSales, InternetSalesFreight + InternetSalesTaxAmt). 3. </w:t>
      </w:r>
      <w:r w:rsidDel="00000000" w:rsidR="00000000" w:rsidRPr="00000000">
        <w:rPr>
          <w:b w:val="1"/>
          <w:bCs w:val="1"/>
          <w:rtl w:val="0"/>
        </w:rPr>
        <w:t xml:space="preserve">Validación Crítica (The Red Flag):</w:t>
      </w:r>
      <w:r w:rsidDel="00000000" w:rsidR="00000000" w:rsidRPr="00000000">
        <w:rPr>
          <w:rtl w:val="0"/>
        </w:rPr>
        <w:t xml:space="preserve"> Como arquitectos, debemos recordar que </w:t>
      </w:r>
      <w:r w:rsidDel="00000000" w:rsidR="00000000" w:rsidRPr="00000000">
        <w:rPr>
          <w:b w:val="1"/>
          <w:bCs w:val="1"/>
          <w:rtl w:val="0"/>
        </w:rPr>
        <w:t xml:space="preserve">AVERAGEX</w:t>
      </w:r>
      <w:r w:rsidDel="00000000" w:rsidR="00000000" w:rsidRPr="00000000">
        <w:rPr>
          <w:rtl w:val="0"/>
        </w:rPr>
        <w:t xml:space="preserve"> </w:t>
      </w:r>
      <w:r w:rsidDel="00000000" w:rsidR="00000000" w:rsidRPr="00000000">
        <w:rPr>
          <w:b w:val="1"/>
          <w:bCs w:val="1"/>
          <w:rtl w:val="0"/>
        </w:rPr>
        <w:t xml:space="preserve">no es compatible con el modo DirectQuery</w:t>
      </w:r>
      <w:r w:rsidDel="00000000" w:rsidR="00000000" w:rsidRPr="00000000">
        <w:rPr>
          <w:rtl w:val="0"/>
        </w:rPr>
        <w:t xml:space="preserve"> cuando se usa en columnas calculadas o reglas de RLS. Además, valide el retorno: la función devuelve un </w:t>
      </w:r>
      <w:r w:rsidDel="00000000" w:rsidR="00000000" w:rsidRPr="00000000">
        <w:rPr>
          <w:i w:val="1"/>
          <w:iCs w:val="1"/>
          <w:rtl w:val="0"/>
        </w:rPr>
        <w:t xml:space="preserve">Blank</w:t>
      </w:r>
      <w:r w:rsidDel="00000000" w:rsidR="00000000" w:rsidRPr="00000000">
        <w:rPr>
          <w:rtl w:val="0"/>
        </w:rPr>
        <w:t xml:space="preserve"> si no hay filas, no un cero. ##### Visualización Avanzada: Decomposition Tree y AI Splits El "Decomposition Tree" permite realizar análisis de causa raíz mediante </w:t>
      </w:r>
      <w:r w:rsidDel="00000000" w:rsidR="00000000" w:rsidRPr="00000000">
        <w:rPr>
          <w:b w:val="1"/>
          <w:bCs w:val="1"/>
          <w:rtl w:val="0"/>
        </w:rPr>
        <w:t xml:space="preserve">AI Splits</w:t>
      </w:r>
      <w:r w:rsidDel="00000000" w:rsidR="00000000" w:rsidRPr="00000000">
        <w:rPr>
          <w:rtl w:val="0"/>
        </w:rPr>
        <w:t xml:space="preserve"> . Es vital distinguir entre: * </w:t>
      </w:r>
      <w:r w:rsidDel="00000000" w:rsidR="00000000" w:rsidRPr="00000000">
        <w:rPr>
          <w:b w:val="1"/>
          <w:bCs w:val="1"/>
          <w:rtl w:val="0"/>
        </w:rPr>
        <w:t xml:space="preserve">Absolute Splits:</w:t>
      </w:r>
      <w:r w:rsidDel="00000000" w:rsidR="00000000" w:rsidRPr="00000000">
        <w:rPr>
          <w:rtl w:val="0"/>
        </w:rPr>
        <w:t xml:space="preserve"> Encuentra el valor más alto/bajo de forma directa. * </w:t>
      </w:r>
      <w:r w:rsidDel="00000000" w:rsidR="00000000" w:rsidRPr="00000000">
        <w:rPr>
          <w:b w:val="1"/>
          <w:bCs w:val="1"/>
          <w:rtl w:val="0"/>
        </w:rPr>
        <w:t xml:space="preserve">Relative Splits:</w:t>
      </w:r>
      <w:r w:rsidDel="00000000" w:rsidR="00000000" w:rsidRPr="00000000">
        <w:rPr>
          <w:rtl w:val="0"/>
        </w:rPr>
        <w:t xml:space="preserve"> Identifica valores que "sobresalen" o son interesantes comparados con el resto de la columna (ideal para encontrar anomalías). </w:t>
      </w:r>
      <w:r w:rsidDel="00000000" w:rsidR="00000000" w:rsidRPr="00000000">
        <w:rPr>
          <w:b w:val="1"/>
          <w:bCs w:val="1"/>
          <w:rtl w:val="0"/>
        </w:rPr>
        <w:t xml:space="preserve">Limitaciones Técnicas del Senior Strategist:</w:t>
      </w:r>
      <w:r w:rsidDel="00000000" w:rsidR="00000000" w:rsidRPr="00000000">
        <w:rPr>
          <w:rtl w:val="0"/>
        </w:rPr>
        <w:t xml:space="preserve"> * </w:t>
      </w:r>
      <w:r w:rsidDel="00000000" w:rsidR="00000000" w:rsidRPr="00000000">
        <w:rPr>
          <w:b w:val="1"/>
          <w:bCs w:val="1"/>
          <w:rtl w:val="0"/>
        </w:rPr>
        <w:t xml:space="preserve">Truncamiento:</w:t>
      </w:r>
      <w:r w:rsidDel="00000000" w:rsidR="00000000" w:rsidRPr="00000000">
        <w:rPr>
          <w:rtl w:val="0"/>
        </w:rPr>
        <w:t xml:space="preserve"> El visual solo muestra el </w:t>
      </w:r>
      <w:r w:rsidDel="00000000" w:rsidR="00000000" w:rsidRPr="00000000">
        <w:rPr>
          <w:b w:val="1"/>
          <w:bCs w:val="1"/>
          <w:rtl w:val="0"/>
        </w:rPr>
        <w:t xml:space="preserve">Top 10</w:t>
      </w:r>
      <w:r w:rsidDel="00000000" w:rsidR="00000000" w:rsidRPr="00000000">
        <w:rPr>
          <w:rtl w:val="0"/>
        </w:rPr>
        <w:t xml:space="preserve"> de valores por nivel. * </w:t>
      </w:r>
      <w:r w:rsidDel="00000000" w:rsidR="00000000" w:rsidRPr="00000000">
        <w:rPr>
          <w:b w:val="1"/>
          <w:bCs w:val="1"/>
          <w:rtl w:val="0"/>
        </w:rPr>
        <w:t xml:space="preserve">Escalabilidad:</w:t>
      </w:r>
      <w:r w:rsidDel="00000000" w:rsidR="00000000" w:rsidRPr="00000000">
        <w:rPr>
          <w:rtl w:val="0"/>
        </w:rPr>
        <w:t xml:space="preserve"> Existe un límite de </w:t>
      </w:r>
      <w:r w:rsidDel="00000000" w:rsidR="00000000" w:rsidRPr="00000000">
        <w:rPr>
          <w:b w:val="1"/>
          <w:bCs w:val="1"/>
          <w:rtl w:val="0"/>
        </w:rPr>
        <w:t xml:space="preserve">5,000 puntos de datos</w:t>
      </w:r>
      <w:r w:rsidDel="00000000" w:rsidR="00000000" w:rsidRPr="00000000">
        <w:rPr>
          <w:rtl w:val="0"/>
        </w:rPr>
        <w:t xml:space="preserve"> y </w:t>
      </w:r>
      <w:r w:rsidDel="00000000" w:rsidR="00000000" w:rsidRPr="00000000">
        <w:rPr>
          <w:b w:val="1"/>
          <w:bCs w:val="1"/>
          <w:rtl w:val="0"/>
        </w:rPr>
        <w:t xml:space="preserve">50 niveles</w:t>
      </w:r>
      <w:r w:rsidDel="00000000" w:rsidR="00000000" w:rsidRPr="00000000">
        <w:rPr>
          <w:rtl w:val="0"/>
        </w:rPr>
        <w:t xml:space="preserve"> . Superar esto causará truncamiento de datos, afectando la toma de decisiones. ##### Optimización Móvil y Aceleración La IA permite una "Auto-create mobile layout" para generar un punto de partida rápido. Sin embargo, el refinamiento manual es obligatorio siguiendo las </w:t>
      </w:r>
      <w:r w:rsidDel="00000000" w:rsidR="00000000" w:rsidRPr="00000000">
        <w:rPr>
          <w:b w:val="1"/>
          <w:bCs w:val="1"/>
          <w:rtl w:val="0"/>
        </w:rPr>
        <w:t xml:space="preserve">Standard Sizes</w:t>
      </w:r>
      <w:r w:rsidDel="00000000" w:rsidR="00000000" w:rsidRPr="00000000">
        <w:rPr>
          <w:rtl w:val="0"/>
        </w:rPr>
        <w:t xml:space="preserve"> : * </w:t>
      </w:r>
      <w:r w:rsidDel="00000000" w:rsidR="00000000" w:rsidRPr="00000000">
        <w:rPr>
          <w:b w:val="1"/>
          <w:bCs w:val="1"/>
          <w:rtl w:val="0"/>
        </w:rPr>
        <w:t xml:space="preserve">XL:</w:t>
      </w:r>
      <w:r w:rsidDel="00000000" w:rsidR="00000000" w:rsidRPr="00000000">
        <w:rPr>
          <w:rtl w:val="0"/>
        </w:rPr>
        <w:t xml:space="preserve"> Ancho mín. 323 pt / Alto mín. 270 pt. * </w:t>
      </w:r>
      <w:r w:rsidDel="00000000" w:rsidR="00000000" w:rsidRPr="00000000">
        <w:rPr>
          <w:b w:val="1"/>
          <w:bCs w:val="1"/>
          <w:rtl w:val="0"/>
        </w:rPr>
        <w:t xml:space="preserve">L:</w:t>
      </w:r>
      <w:r w:rsidDel="00000000" w:rsidR="00000000" w:rsidRPr="00000000">
        <w:rPr>
          <w:rtl w:val="0"/>
        </w:rPr>
        <w:t xml:space="preserve"> Ancho mín. 323 pt / Alto mín. 180 pt. * </w:t>
      </w:r>
      <w:r w:rsidDel="00000000" w:rsidR="00000000" w:rsidRPr="00000000">
        <w:rPr>
          <w:b w:val="1"/>
          <w:bCs w:val="1"/>
          <w:rtl w:val="0"/>
        </w:rPr>
        <w:t xml:space="preserve">M:</w:t>
      </w:r>
      <w:r w:rsidDel="00000000" w:rsidR="00000000" w:rsidRPr="00000000">
        <w:rPr>
          <w:rtl w:val="0"/>
        </w:rPr>
        <w:t xml:space="preserve"> Ancho mín. 323 pt / Alto mín. 100 pt. * </w:t>
      </w:r>
      <w:r w:rsidDel="00000000" w:rsidR="00000000" w:rsidRPr="00000000">
        <w:rPr>
          <w:b w:val="1"/>
          <w:bCs w:val="1"/>
          <w:rtl w:val="0"/>
        </w:rPr>
        <w:t xml:space="preserve">S:</w:t>
      </w:r>
      <w:r w:rsidDel="00000000" w:rsidR="00000000" w:rsidRPr="00000000">
        <w:rPr>
          <w:rtl w:val="0"/>
        </w:rPr>
        <w:t xml:space="preserve"> Ancho mín. 158 pt / Alto mín. 100 pt. El uso de layouts optimizados reduce la fricción del usuario final al priorizar el ancho máximo de 323 pt. #### 4. El Marco de Gobernanza: Privacidad y Validación Profesional El juicio humano representa el "último kilómetro" de la analítica. La IA puede sugerir una estructura, pero el arquitecto debe garantizar que se cumplan las reglas de seguridad y rendimiento. ##### Checklist de Seguridad de Fila (RLS) El analista debe auditar cada sugerencia de IA bajo estos criterios: * </w:t>
      </w:r>
      <w:r w:rsidDel="00000000" w:rsidR="00000000" w:rsidRPr="00000000">
        <w:rPr>
          <w:b w:val="1"/>
          <w:bCs w:val="1"/>
          <w:rtl w:val="0"/>
        </w:rPr>
        <w:t xml:space="preserve">Alcance del Objeto:</w:t>
      </w:r>
      <w:r w:rsidDel="00000000" w:rsidR="00000000" w:rsidRPr="00000000">
        <w:rPr>
          <w:rtl w:val="0"/>
        </w:rPr>
        <w:t xml:space="preserve"> ¿Se comprende que el RLS filtra </w:t>
      </w:r>
      <w:r w:rsidDel="00000000" w:rsidR="00000000" w:rsidRPr="00000000">
        <w:rPr>
          <w:b w:val="1"/>
          <w:bCs w:val="1"/>
          <w:rtl w:val="0"/>
        </w:rPr>
        <w:t xml:space="preserve">filas de tablas</w:t>
      </w:r>
      <w:r w:rsidDel="00000000" w:rsidR="00000000" w:rsidRPr="00000000">
        <w:rPr>
          <w:rtl w:val="0"/>
        </w:rPr>
        <w:t xml:space="preserve"> , no objetos del modelo (tablas/columnas)? * </w:t>
      </w:r>
      <w:r w:rsidDel="00000000" w:rsidR="00000000" w:rsidRPr="00000000">
        <w:rPr>
          <w:b w:val="1"/>
          <w:bCs w:val="1"/>
          <w:rtl w:val="0"/>
        </w:rPr>
        <w:t xml:space="preserve">Identidad Dinámica:</w:t>
      </w:r>
      <w:r w:rsidDel="00000000" w:rsidR="00000000" w:rsidRPr="00000000">
        <w:rPr>
          <w:rtl w:val="0"/>
        </w:rPr>
        <w:t xml:space="preserve"> ¿Se validó el uso de USERNAME() o USERPRINCIPALNAME()? * </w:t>
      </w:r>
      <w:r w:rsidDel="00000000" w:rsidR="00000000" w:rsidRPr="00000000">
        <w:rPr>
          <w:b w:val="1"/>
          <w:bCs w:val="1"/>
          <w:rtl w:val="0"/>
        </w:rPr>
        <w:t xml:space="preserve">Impacto de Rendimiento:</w:t>
      </w:r>
      <w:r w:rsidDel="00000000" w:rsidR="00000000" w:rsidRPr="00000000">
        <w:rPr>
          <w:rtl w:val="0"/>
        </w:rPr>
        <w:t xml:space="preserve"> ¿Se midió con </w:t>
      </w:r>
      <w:r w:rsidDel="00000000" w:rsidR="00000000" w:rsidRPr="00000000">
        <w:rPr>
          <w:b w:val="1"/>
          <w:bCs w:val="1"/>
          <w:rtl w:val="0"/>
        </w:rPr>
        <w:t xml:space="preserve">Performance Analyzer</w:t>
      </w:r>
      <w:r w:rsidDel="00000000" w:rsidR="00000000" w:rsidRPr="00000000">
        <w:rPr>
          <w:rtl w:val="0"/>
        </w:rPr>
        <w:t xml:space="preserve"> ? Recuerde que RLS aplica filtros a </w:t>
      </w:r>
      <w:r w:rsidDel="00000000" w:rsidR="00000000" w:rsidRPr="00000000">
        <w:rPr>
          <w:b w:val="1"/>
          <w:bCs w:val="1"/>
          <w:rtl w:val="0"/>
        </w:rPr>
        <w:t xml:space="preserve">cada consulta DAX</w:t>
      </w:r>
      <w:r w:rsidDel="00000000" w:rsidR="00000000" w:rsidRPr="00000000">
        <w:rPr>
          <w:rtl w:val="0"/>
        </w:rPr>
        <w:t xml:space="preserve"> , lo que puede tener un impacto negativo severo en el rendimiento si la lógica es ineficiente. * </w:t>
      </w:r>
      <w:r w:rsidDel="00000000" w:rsidR="00000000" w:rsidRPr="00000000">
        <w:rPr>
          <w:b w:val="1"/>
          <w:bCs w:val="1"/>
          <w:rtl w:val="0"/>
        </w:rPr>
        <w:t xml:space="preserve">Entra ID:</w:t>
      </w:r>
      <w:r w:rsidDel="00000000" w:rsidR="00000000" w:rsidRPr="00000000">
        <w:rPr>
          <w:rtl w:val="0"/>
        </w:rPr>
        <w:t xml:space="preserve"> ¿Se están utilizando grupos de seguridad de Microsoft Entra ID para el mapeo de roles? ##### Validación en Datos Sintéticos En datasets como el </w:t>
      </w:r>
      <w:r w:rsidDel="00000000" w:rsidR="00000000" w:rsidRPr="00000000">
        <w:rPr>
          <w:b w:val="1"/>
          <w:bCs w:val="1"/>
          <w:rtl w:val="0"/>
        </w:rPr>
        <w:t xml:space="preserve">AI4I 2020 Predictive Maintenance</w:t>
      </w:r>
      <w:r w:rsidDel="00000000" w:rsidR="00000000" w:rsidRPr="00000000">
        <w:rPr>
          <w:rtl w:val="0"/>
        </w:rPr>
        <w:t xml:space="preserve"> , la IA puede "alucinar" correlaciones basadas en la naturaleza sintética del dato. Es imperativo validar que los hallazgos tengan coherencia con la física del proceso industrial y no sean solo patrones estadísticos vacíos. #### 5. Guía para Discusión en el Aula (Material para el Instructor) </w:t>
      </w:r>
      <w:r w:rsidDel="00000000" w:rsidR="00000000" w:rsidRPr="00000000">
        <w:rPr>
          <w:b w:val="1"/>
          <w:bCs w:val="1"/>
          <w:rtl w:val="0"/>
        </w:rPr>
        <w:t xml:space="preserve">Dinámica:</w:t>
      </w:r>
      <w:r w:rsidDel="00000000" w:rsidR="00000000" w:rsidRPr="00000000">
        <w:rPr>
          <w:rtl w:val="0"/>
        </w:rPr>
        <w:t xml:space="preserve"> Discusión técnica de 10 minutos sobre la Matriz de Decisión. ##### Preguntas Provocadoras 1. </w:t>
      </w:r>
      <w:r w:rsidDel="00000000" w:rsidR="00000000" w:rsidRPr="00000000">
        <w:rPr>
          <w:b w:val="1"/>
          <w:bCs w:val="1"/>
          <w:rtl w:val="0"/>
        </w:rPr>
        <w:t xml:space="preserve">Contexto Visual:</w:t>
      </w:r>
      <w:r w:rsidDel="00000000" w:rsidR="00000000" w:rsidRPr="00000000">
        <w:rPr>
          <w:rtl w:val="0"/>
        </w:rPr>
        <w:t xml:space="preserve"> "¿En qué escenario un Tooltip personalizado (con visuales enriquecidos) supera a la respuesta automática de Q&amp;A?" 2. </w:t>
      </w:r>
      <w:r w:rsidDel="00000000" w:rsidR="00000000" w:rsidRPr="00000000">
        <w:rPr>
          <w:b w:val="1"/>
          <w:bCs w:val="1"/>
          <w:rtl w:val="0"/>
        </w:rPr>
        <w:t xml:space="preserve">Gestión de Expectativas:</w:t>
      </w:r>
      <w:r w:rsidDel="00000000" w:rsidR="00000000" w:rsidRPr="00000000">
        <w:rPr>
          <w:rtl w:val="0"/>
        </w:rPr>
        <w:t xml:space="preserve"> "Dado el truncamiento automático al </w:t>
      </w:r>
      <w:r w:rsidDel="00000000" w:rsidR="00000000" w:rsidRPr="00000000">
        <w:rPr>
          <w:b w:val="1"/>
          <w:bCs w:val="1"/>
          <w:rtl w:val="0"/>
        </w:rPr>
        <w:t xml:space="preserve">Top 10</w:t>
      </w:r>
      <w:r w:rsidDel="00000000" w:rsidR="00000000" w:rsidRPr="00000000">
        <w:rPr>
          <w:rtl w:val="0"/>
        </w:rPr>
        <w:t xml:space="preserve"> en un Decomposition Tree, ¿cómo gestionaría la percepción de un usuario que busca una dimensión con 50 categorías?" 3. </w:t>
      </w:r>
      <w:r w:rsidDel="00000000" w:rsidR="00000000" w:rsidRPr="00000000">
        <w:rPr>
          <w:b w:val="1"/>
          <w:bCs w:val="1"/>
          <w:rtl w:val="0"/>
        </w:rPr>
        <w:t xml:space="preserve">Arquitectura de Seguridad:</w:t>
      </w:r>
      <w:r w:rsidDel="00000000" w:rsidR="00000000" w:rsidRPr="00000000">
        <w:rPr>
          <w:rtl w:val="0"/>
        </w:rPr>
        <w:t xml:space="preserve"> "¿Por qué es un riesgo crítico pedirle a una IA externa que genere un flujo de RLS en un modelo con cardinalidad Many-to-Many sin que la IA conozca las tablas puente?" 4. </w:t>
      </w:r>
      <w:r w:rsidDel="00000000" w:rsidR="00000000" w:rsidRPr="00000000">
        <w:rPr>
          <w:b w:val="1"/>
          <w:bCs w:val="1"/>
          <w:rtl w:val="0"/>
        </w:rPr>
        <w:t xml:space="preserve">Validación Técnica:</w:t>
      </w:r>
      <w:r w:rsidDel="00000000" w:rsidR="00000000" w:rsidRPr="00000000">
        <w:rPr>
          <w:rtl w:val="0"/>
        </w:rPr>
        <w:t xml:space="preserve"> "Si su arquitectura requiere </w:t>
      </w:r>
      <w:r w:rsidDel="00000000" w:rsidR="00000000" w:rsidRPr="00000000">
        <w:rPr>
          <w:b w:val="1"/>
          <w:bCs w:val="1"/>
          <w:rtl w:val="0"/>
        </w:rPr>
        <w:t xml:space="preserve">DirectQuery</w:t>
      </w:r>
      <w:r w:rsidDel="00000000" w:rsidR="00000000" w:rsidRPr="00000000">
        <w:rPr>
          <w:rtl w:val="0"/>
        </w:rPr>
        <w:t xml:space="preserve"> para datos en tiempo real, ¿por qué fallaría una medida de AVERAGEX generada por IA para una regla de RLS?" </w:t>
      </w:r>
      <w:r w:rsidDel="00000000" w:rsidR="00000000" w:rsidRPr="00000000">
        <w:rPr>
          <w:b w:val="1"/>
          <w:bCs w:val="1"/>
          <w:rtl w:val="0"/>
        </w:rPr>
        <w:t xml:space="preserve">Conclusión</w:t>
      </w:r>
      <w:r w:rsidDel="00000000" w:rsidR="00000000" w:rsidRPr="00000000">
        <w:rPr>
          <w:rtl w:val="0"/>
        </w:rPr>
        <w:t xml:space="preserve"> La Inteligencia Artificial es el copiloto que expande nuestras fronteras analíticas, pero el plan de vuelo y la integridad de la nave son responsabilidad absoluta del arquitecto. La potencia visual y la rapidez de cálculo carecen de valor si no están sustentadas por el rigor técnico y la gobernanza que definen a una arquitectura analítica de clase mundial.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