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tstndtsrnvaa" w:id="0"/>
      <w:bookmarkEnd w:id="0"/>
      <w:r w:rsidDel="00000000" w:rsidR="00000000" w:rsidRPr="00000000">
        <w:rPr>
          <w:rtl w:val="0"/>
        </w:rPr>
        <w:t xml:space="preserve">Notas del Instructor: Módulo 1 - Arquitectura Analítica y Recap Power BI</w:t>
      </w:r>
    </w:p>
    <w:p w:rsidR="00000000" w:rsidDel="00000000" w:rsidP="00000000" w:rsidRDefault="00000000" w:rsidRPr="00000000" w14:paraId="00000002">
      <w:pPr>
        <w:rPr/>
      </w:pPr>
      <w:r w:rsidDel="00000000" w:rsidR="00000000" w:rsidRPr="00000000">
        <w:rPr>
          <w:rtl w:val="0"/>
        </w:rPr>
        <w:t xml:space="preserve">Este documento constituye la guía magistral para el primer módulo del programa avanzado en Business Intelligence. Como ingenieros y líderes tecnológicos, nuestra meta no es simplemente "crear gráficos", sino construir infraestructuras de datos robustas que sustenten la ventaja competitiva de la organización mediante el modelado semántico de alto nivel.</w:t>
      </w:r>
    </w:p>
    <w:p w:rsidR="00000000" w:rsidDel="00000000" w:rsidP="00000000" w:rsidRDefault="00000000" w:rsidRPr="00000000" w14:paraId="00000003">
      <w:pPr>
        <w:pStyle w:val="Heading5"/>
        <w:rPr/>
      </w:pPr>
      <w:bookmarkStart w:colFirst="0" w:colLast="0" w:name="_a0ixm72oq86f" w:id="1"/>
      <w:bookmarkEnd w:id="1"/>
      <w:r w:rsidDel="00000000" w:rsidR="00000000" w:rsidRPr="00000000">
        <w:rPr>
          <w:rtl w:val="0"/>
        </w:rPr>
        <w:t xml:space="preserve">1. Título y objetivo de la sesión</w:t>
      </w:r>
    </w:p>
    <w:p w:rsidR="00000000" w:rsidDel="00000000" w:rsidP="00000000" w:rsidRDefault="00000000" w:rsidRPr="00000000" w14:paraId="00000004">
      <w:pPr>
        <w:rPr/>
      </w:pPr>
      <w:r w:rsidDel="00000000" w:rsidR="00000000" w:rsidRPr="00000000">
        <w:rPr>
          <w:b w:val="1"/>
          <w:bCs w:val="1"/>
          <w:rtl w:val="0"/>
        </w:rPr>
        <w:t xml:space="preserve">Relevancia Estratégica:</w:t>
      </w:r>
      <w:r w:rsidDel="00000000" w:rsidR="00000000" w:rsidRPr="00000000">
        <w:rPr>
          <w:rtl w:val="0"/>
        </w:rPr>
        <w:t xml:space="preserve">  En el ecosistema industrial moderno, la transición de un usuario de herramientas de hojas de cálculo a un arquitecto de soluciones analíticas es vital para garantizar la escalabilidad y la integridad de la "única versión de la verdad". Para un perfil técnico, esto significa pasar de la manipulación manual de celdas al diseño de modelos semánticos que soporten la toma de decisiones ejecutivas.</w:t>
      </w:r>
    </w:p>
    <w:p w:rsidR="00000000" w:rsidDel="00000000" w:rsidP="00000000" w:rsidRDefault="00000000" w:rsidRPr="00000000" w14:paraId="00000005">
      <w:pPr>
        <w:numPr>
          <w:ilvl w:val="0"/>
          <w:numId w:val="7"/>
        </w:numPr>
        <w:ind w:left="720" w:hanging="360"/>
        <w:rPr>
          <w:u w:val="none"/>
        </w:rPr>
      </w:pPr>
      <w:r w:rsidDel="00000000" w:rsidR="00000000" w:rsidRPr="00000000">
        <w:rPr>
          <w:b w:val="1"/>
          <w:bCs w:val="1"/>
          <w:rtl w:val="0"/>
        </w:rPr>
        <w:t xml:space="preserve">Explicación:</w:t>
      </w:r>
      <w:r w:rsidDel="00000000" w:rsidR="00000000" w:rsidRPr="00000000">
        <w:rPr>
          <w:rtl w:val="0"/>
        </w:rPr>
        <w:t xml:space="preserve">  El módulo se centra en el encuadre del curso y las metas críticas de aprendizaje: Modelado robusto, lógica DAX iterativa y visualización estratégica orientada a KPIs industriales.</w:t>
      </w:r>
    </w:p>
    <w:p w:rsidR="00000000" w:rsidDel="00000000" w:rsidP="00000000" w:rsidRDefault="00000000" w:rsidRPr="00000000" w14:paraId="00000006">
      <w:pPr>
        <w:numPr>
          <w:ilvl w:val="0"/>
          <w:numId w:val="7"/>
        </w:numPr>
        <w:ind w:left="720" w:hanging="360"/>
        <w:rPr>
          <w:u w:val="none"/>
        </w:rPr>
      </w:pPr>
      <w:r w:rsidDel="00000000" w:rsidR="00000000" w:rsidRPr="00000000">
        <w:rPr>
          <w:b w:val="1"/>
          <w:bCs w:val="1"/>
          <w:rtl w:val="0"/>
        </w:rPr>
        <w:t xml:space="preserve">Guion del Instructor:</w:t>
      </w:r>
      <w:r w:rsidDel="00000000" w:rsidR="00000000" w:rsidRPr="00000000">
        <w:rPr>
          <w:rtl w:val="0"/>
        </w:rPr>
        <w:t xml:space="preserve">  "Bienvenidos. Hoy iniciamos el camino para dejar de ser generadores de reportes y convertirnos en arquitectos de datos. En el ecosistema de  </w:t>
      </w:r>
      <w:r w:rsidDel="00000000" w:rsidR="00000000" w:rsidRPr="00000000">
        <w:rPr>
          <w:b w:val="1"/>
          <w:bCs w:val="1"/>
          <w:rtl w:val="0"/>
        </w:rPr>
        <w:t xml:space="preserve">Microsoft Fabric</w:t>
      </w:r>
      <w:r w:rsidDel="00000000" w:rsidR="00000000" w:rsidRPr="00000000">
        <w:rPr>
          <w:rtl w:val="0"/>
        </w:rPr>
        <w:t xml:space="preserve"> , Power BI no es un accesorio, es el motor de consumo que da sentido a la telemetría y a los procesos de negocio".</w:t>
      </w:r>
    </w:p>
    <w:p w:rsidR="00000000" w:rsidDel="00000000" w:rsidP="00000000" w:rsidRDefault="00000000" w:rsidRPr="00000000" w14:paraId="00000007">
      <w:pPr>
        <w:numPr>
          <w:ilvl w:val="0"/>
          <w:numId w:val="7"/>
        </w:numPr>
        <w:ind w:left="720" w:hanging="360"/>
        <w:rPr>
          <w:u w:val="none"/>
        </w:rPr>
      </w:pPr>
      <w:r w:rsidDel="00000000" w:rsidR="00000000" w:rsidRPr="00000000">
        <w:rPr>
          <w:b w:val="1"/>
          <w:bCs w:val="1"/>
          <w:rtl w:val="0"/>
        </w:rPr>
        <w:t xml:space="preserve">Analogía:</w:t>
      </w:r>
      <w:r w:rsidDel="00000000" w:rsidR="00000000" w:rsidRPr="00000000">
        <w:rPr>
          <w:rtl w:val="0"/>
        </w:rPr>
        <w:t xml:space="preserve">  Power BI actúa como el puente entre los sensores de una planta (datos crudos, ruidosos y masivos) y el panel de control del ingeniero jefe (donde se ejecutan las decisiones críticas).</w:t>
      </w:r>
    </w:p>
    <w:p w:rsidR="00000000" w:rsidDel="00000000" w:rsidP="00000000" w:rsidRDefault="00000000" w:rsidRPr="00000000" w14:paraId="00000008">
      <w:pPr>
        <w:numPr>
          <w:ilvl w:val="0"/>
          <w:numId w:val="7"/>
        </w:numPr>
        <w:ind w:left="720" w:hanging="360"/>
        <w:rPr>
          <w:u w:val="none"/>
        </w:rPr>
      </w:pPr>
      <w:r w:rsidDel="00000000" w:rsidR="00000000" w:rsidRPr="00000000">
        <w:rPr>
          <w:b w:val="1"/>
          <w:bCs w:val="1"/>
          <w:rtl w:val="0"/>
        </w:rPr>
        <w:t xml:space="preserve">Pregunta para el foro:</w:t>
      </w:r>
      <w:r w:rsidDel="00000000" w:rsidR="00000000" w:rsidRPr="00000000">
        <w:rPr>
          <w:rtl w:val="0"/>
        </w:rPr>
        <w:t xml:space="preserve">  "¿Cuál es el mayor obstáculo que enfrentan hoy al intentar justificar una decisión técnica con datos frente a la dirección?"</w:t>
      </w:r>
    </w:p>
    <w:p w:rsidR="00000000" w:rsidDel="00000000" w:rsidP="00000000" w:rsidRDefault="00000000" w:rsidRPr="00000000" w14:paraId="00000009">
      <w:pPr>
        <w:numPr>
          <w:ilvl w:val="0"/>
          <w:numId w:val="7"/>
        </w:numPr>
        <w:ind w:left="720" w:hanging="360"/>
        <w:rPr>
          <w:u w:val="none"/>
        </w:rPr>
      </w:pPr>
      <w:r w:rsidDel="00000000" w:rsidR="00000000" w:rsidRPr="00000000">
        <w:rPr>
          <w:b w:val="1"/>
          <w:bCs w:val="1"/>
          <w:rtl w:val="0"/>
        </w:rPr>
        <w:t xml:space="preserve">Riesgo a mitigar:</w:t>
      </w:r>
      <w:r w:rsidDel="00000000" w:rsidR="00000000" w:rsidRPr="00000000">
        <w:rPr>
          <w:rtl w:val="0"/>
        </w:rPr>
        <w:t xml:space="preserve">  Confundir Power BI con una simple herramienta de dibujo; es imperativo posicionarla como una plataforma de modelado semántico de grado empresarial.</w:t>
      </w:r>
    </w:p>
    <w:p w:rsidR="00000000" w:rsidDel="00000000" w:rsidP="00000000" w:rsidRDefault="00000000" w:rsidRPr="00000000" w14:paraId="0000000A">
      <w:pPr>
        <w:numPr>
          <w:ilvl w:val="0"/>
          <w:numId w:val="7"/>
        </w:numPr>
        <w:ind w:left="720" w:hanging="360"/>
        <w:rPr>
          <w:u w:val="none"/>
        </w:rPr>
      </w:pPr>
      <w:r w:rsidDel="00000000" w:rsidR="00000000" w:rsidRPr="00000000">
        <w:rPr>
          <w:b w:val="1"/>
          <w:bCs w:val="1"/>
          <w:rtl w:val="0"/>
        </w:rPr>
        <w:t xml:space="preserve">Cita de Autoridad:</w:t>
      </w:r>
      <w:r w:rsidDel="00000000" w:rsidR="00000000" w:rsidRPr="00000000">
        <w:rPr>
          <w:rtl w:val="0"/>
        </w:rPr>
        <w:t xml:space="preserve">  "Power BI documentation covers cloud capabilities in Microsoft Fabric, standalone desktop and on-premises applications..." (Microsoft Learn).</w:t>
      </w:r>
    </w:p>
    <w:p w:rsidR="00000000" w:rsidDel="00000000" w:rsidP="00000000" w:rsidRDefault="00000000" w:rsidRPr="00000000" w14:paraId="0000000B">
      <w:pPr>
        <w:numPr>
          <w:ilvl w:val="0"/>
          <w:numId w:val="7"/>
        </w:numPr>
        <w:ind w:left="720" w:hanging="360"/>
        <w:rPr>
          <w:u w:val="none"/>
        </w:rPr>
      </w:pPr>
      <w:r w:rsidDel="00000000" w:rsidR="00000000" w:rsidRPr="00000000">
        <w:rPr>
          <w:b w:val="1"/>
          <w:bCs w:val="1"/>
          <w:rtl w:val="0"/>
        </w:rPr>
        <w:t xml:space="preserve">Transición:</w:t>
      </w:r>
      <w:r w:rsidDel="00000000" w:rsidR="00000000" w:rsidRPr="00000000">
        <w:rPr>
          <w:rtl w:val="0"/>
        </w:rPr>
        <w:t xml:space="preserve">  Definido este marco arquitectónico, analicemos cómo el dato estático se transforma en un activo de decisión real.</w:t>
      </w:r>
    </w:p>
    <w:p w:rsidR="00000000" w:rsidDel="00000000" w:rsidP="00000000" w:rsidRDefault="00000000" w:rsidRPr="00000000" w14:paraId="0000000C">
      <w:pPr>
        <w:pStyle w:val="Heading5"/>
        <w:rPr/>
      </w:pPr>
      <w:bookmarkStart w:colFirst="0" w:colLast="0" w:name="_dcuwwy27bmdz" w:id="2"/>
      <w:bookmarkEnd w:id="2"/>
      <w:r w:rsidDel="00000000" w:rsidR="00000000" w:rsidRPr="00000000">
        <w:rPr>
          <w:rtl w:val="0"/>
        </w:rPr>
        <w:t xml:space="preserve">2. De reportes a decisiones de negocio</w:t>
      </w:r>
    </w:p>
    <w:p w:rsidR="00000000" w:rsidDel="00000000" w:rsidP="00000000" w:rsidRDefault="00000000" w:rsidRPr="00000000" w14:paraId="0000000D">
      <w:pPr>
        <w:rPr/>
      </w:pPr>
      <w:r w:rsidDel="00000000" w:rsidR="00000000" w:rsidRPr="00000000">
        <w:rPr>
          <w:b w:val="1"/>
          <w:bCs w:val="1"/>
          <w:rtl w:val="0"/>
        </w:rPr>
        <w:t xml:space="preserve">Relevancia Estratégica:</w:t>
      </w:r>
      <w:r w:rsidDel="00000000" w:rsidR="00000000" w:rsidRPr="00000000">
        <w:rPr>
          <w:rtl w:val="0"/>
        </w:rPr>
        <w:t xml:space="preserve">  El valor de un activo analítico no reside en su complejidad estética, sino en su capacidad para reducir la latencia entre la observación de una anomalía y la ejecución de una acción correctiva. Para un ingeniero, un reporte exitoso es aquel que minimiza el esfuerzo cognitivo necesario para entender el estado de un sistema.</w:t>
      </w:r>
    </w:p>
    <w:p w:rsidR="00000000" w:rsidDel="00000000" w:rsidP="00000000" w:rsidRDefault="00000000" w:rsidRPr="00000000" w14:paraId="0000000E">
      <w:pPr>
        <w:numPr>
          <w:ilvl w:val="0"/>
          <w:numId w:val="15"/>
        </w:numPr>
        <w:ind w:left="720" w:hanging="360"/>
        <w:rPr>
          <w:u w:val="none"/>
        </w:rPr>
      </w:pPr>
      <w:r w:rsidDel="00000000" w:rsidR="00000000" w:rsidRPr="00000000">
        <w:rPr>
          <w:b w:val="1"/>
          <w:bCs w:val="1"/>
          <w:rtl w:val="0"/>
        </w:rPr>
        <w:t xml:space="preserve">Explicación:</w:t>
      </w:r>
      <w:r w:rsidDel="00000000" w:rsidR="00000000" w:rsidRPr="00000000">
        <w:rPr>
          <w:rtl w:val="0"/>
        </w:rPr>
        <w:t xml:space="preserve">  Evolución del análisis descriptivo ("qué pasó") hacia el diseño orientado a la acción (Data-driven business decisions).</w:t>
      </w:r>
    </w:p>
    <w:p w:rsidR="00000000" w:rsidDel="00000000" w:rsidP="00000000" w:rsidRDefault="00000000" w:rsidRPr="00000000" w14:paraId="0000000F">
      <w:pPr>
        <w:numPr>
          <w:ilvl w:val="0"/>
          <w:numId w:val="15"/>
        </w:numPr>
        <w:ind w:left="720" w:hanging="360"/>
        <w:rPr>
          <w:u w:val="none"/>
        </w:rPr>
      </w:pPr>
      <w:r w:rsidDel="00000000" w:rsidR="00000000" w:rsidRPr="00000000">
        <w:rPr>
          <w:b w:val="1"/>
          <w:bCs w:val="1"/>
          <w:rtl w:val="0"/>
        </w:rPr>
        <w:t xml:space="preserve">Guion del Instructor:</w:t>
      </w:r>
      <w:r w:rsidDel="00000000" w:rsidR="00000000" w:rsidRPr="00000000">
        <w:rPr>
          <w:rtl w:val="0"/>
        </w:rPr>
        <w:t xml:space="preserve">  "Un reporte que solo informa es un costo operativo; un reporte que guía una decisión es una inversión estratégica. Debemos diseñar interfaces que reduzcan la fatiga informativa y disparen acciones inmediatas".</w:t>
      </w:r>
    </w:p>
    <w:p w:rsidR="00000000" w:rsidDel="00000000" w:rsidP="00000000" w:rsidRDefault="00000000" w:rsidRPr="00000000" w14:paraId="00000010">
      <w:pPr>
        <w:numPr>
          <w:ilvl w:val="0"/>
          <w:numId w:val="15"/>
        </w:numPr>
        <w:ind w:left="720" w:hanging="360"/>
        <w:rPr>
          <w:u w:val="none"/>
        </w:rPr>
      </w:pPr>
      <w:r w:rsidDel="00000000" w:rsidR="00000000" w:rsidRPr="00000000">
        <w:rPr>
          <w:b w:val="1"/>
          <w:bCs w:val="1"/>
          <w:rtl w:val="0"/>
        </w:rPr>
        <w:t xml:space="preserve">Analogía:</w:t>
      </w:r>
      <w:r w:rsidDel="00000000" w:rsidR="00000000" w:rsidRPr="00000000">
        <w:rPr>
          <w:rtl w:val="0"/>
        </w:rPr>
        <w:t xml:space="preserve">  Es la diferencia entre leer el manual de servicio de una turbina (reporte estático) vs. operarla con una pantalla de realidad aumentada que señala exactamente qué válvula ajustar según la presión actual (decisión guiada).</w:t>
      </w:r>
    </w:p>
    <w:p w:rsidR="00000000" w:rsidDel="00000000" w:rsidP="00000000" w:rsidRDefault="00000000" w:rsidRPr="00000000" w14:paraId="00000011">
      <w:pPr>
        <w:numPr>
          <w:ilvl w:val="0"/>
          <w:numId w:val="15"/>
        </w:numPr>
        <w:ind w:left="720" w:hanging="360"/>
        <w:rPr>
          <w:u w:val="none"/>
        </w:rPr>
      </w:pPr>
      <w:r w:rsidDel="00000000" w:rsidR="00000000" w:rsidRPr="00000000">
        <w:rPr>
          <w:b w:val="1"/>
          <w:bCs w:val="1"/>
          <w:rtl w:val="0"/>
        </w:rPr>
        <w:t xml:space="preserve">Pregunta para el foro:</w:t>
      </w:r>
      <w:r w:rsidDel="00000000" w:rsidR="00000000" w:rsidRPr="00000000">
        <w:rPr>
          <w:rtl w:val="0"/>
        </w:rPr>
        <w:t xml:space="preserve">  "¿Qué porcentaje de sus reportes actuales terminan realmente en una acción operativa o estratégica concreta?"</w:t>
      </w:r>
    </w:p>
    <w:p w:rsidR="00000000" w:rsidDel="00000000" w:rsidP="00000000" w:rsidRDefault="00000000" w:rsidRPr="00000000" w14:paraId="00000012">
      <w:pPr>
        <w:numPr>
          <w:ilvl w:val="0"/>
          <w:numId w:val="15"/>
        </w:numPr>
        <w:ind w:left="720" w:hanging="360"/>
        <w:rPr>
          <w:u w:val="none"/>
        </w:rPr>
      </w:pPr>
      <w:r w:rsidDel="00000000" w:rsidR="00000000" w:rsidRPr="00000000">
        <w:rPr>
          <w:b w:val="1"/>
          <w:bCs w:val="1"/>
          <w:rtl w:val="0"/>
        </w:rPr>
        <w:t xml:space="preserve">Riesgo a mitigar:</w:t>
      </w:r>
      <w:r w:rsidDel="00000000" w:rsidR="00000000" w:rsidRPr="00000000">
        <w:rPr>
          <w:rtl w:val="0"/>
        </w:rPr>
        <w:t xml:space="preserve">  La parálisis por análisis; la creencia errónea de que mayor volumen de datos visualizados equivale automáticamente a una mejor calidad en la decisión.</w:t>
      </w:r>
    </w:p>
    <w:p w:rsidR="00000000" w:rsidDel="00000000" w:rsidP="00000000" w:rsidRDefault="00000000" w:rsidRPr="00000000" w14:paraId="00000013">
      <w:pPr>
        <w:numPr>
          <w:ilvl w:val="0"/>
          <w:numId w:val="15"/>
        </w:numPr>
        <w:ind w:left="720" w:hanging="360"/>
        <w:rPr>
          <w:u w:val="none"/>
        </w:rPr>
      </w:pPr>
      <w:r w:rsidDel="00000000" w:rsidR="00000000" w:rsidRPr="00000000">
        <w:rPr>
          <w:b w:val="1"/>
          <w:bCs w:val="1"/>
          <w:rtl w:val="0"/>
        </w:rPr>
        <w:t xml:space="preserve">Cita de Autoridad:</w:t>
      </w:r>
      <w:r w:rsidDel="00000000" w:rsidR="00000000" w:rsidRPr="00000000">
        <w:rPr>
          <w:rtl w:val="0"/>
        </w:rPr>
        <w:t xml:space="preserve">  Basado en los principios de "Design effective reports in Power BI - Training".</w:t>
      </w:r>
    </w:p>
    <w:p w:rsidR="00000000" w:rsidDel="00000000" w:rsidP="00000000" w:rsidRDefault="00000000" w:rsidRPr="00000000" w14:paraId="00000014">
      <w:pPr>
        <w:numPr>
          <w:ilvl w:val="0"/>
          <w:numId w:val="15"/>
        </w:numPr>
        <w:ind w:left="720" w:hanging="360"/>
        <w:rPr>
          <w:u w:val="none"/>
        </w:rPr>
      </w:pPr>
      <w:r w:rsidDel="00000000" w:rsidR="00000000" w:rsidRPr="00000000">
        <w:rPr>
          <w:b w:val="1"/>
          <w:bCs w:val="1"/>
          <w:rtl w:val="0"/>
        </w:rPr>
        <w:t xml:space="preserve">Transición:</w:t>
      </w:r>
      <w:r w:rsidDel="00000000" w:rsidR="00000000" w:rsidRPr="00000000">
        <w:rPr>
          <w:rtl w:val="0"/>
        </w:rPr>
        <w:t xml:space="preserve">  Para habilitar esta agilidad, el ingeniero debe dominar cada eslabón de la cadena de suministro de datos.</w:t>
      </w:r>
    </w:p>
    <w:p w:rsidR="00000000" w:rsidDel="00000000" w:rsidP="00000000" w:rsidRDefault="00000000" w:rsidRPr="00000000" w14:paraId="00000015">
      <w:pPr>
        <w:pStyle w:val="Heading5"/>
        <w:rPr/>
      </w:pPr>
      <w:bookmarkStart w:colFirst="0" w:colLast="0" w:name="_t0xipv9t1wsu" w:id="3"/>
      <w:bookmarkEnd w:id="3"/>
      <w:r w:rsidDel="00000000" w:rsidR="00000000" w:rsidRPr="00000000">
        <w:rPr>
          <w:rtl w:val="0"/>
        </w:rPr>
        <w:t xml:space="preserve">3. Ciclo analítico completo en Power BI</w:t>
      </w:r>
    </w:p>
    <w:p w:rsidR="00000000" w:rsidDel="00000000" w:rsidP="00000000" w:rsidRDefault="00000000" w:rsidRPr="00000000" w14:paraId="00000016">
      <w:pPr>
        <w:rPr/>
      </w:pPr>
      <w:r w:rsidDel="00000000" w:rsidR="00000000" w:rsidRPr="00000000">
        <w:rPr>
          <w:b w:val="1"/>
          <w:bCs w:val="1"/>
          <w:rtl w:val="0"/>
        </w:rPr>
        <w:t xml:space="preserve">Relevancia Estratégica:</w:t>
      </w:r>
      <w:r w:rsidDel="00000000" w:rsidR="00000000" w:rsidRPr="00000000">
        <w:rPr>
          <w:rtl w:val="0"/>
        </w:rPr>
        <w:t xml:space="preserve">  Comprender el flujo  </w:t>
      </w:r>
      <w:r w:rsidDel="00000000" w:rsidR="00000000" w:rsidRPr="00000000">
        <w:rPr>
          <w:i w:val="1"/>
          <w:iCs w:val="1"/>
          <w:rtl w:val="0"/>
        </w:rPr>
        <w:t xml:space="preserve">End-to-End</w:t>
      </w:r>
      <w:r w:rsidDel="00000000" w:rsidR="00000000" w:rsidRPr="00000000">
        <w:rPr>
          <w:rtl w:val="0"/>
        </w:rPr>
        <w:t xml:space="preserve">  (E2E) es fundamental para garantizar la gobernanza. Para un equipo técnico, el modelo semántico representa el "Digital Twin" lógico de la operación; si este gemelo es defectuoso, cualquier insight extraído será erróneo.</w:t>
      </w:r>
    </w:p>
    <w:p w:rsidR="00000000" w:rsidDel="00000000" w:rsidP="00000000" w:rsidRDefault="00000000" w:rsidRPr="00000000" w14:paraId="00000017">
      <w:pPr>
        <w:numPr>
          <w:ilvl w:val="0"/>
          <w:numId w:val="5"/>
        </w:numPr>
        <w:ind w:left="720" w:hanging="360"/>
        <w:rPr>
          <w:u w:val="none"/>
        </w:rPr>
      </w:pPr>
      <w:r w:rsidDel="00000000" w:rsidR="00000000" w:rsidRPr="00000000">
        <w:rPr>
          <w:b w:val="1"/>
          <w:bCs w:val="1"/>
          <w:rtl w:val="0"/>
        </w:rPr>
        <w:t xml:space="preserve">Explicación:</w:t>
      </w:r>
      <w:r w:rsidDel="00000000" w:rsidR="00000000" w:rsidRPr="00000000">
        <w:rPr>
          <w:rtl w:val="0"/>
        </w:rPr>
        <w:t xml:space="preserve">  Síntesis del flujo vital: Conectar -&gt; Transformar -&gt; Modelar (Semantic Models) -&gt; Visualizar -&gt; Compartir.</w:t>
      </w:r>
    </w:p>
    <w:p w:rsidR="00000000" w:rsidDel="00000000" w:rsidP="00000000" w:rsidRDefault="00000000" w:rsidRPr="00000000" w14:paraId="00000018">
      <w:pPr>
        <w:numPr>
          <w:ilvl w:val="0"/>
          <w:numId w:val="5"/>
        </w:numPr>
        <w:ind w:left="720" w:hanging="360"/>
        <w:rPr>
          <w:u w:val="none"/>
        </w:rPr>
      </w:pPr>
      <w:r w:rsidDel="00000000" w:rsidR="00000000" w:rsidRPr="00000000">
        <w:rPr>
          <w:b w:val="1"/>
          <w:bCs w:val="1"/>
          <w:rtl w:val="0"/>
        </w:rPr>
        <w:t xml:space="preserve">Guion del Instructor:</w:t>
      </w:r>
      <w:r w:rsidDel="00000000" w:rsidR="00000000" w:rsidRPr="00000000">
        <w:rPr>
          <w:rtl w:val="0"/>
        </w:rPr>
        <w:t xml:space="preserve">  "El éxito de un visual no nace en el lienzo de diseño, sino en la integridad del modelo semántico. Si la arquitectura subyacente es débil, la visualización será una representación mentirosa de la realidad".</w:t>
      </w:r>
    </w:p>
    <w:p w:rsidR="00000000" w:rsidDel="00000000" w:rsidP="00000000" w:rsidRDefault="00000000" w:rsidRPr="00000000" w14:paraId="00000019">
      <w:pPr>
        <w:numPr>
          <w:ilvl w:val="0"/>
          <w:numId w:val="5"/>
        </w:numPr>
        <w:ind w:left="720" w:hanging="360"/>
        <w:rPr>
          <w:u w:val="none"/>
        </w:rPr>
      </w:pPr>
      <w:r w:rsidDel="00000000" w:rsidR="00000000" w:rsidRPr="00000000">
        <w:rPr>
          <w:b w:val="1"/>
          <w:bCs w:val="1"/>
          <w:rtl w:val="0"/>
        </w:rPr>
        <w:t xml:space="preserve">Analogía:</w:t>
      </w:r>
      <w:r w:rsidDel="00000000" w:rsidR="00000000" w:rsidRPr="00000000">
        <w:rPr>
          <w:rtl w:val="0"/>
        </w:rPr>
        <w:t xml:space="preserve">  El ciclo analítico es como una línea de ensamblaje automatizada: si la materia prima (datos) entra contaminada o si los moldes (modelo) están fuera de tolerancia, el producto final (decisión) será defectuoso.</w:t>
      </w:r>
    </w:p>
    <w:p w:rsidR="00000000" w:rsidDel="00000000" w:rsidP="00000000" w:rsidRDefault="00000000" w:rsidRPr="00000000" w14:paraId="0000001A">
      <w:pPr>
        <w:numPr>
          <w:ilvl w:val="0"/>
          <w:numId w:val="5"/>
        </w:numPr>
        <w:ind w:left="720" w:hanging="360"/>
        <w:rPr>
          <w:u w:val="none"/>
        </w:rPr>
      </w:pPr>
      <w:r w:rsidDel="00000000" w:rsidR="00000000" w:rsidRPr="00000000">
        <w:rPr>
          <w:b w:val="1"/>
          <w:bCs w:val="1"/>
          <w:rtl w:val="0"/>
        </w:rPr>
        <w:t xml:space="preserve">Pregunta para el foro:</w:t>
      </w:r>
      <w:r w:rsidDel="00000000" w:rsidR="00000000" w:rsidRPr="00000000">
        <w:rPr>
          <w:rtl w:val="0"/>
        </w:rPr>
        <w:t xml:space="preserve">  "¿En qué etapa de este ciclo consideran que existe el mayor riesgo de pérdida de integridad de datos en su organización?"</w:t>
      </w:r>
    </w:p>
    <w:p w:rsidR="00000000" w:rsidDel="00000000" w:rsidP="00000000" w:rsidRDefault="00000000" w:rsidRPr="00000000" w14:paraId="0000001B">
      <w:pPr>
        <w:numPr>
          <w:ilvl w:val="0"/>
          <w:numId w:val="5"/>
        </w:numPr>
        <w:ind w:left="720" w:hanging="360"/>
        <w:rPr>
          <w:u w:val="none"/>
        </w:rPr>
      </w:pPr>
      <w:r w:rsidDel="00000000" w:rsidR="00000000" w:rsidRPr="00000000">
        <w:rPr>
          <w:b w:val="1"/>
          <w:bCs w:val="1"/>
          <w:rtl w:val="0"/>
        </w:rPr>
        <w:t xml:space="preserve">Riesgo a mitigar:</w:t>
      </w:r>
      <w:r w:rsidDel="00000000" w:rsidR="00000000" w:rsidRPr="00000000">
        <w:rPr>
          <w:rtl w:val="0"/>
        </w:rPr>
        <w:t xml:space="preserve">  Omitir la etapa de modelado formal para saltar directamente a la visualización, lo que genera deuda técnica masiva y problemas de rendimiento.</w:t>
      </w:r>
    </w:p>
    <w:p w:rsidR="00000000" w:rsidDel="00000000" w:rsidP="00000000" w:rsidRDefault="00000000" w:rsidRPr="00000000" w14:paraId="0000001C">
      <w:pPr>
        <w:numPr>
          <w:ilvl w:val="0"/>
          <w:numId w:val="5"/>
        </w:numPr>
        <w:ind w:left="720" w:hanging="360"/>
        <w:rPr>
          <w:u w:val="none"/>
        </w:rPr>
      </w:pPr>
      <w:r w:rsidDel="00000000" w:rsidR="00000000" w:rsidRPr="00000000">
        <w:rPr>
          <w:b w:val="1"/>
          <w:bCs w:val="1"/>
          <w:rtl w:val="0"/>
        </w:rPr>
        <w:t xml:space="preserve">Cita de Autoridad:</w:t>
      </w:r>
      <w:r w:rsidDel="00000000" w:rsidR="00000000" w:rsidRPr="00000000">
        <w:rPr>
          <w:rtl w:val="0"/>
        </w:rPr>
        <w:t xml:space="preserve">  Referencia a "What is Power BI? - Basic concepts".</w:t>
      </w:r>
    </w:p>
    <w:p w:rsidR="00000000" w:rsidDel="00000000" w:rsidP="00000000" w:rsidRDefault="00000000" w:rsidRPr="00000000" w14:paraId="0000001D">
      <w:pPr>
        <w:numPr>
          <w:ilvl w:val="0"/>
          <w:numId w:val="5"/>
        </w:numPr>
        <w:ind w:left="720" w:hanging="360"/>
        <w:rPr>
          <w:u w:val="none"/>
        </w:rPr>
      </w:pPr>
      <w:r w:rsidDel="00000000" w:rsidR="00000000" w:rsidRPr="00000000">
        <w:rPr>
          <w:b w:val="1"/>
          <w:bCs w:val="1"/>
          <w:rtl w:val="0"/>
        </w:rPr>
        <w:t xml:space="preserve">Transición:</w:t>
      </w:r>
      <w:r w:rsidDel="00000000" w:rsidR="00000000" w:rsidRPr="00000000">
        <w:rPr>
          <w:rtl w:val="0"/>
        </w:rPr>
        <w:t xml:space="preserve">  Con la arquitectura clara, descendamos al taller de herramientas: Power BI Desktop.</w:t>
      </w:r>
    </w:p>
    <w:p w:rsidR="00000000" w:rsidDel="00000000" w:rsidP="00000000" w:rsidRDefault="00000000" w:rsidRPr="00000000" w14:paraId="0000001E">
      <w:pPr>
        <w:pStyle w:val="Heading5"/>
        <w:rPr/>
      </w:pPr>
      <w:bookmarkStart w:colFirst="0" w:colLast="0" w:name="_fhzaf7xffqp9" w:id="4"/>
      <w:bookmarkEnd w:id="4"/>
      <w:r w:rsidDel="00000000" w:rsidR="00000000" w:rsidRPr="00000000">
        <w:rPr>
          <w:rtl w:val="0"/>
        </w:rPr>
        <w:t xml:space="preserve">4. Recap funcional de Power BI Desktop</w:t>
      </w:r>
    </w:p>
    <w:p w:rsidR="00000000" w:rsidDel="00000000" w:rsidP="00000000" w:rsidRDefault="00000000" w:rsidRPr="00000000" w14:paraId="0000001F">
      <w:pPr>
        <w:rPr/>
      </w:pPr>
      <w:r w:rsidDel="00000000" w:rsidR="00000000" w:rsidRPr="00000000">
        <w:rPr>
          <w:b w:val="1"/>
          <w:bCs w:val="1"/>
          <w:rtl w:val="0"/>
        </w:rPr>
        <w:t xml:space="preserve">Relevancia Estratégica:</w:t>
      </w:r>
      <w:r w:rsidDel="00000000" w:rsidR="00000000" w:rsidRPr="00000000">
        <w:rPr>
          <w:rtl w:val="0"/>
        </w:rPr>
        <w:t xml:space="preserve">  La eficiencia en el desarrollo analítico depende del dominio de las tres vistas principales. Separar la lógica de negocio de la capa de presentación permite a los ingenieros construir soluciones mantenibles y escalables.</w:t>
      </w:r>
    </w:p>
    <w:p w:rsidR="00000000" w:rsidDel="00000000" w:rsidP="00000000" w:rsidRDefault="00000000" w:rsidRPr="00000000" w14:paraId="00000020">
      <w:pPr>
        <w:numPr>
          <w:ilvl w:val="0"/>
          <w:numId w:val="13"/>
        </w:numPr>
        <w:ind w:left="720" w:hanging="360"/>
        <w:rPr>
          <w:u w:val="none"/>
        </w:rPr>
      </w:pPr>
      <w:r w:rsidDel="00000000" w:rsidR="00000000" w:rsidRPr="00000000">
        <w:rPr>
          <w:b w:val="1"/>
          <w:bCs w:val="1"/>
          <w:rtl w:val="0"/>
        </w:rPr>
        <w:t xml:space="preserve">Explicación:</w:t>
      </w:r>
      <w:r w:rsidDel="00000000" w:rsidR="00000000" w:rsidRPr="00000000">
        <w:rPr>
          <w:rtl w:val="0"/>
        </w:rPr>
        <w:t xml:space="preserve">  Revisión técnica de las vistas de Informe (canvas), Datos (inspección) y Modelo (arquitectura de relaciones).</w:t>
      </w:r>
    </w:p>
    <w:p w:rsidR="00000000" w:rsidDel="00000000" w:rsidP="00000000" w:rsidRDefault="00000000" w:rsidRPr="00000000" w14:paraId="00000021">
      <w:pPr>
        <w:numPr>
          <w:ilvl w:val="0"/>
          <w:numId w:val="13"/>
        </w:numPr>
        <w:ind w:left="720" w:hanging="360"/>
        <w:rPr>
          <w:u w:val="none"/>
        </w:rPr>
      </w:pPr>
      <w:r w:rsidDel="00000000" w:rsidR="00000000" w:rsidRPr="00000000">
        <w:rPr>
          <w:b w:val="1"/>
          <w:bCs w:val="1"/>
          <w:rtl w:val="0"/>
        </w:rPr>
        <w:t xml:space="preserve">Guion del Instructor:</w:t>
      </w:r>
      <w:r w:rsidDel="00000000" w:rsidR="00000000" w:rsidRPr="00000000">
        <w:rPr>
          <w:rtl w:val="0"/>
        </w:rPr>
        <w:t xml:space="preserve">  "Nuestra prioridad es la vista de Modelo. Aquí es donde definimos las reglas de negocio y garantizamos que el sistema sea capaz de escalar ante millones de registros sin degradar la experiencia del usuario".</w:t>
      </w:r>
    </w:p>
    <w:p w:rsidR="00000000" w:rsidDel="00000000" w:rsidP="00000000" w:rsidRDefault="00000000" w:rsidRPr="00000000" w14:paraId="00000022">
      <w:pPr>
        <w:numPr>
          <w:ilvl w:val="0"/>
          <w:numId w:val="13"/>
        </w:numPr>
        <w:ind w:left="720" w:hanging="360"/>
        <w:rPr>
          <w:u w:val="none"/>
        </w:rPr>
      </w:pPr>
      <w:r w:rsidDel="00000000" w:rsidR="00000000" w:rsidRPr="00000000">
        <w:rPr>
          <w:b w:val="1"/>
          <w:bCs w:val="1"/>
          <w:rtl w:val="0"/>
        </w:rPr>
        <w:t xml:space="preserve">Analogía:</w:t>
      </w:r>
      <w:r w:rsidDel="00000000" w:rsidR="00000000" w:rsidRPr="00000000">
        <w:rPr>
          <w:rtl w:val="0"/>
        </w:rPr>
        <w:t xml:space="preserve">  La vista de informe es la carrocería de un vehículo, pero la vista de modelo es el motor, la transmisión y la ECU que definen el rendimiento real del sistema.</w:t>
      </w:r>
    </w:p>
    <w:p w:rsidR="00000000" w:rsidDel="00000000" w:rsidP="00000000" w:rsidRDefault="00000000" w:rsidRPr="00000000" w14:paraId="00000023">
      <w:pPr>
        <w:numPr>
          <w:ilvl w:val="0"/>
          <w:numId w:val="13"/>
        </w:numPr>
        <w:ind w:left="720" w:hanging="360"/>
        <w:rPr>
          <w:u w:val="none"/>
        </w:rPr>
      </w:pPr>
      <w:r w:rsidDel="00000000" w:rsidR="00000000" w:rsidRPr="00000000">
        <w:rPr>
          <w:b w:val="1"/>
          <w:bCs w:val="1"/>
          <w:rtl w:val="0"/>
        </w:rPr>
        <w:t xml:space="preserve">Pregunta para el foro:</w:t>
      </w:r>
      <w:r w:rsidDel="00000000" w:rsidR="00000000" w:rsidRPr="00000000">
        <w:rPr>
          <w:rtl w:val="0"/>
        </w:rPr>
        <w:t xml:space="preserve">  "¿Cuál de estas tres vistas consideran crítica para garantizar que una métrica sea consistente en todo el reporte?"</w:t>
      </w:r>
    </w:p>
    <w:p w:rsidR="00000000" w:rsidDel="00000000" w:rsidP="00000000" w:rsidRDefault="00000000" w:rsidRPr="00000000" w14:paraId="00000024">
      <w:pPr>
        <w:numPr>
          <w:ilvl w:val="0"/>
          <w:numId w:val="13"/>
        </w:numPr>
        <w:ind w:left="720" w:hanging="360"/>
        <w:rPr>
          <w:u w:val="none"/>
        </w:rPr>
      </w:pPr>
      <w:r w:rsidDel="00000000" w:rsidR="00000000" w:rsidRPr="00000000">
        <w:rPr>
          <w:b w:val="1"/>
          <w:bCs w:val="1"/>
          <w:rtl w:val="0"/>
        </w:rPr>
        <w:t xml:space="preserve">Riesgo a mitigar:</w:t>
      </w:r>
      <w:r w:rsidDel="00000000" w:rsidR="00000000" w:rsidRPr="00000000">
        <w:rPr>
          <w:rtl w:val="0"/>
        </w:rPr>
        <w:t xml:space="preserve">  Ignorar la vista de modelo en favor de la vista de datos, lo cual oculta problemas de granularidad y ambigüedad en las relaciones de las tablas.</w:t>
      </w:r>
    </w:p>
    <w:p w:rsidR="00000000" w:rsidDel="00000000" w:rsidP="00000000" w:rsidRDefault="00000000" w:rsidRPr="00000000" w14:paraId="00000025">
      <w:pPr>
        <w:numPr>
          <w:ilvl w:val="0"/>
          <w:numId w:val="13"/>
        </w:numPr>
        <w:ind w:left="720" w:hanging="360"/>
        <w:rPr>
          <w:u w:val="none"/>
        </w:rPr>
      </w:pPr>
      <w:r w:rsidDel="00000000" w:rsidR="00000000" w:rsidRPr="00000000">
        <w:rPr>
          <w:b w:val="1"/>
          <w:bCs w:val="1"/>
          <w:rtl w:val="0"/>
        </w:rPr>
        <w:t xml:space="preserve">Cita de Autoridad:</w:t>
      </w:r>
      <w:r w:rsidDel="00000000" w:rsidR="00000000" w:rsidRPr="00000000">
        <w:rPr>
          <w:rtl w:val="0"/>
        </w:rPr>
        <w:t xml:space="preserve">  Basado en la documentación técnica de Power BI Desktop.</w:t>
      </w:r>
    </w:p>
    <w:p w:rsidR="00000000" w:rsidDel="00000000" w:rsidP="00000000" w:rsidRDefault="00000000" w:rsidRPr="00000000" w14:paraId="00000026">
      <w:pPr>
        <w:numPr>
          <w:ilvl w:val="0"/>
          <w:numId w:val="13"/>
        </w:numPr>
        <w:ind w:left="720" w:hanging="360"/>
        <w:rPr>
          <w:u w:val="none"/>
        </w:rPr>
      </w:pPr>
      <w:r w:rsidDel="00000000" w:rsidR="00000000" w:rsidRPr="00000000">
        <w:rPr>
          <w:b w:val="1"/>
          <w:bCs w:val="1"/>
          <w:rtl w:val="0"/>
        </w:rPr>
        <w:t xml:space="preserve">Transición:</w:t>
      </w:r>
      <w:r w:rsidDel="00000000" w:rsidR="00000000" w:rsidRPr="00000000">
        <w:rPr>
          <w:rtl w:val="0"/>
        </w:rPr>
        <w:t xml:space="preserve">  Pero antes de establecer relaciones, debemos refinar nuestra materia prima en la 'refinería' de Power BI: Power Query.</w:t>
      </w:r>
    </w:p>
    <w:p w:rsidR="00000000" w:rsidDel="00000000" w:rsidP="00000000" w:rsidRDefault="00000000" w:rsidRPr="00000000" w14:paraId="00000027">
      <w:pPr>
        <w:pStyle w:val="Heading5"/>
        <w:rPr/>
      </w:pPr>
      <w:bookmarkStart w:colFirst="0" w:colLast="0" w:name="_968kgs88dv8" w:id="5"/>
      <w:bookmarkEnd w:id="5"/>
      <w:r w:rsidDel="00000000" w:rsidR="00000000" w:rsidRPr="00000000">
        <w:rPr>
          <w:rtl w:val="0"/>
        </w:rPr>
        <w:t xml:space="preserve">5. Importación de datos y Power Query</w:t>
      </w:r>
    </w:p>
    <w:p w:rsidR="00000000" w:rsidDel="00000000" w:rsidP="00000000" w:rsidRDefault="00000000" w:rsidRPr="00000000" w14:paraId="00000028">
      <w:pPr>
        <w:rPr/>
      </w:pPr>
      <w:r w:rsidDel="00000000" w:rsidR="00000000" w:rsidRPr="00000000">
        <w:rPr>
          <w:b w:val="1"/>
          <w:bCs w:val="1"/>
          <w:rtl w:val="0"/>
        </w:rPr>
        <w:t xml:space="preserve">Relevancia Estratégica:</w:t>
      </w:r>
      <w:r w:rsidDel="00000000" w:rsidR="00000000" w:rsidRPr="00000000">
        <w:rPr>
          <w:rtl w:val="0"/>
        </w:rPr>
        <w:t xml:space="preserve">  El proceso ETL es el control de calidad inicial. Para un ingeniero, la higiene del dato industrial (proveniente de SCADAs o ERPs) es innegociable. El uso de  </w:t>
      </w:r>
      <w:r w:rsidDel="00000000" w:rsidR="00000000" w:rsidRPr="00000000">
        <w:rPr>
          <w:b w:val="1"/>
          <w:bCs w:val="1"/>
          <w:rtl w:val="0"/>
        </w:rPr>
        <w:t xml:space="preserve">Parámetros</w:t>
      </w:r>
      <w:r w:rsidDel="00000000" w:rsidR="00000000" w:rsidRPr="00000000">
        <w:rPr>
          <w:rtl w:val="0"/>
        </w:rPr>
        <w:t xml:space="preserve">  no es solo una buena práctica, es un requerimiento para la portabilidad entre entornos de desarrollo, pruebas y producción.</w:t>
      </w:r>
    </w:p>
    <w:p w:rsidR="00000000" w:rsidDel="00000000" w:rsidP="00000000" w:rsidRDefault="00000000" w:rsidRPr="00000000" w14:paraId="00000029">
      <w:pPr>
        <w:numPr>
          <w:ilvl w:val="0"/>
          <w:numId w:val="8"/>
        </w:numPr>
        <w:ind w:left="720" w:hanging="360"/>
        <w:rPr>
          <w:u w:val="none"/>
        </w:rPr>
      </w:pPr>
      <w:r w:rsidDel="00000000" w:rsidR="00000000" w:rsidRPr="00000000">
        <w:rPr>
          <w:b w:val="1"/>
          <w:bCs w:val="1"/>
          <w:rtl w:val="0"/>
        </w:rPr>
        <w:t xml:space="preserve">Explicación:</w:t>
      </w:r>
      <w:r w:rsidDel="00000000" w:rsidR="00000000" w:rsidRPr="00000000">
        <w:rPr>
          <w:rtl w:val="0"/>
        </w:rPr>
        <w:t xml:space="preserve">  Limpieza, transformación y dinamización de consultas mediante parámetros para gestionar orígenes de datos industriales de forma flexible.</w:t>
      </w:r>
    </w:p>
    <w:p w:rsidR="00000000" w:rsidDel="00000000" w:rsidP="00000000" w:rsidRDefault="00000000" w:rsidRPr="00000000" w14:paraId="0000002A">
      <w:pPr>
        <w:numPr>
          <w:ilvl w:val="0"/>
          <w:numId w:val="8"/>
        </w:numPr>
        <w:ind w:left="720" w:hanging="360"/>
        <w:rPr>
          <w:u w:val="none"/>
        </w:rPr>
      </w:pPr>
      <w:r w:rsidDel="00000000" w:rsidR="00000000" w:rsidRPr="00000000">
        <w:rPr>
          <w:b w:val="1"/>
          <w:bCs w:val="1"/>
          <w:rtl w:val="0"/>
        </w:rPr>
        <w:t xml:space="preserve">Guion del Instructor:</w:t>
      </w:r>
      <w:r w:rsidDel="00000000" w:rsidR="00000000" w:rsidRPr="00000000">
        <w:rPr>
          <w:rtl w:val="0"/>
        </w:rPr>
        <w:t xml:space="preserve">  "Power Query es donde transformamos los logs crudos de sensores en tablas estructuradas. El uso de parámetros garantiza que nuestra solución sea agnóstica al servidor o la ruta de archivo específica".</w:t>
      </w:r>
    </w:p>
    <w:p w:rsidR="00000000" w:rsidDel="00000000" w:rsidP="00000000" w:rsidRDefault="00000000" w:rsidRPr="00000000" w14:paraId="0000002B">
      <w:pPr>
        <w:numPr>
          <w:ilvl w:val="0"/>
          <w:numId w:val="8"/>
        </w:numPr>
        <w:ind w:left="720" w:hanging="360"/>
        <w:rPr>
          <w:u w:val="none"/>
        </w:rPr>
      </w:pPr>
      <w:r w:rsidDel="00000000" w:rsidR="00000000" w:rsidRPr="00000000">
        <w:rPr>
          <w:b w:val="1"/>
          <w:bCs w:val="1"/>
          <w:rtl w:val="0"/>
        </w:rPr>
        <w:t xml:space="preserve">Analogía:</w:t>
      </w:r>
      <w:r w:rsidDel="00000000" w:rsidR="00000000" w:rsidRPr="00000000">
        <w:rPr>
          <w:rtl w:val="0"/>
        </w:rPr>
        <w:t xml:space="preserve">  Power Query es la refinería que procesa el crudo pesado (datos brutos de la EIA o telemetría) para convertirlo en combustible de alto octanaje (tablas limpias y tipadas).</w:t>
      </w:r>
    </w:p>
    <w:p w:rsidR="00000000" w:rsidDel="00000000" w:rsidP="00000000" w:rsidRDefault="00000000" w:rsidRPr="00000000" w14:paraId="0000002C">
      <w:pPr>
        <w:numPr>
          <w:ilvl w:val="0"/>
          <w:numId w:val="8"/>
        </w:numPr>
        <w:ind w:left="720" w:hanging="360"/>
        <w:rPr>
          <w:u w:val="none"/>
        </w:rPr>
      </w:pPr>
      <w:r w:rsidDel="00000000" w:rsidR="00000000" w:rsidRPr="00000000">
        <w:rPr>
          <w:b w:val="1"/>
          <w:bCs w:val="1"/>
          <w:rtl w:val="0"/>
        </w:rPr>
        <w:t xml:space="preserve">Pregunta para el foro:</w:t>
      </w:r>
      <w:r w:rsidDel="00000000" w:rsidR="00000000" w:rsidRPr="00000000">
        <w:rPr>
          <w:rtl w:val="0"/>
        </w:rPr>
        <w:t xml:space="preserve">  "¿Cuántas horas de retrabajo les ha costado el cambio de una cadena de conexión o la ruta de un dataset en el pasado?"</w:t>
      </w:r>
    </w:p>
    <w:p w:rsidR="00000000" w:rsidDel="00000000" w:rsidP="00000000" w:rsidRDefault="00000000" w:rsidRPr="00000000" w14:paraId="0000002D">
      <w:pPr>
        <w:numPr>
          <w:ilvl w:val="0"/>
          <w:numId w:val="8"/>
        </w:numPr>
        <w:ind w:left="720" w:hanging="360"/>
        <w:rPr>
          <w:u w:val="none"/>
        </w:rPr>
      </w:pPr>
      <w:r w:rsidDel="00000000" w:rsidR="00000000" w:rsidRPr="00000000">
        <w:rPr>
          <w:b w:val="1"/>
          <w:bCs w:val="1"/>
          <w:rtl w:val="0"/>
        </w:rPr>
        <w:t xml:space="preserve">Riesgo a mitigar:</w:t>
      </w:r>
      <w:r w:rsidDel="00000000" w:rsidR="00000000" w:rsidRPr="00000000">
        <w:rPr>
          <w:rtl w:val="0"/>
        </w:rPr>
        <w:t xml:space="preserve">  Aplicar transformaciones manuales repetitivas en lugar de encapsular la lógica en el motor de M, lo que compromete la reproducibilidad del análisis.</w:t>
      </w:r>
    </w:p>
    <w:p w:rsidR="00000000" w:rsidDel="00000000" w:rsidP="00000000" w:rsidRDefault="00000000" w:rsidRPr="00000000" w14:paraId="0000002E">
      <w:pPr>
        <w:numPr>
          <w:ilvl w:val="0"/>
          <w:numId w:val="8"/>
        </w:numPr>
        <w:ind w:left="720" w:hanging="360"/>
        <w:rPr>
          <w:u w:val="none"/>
        </w:rPr>
      </w:pPr>
      <w:r w:rsidDel="00000000" w:rsidR="00000000" w:rsidRPr="00000000">
        <w:rPr>
          <w:b w:val="1"/>
          <w:bCs w:val="1"/>
          <w:rtl w:val="0"/>
        </w:rPr>
        <w:t xml:space="preserve">Cita de Autoridad:</w:t>
      </w:r>
      <w:r w:rsidDel="00000000" w:rsidR="00000000" w:rsidRPr="00000000">
        <w:rPr>
          <w:rtl w:val="0"/>
        </w:rPr>
        <w:t xml:space="preserve">  "Using parameters - Power Query" (Microsoft Learn).</w:t>
      </w:r>
    </w:p>
    <w:p w:rsidR="00000000" w:rsidDel="00000000" w:rsidP="00000000" w:rsidRDefault="00000000" w:rsidRPr="00000000" w14:paraId="0000002F">
      <w:pPr>
        <w:numPr>
          <w:ilvl w:val="0"/>
          <w:numId w:val="8"/>
        </w:numPr>
        <w:ind w:left="720" w:hanging="360"/>
        <w:rPr>
          <w:u w:val="none"/>
        </w:rPr>
      </w:pPr>
      <w:r w:rsidDel="00000000" w:rsidR="00000000" w:rsidRPr="00000000">
        <w:rPr>
          <w:b w:val="1"/>
          <w:bCs w:val="1"/>
          <w:rtl w:val="0"/>
        </w:rPr>
        <w:t xml:space="preserve">Transición:</w:t>
      </w:r>
      <w:r w:rsidDel="00000000" w:rsidR="00000000" w:rsidRPr="00000000">
        <w:rPr>
          <w:rtl w:val="0"/>
        </w:rPr>
        <w:t xml:space="preserve">  Sin embargo, la limpieza es estéril si no se deposita en una arquitectura de esquema en estrella que soporte la carga transaccional de la organización.</w:t>
      </w:r>
    </w:p>
    <w:p w:rsidR="00000000" w:rsidDel="00000000" w:rsidP="00000000" w:rsidRDefault="00000000" w:rsidRPr="00000000" w14:paraId="00000030">
      <w:pPr>
        <w:pStyle w:val="Heading5"/>
        <w:rPr/>
      </w:pPr>
      <w:bookmarkStart w:colFirst="0" w:colLast="0" w:name="_hl5cldp6dfy" w:id="6"/>
      <w:bookmarkEnd w:id="6"/>
      <w:r w:rsidDel="00000000" w:rsidR="00000000" w:rsidRPr="00000000">
        <w:rPr>
          <w:rtl w:val="0"/>
        </w:rPr>
        <w:t xml:space="preserve">6. Vista de modelo y modelo semántico</w:t>
      </w:r>
    </w:p>
    <w:p w:rsidR="00000000" w:rsidDel="00000000" w:rsidP="00000000" w:rsidRDefault="00000000" w:rsidRPr="00000000" w14:paraId="00000031">
      <w:pPr>
        <w:rPr/>
      </w:pPr>
      <w:r w:rsidDel="00000000" w:rsidR="00000000" w:rsidRPr="00000000">
        <w:rPr>
          <w:b w:val="1"/>
          <w:bCs w:val="1"/>
          <w:rtl w:val="0"/>
        </w:rPr>
        <w:t xml:space="preserve">Relevancia Estratégica:</w:t>
      </w:r>
      <w:r w:rsidDel="00000000" w:rsidR="00000000" w:rsidRPr="00000000">
        <w:rPr>
          <w:rtl w:val="0"/>
        </w:rPr>
        <w:t xml:space="preserve">  El  </w:t>
      </w:r>
      <w:r w:rsidDel="00000000" w:rsidR="00000000" w:rsidRPr="00000000">
        <w:rPr>
          <w:b w:val="1"/>
          <w:bCs w:val="1"/>
          <w:rtl w:val="0"/>
        </w:rPr>
        <w:t xml:space="preserve">Esquema en Estrella</w:t>
      </w:r>
      <w:r w:rsidDel="00000000" w:rsidR="00000000" w:rsidRPr="00000000">
        <w:rPr>
          <w:rtl w:val="0"/>
        </w:rPr>
        <w:t xml:space="preserve">  es la base del rendimiento. Entender la separación entre tablas de hechos (eventos de falla, telemetría) y dimensiones (activos, tiempo, ubicación) permite una propagación de filtros eficiente y una lógica DAX simplificada.</w:t>
      </w:r>
    </w:p>
    <w:p w:rsidR="00000000" w:rsidDel="00000000" w:rsidP="00000000" w:rsidRDefault="00000000" w:rsidRPr="00000000" w14:paraId="00000032">
      <w:pPr>
        <w:numPr>
          <w:ilvl w:val="0"/>
          <w:numId w:val="9"/>
        </w:numPr>
        <w:ind w:left="720" w:hanging="360"/>
        <w:rPr>
          <w:u w:val="none"/>
        </w:rPr>
      </w:pPr>
      <w:r w:rsidDel="00000000" w:rsidR="00000000" w:rsidRPr="00000000">
        <w:rPr>
          <w:b w:val="1"/>
          <w:bCs w:val="1"/>
          <w:rtl w:val="0"/>
        </w:rPr>
        <w:t xml:space="preserve">Explicación:</w:t>
      </w:r>
      <w:r w:rsidDel="00000000" w:rsidR="00000000" w:rsidRPr="00000000">
        <w:rPr>
          <w:rtl w:val="0"/>
        </w:rPr>
        <w:t xml:space="preserve">  Arquitectura de tablas de hechos vs. dimensiones. Implementación de Row-Level Security (RLS) para el gobierno de datos.</w:t>
      </w:r>
    </w:p>
    <w:p w:rsidR="00000000" w:rsidDel="00000000" w:rsidP="00000000" w:rsidRDefault="00000000" w:rsidRPr="00000000" w14:paraId="00000033">
      <w:pPr>
        <w:numPr>
          <w:ilvl w:val="0"/>
          <w:numId w:val="9"/>
        </w:numPr>
        <w:ind w:left="720" w:hanging="360"/>
        <w:rPr>
          <w:u w:val="none"/>
        </w:rPr>
      </w:pPr>
      <w:r w:rsidDel="00000000" w:rsidR="00000000" w:rsidRPr="00000000">
        <w:rPr>
          <w:b w:val="1"/>
          <w:bCs w:val="1"/>
          <w:rtl w:val="0"/>
        </w:rPr>
        <w:t xml:space="preserve">Guion del Instructor:</w:t>
      </w:r>
      <w:r w:rsidDel="00000000" w:rsidR="00000000" w:rsidRPr="00000000">
        <w:rPr>
          <w:rtl w:val="0"/>
        </w:rPr>
        <w:t xml:space="preserve">  "Un modelo bien diseñado hace que el DAX sea trivial. Un mal modelo hace que incluso el cálculo más simple se convierta en una pesadilla de rendimiento y ambigüedad".</w:t>
      </w:r>
    </w:p>
    <w:p w:rsidR="00000000" w:rsidDel="00000000" w:rsidP="00000000" w:rsidRDefault="00000000" w:rsidRPr="00000000" w14:paraId="00000034">
      <w:pPr>
        <w:numPr>
          <w:ilvl w:val="0"/>
          <w:numId w:val="9"/>
        </w:numPr>
        <w:ind w:left="720" w:hanging="360"/>
        <w:rPr>
          <w:u w:val="none"/>
        </w:rPr>
      </w:pPr>
      <w:r w:rsidDel="00000000" w:rsidR="00000000" w:rsidRPr="00000000">
        <w:rPr>
          <w:b w:val="1"/>
          <w:bCs w:val="1"/>
          <w:rtl w:val="0"/>
        </w:rPr>
        <w:t xml:space="preserve">Pregunta para el foro:</w:t>
      </w:r>
      <w:r w:rsidDel="00000000" w:rsidR="00000000" w:rsidRPr="00000000">
        <w:rPr>
          <w:rtl w:val="0"/>
        </w:rPr>
        <w:t xml:space="preserve">  "¿Por qué es arquitectónicamente peligroso abusar de las relaciones de muchos a muchos o bidireccionales en un modelo industrial?"</w:t>
      </w:r>
    </w:p>
    <w:p w:rsidR="00000000" w:rsidDel="00000000" w:rsidP="00000000" w:rsidRDefault="00000000" w:rsidRPr="00000000" w14:paraId="00000035">
      <w:pPr>
        <w:numPr>
          <w:ilvl w:val="0"/>
          <w:numId w:val="9"/>
        </w:numPr>
        <w:ind w:left="720" w:hanging="360"/>
        <w:rPr>
          <w:u w:val="none"/>
        </w:rPr>
      </w:pPr>
      <w:r w:rsidDel="00000000" w:rsidR="00000000" w:rsidRPr="00000000">
        <w:rPr>
          <w:b w:val="1"/>
          <w:bCs w:val="1"/>
          <w:rtl w:val="0"/>
        </w:rPr>
        <w:t xml:space="preserve">Riesgo a mitigar:</w:t>
      </w:r>
      <w:r w:rsidDel="00000000" w:rsidR="00000000" w:rsidRPr="00000000">
        <w:rPr>
          <w:rtl w:val="0"/>
        </w:rPr>
        <w:t xml:space="preserve">  Relaciones bidireccionales mal configuradas que generan filtros impredecibles y cálculos erróneos en métricas agregadas.</w:t>
      </w:r>
    </w:p>
    <w:p w:rsidR="00000000" w:rsidDel="00000000" w:rsidP="00000000" w:rsidRDefault="00000000" w:rsidRPr="00000000" w14:paraId="00000036">
      <w:pPr>
        <w:numPr>
          <w:ilvl w:val="0"/>
          <w:numId w:val="9"/>
        </w:numPr>
        <w:ind w:left="720" w:hanging="360"/>
        <w:rPr>
          <w:u w:val="none"/>
        </w:rPr>
      </w:pPr>
      <w:r w:rsidDel="00000000" w:rsidR="00000000" w:rsidRPr="00000000">
        <w:rPr>
          <w:b w:val="1"/>
          <w:bCs w:val="1"/>
          <w:rtl w:val="0"/>
        </w:rPr>
        <w:t xml:space="preserve">Cita de Autoridad:</w:t>
      </w:r>
      <w:r w:rsidDel="00000000" w:rsidR="00000000" w:rsidRPr="00000000">
        <w:rPr>
          <w:rtl w:val="0"/>
        </w:rPr>
        <w:t xml:space="preserve">  Referencia a "Star schema design" y "Row-level security (RLS) guidance".</w:t>
      </w:r>
    </w:p>
    <w:p w:rsidR="00000000" w:rsidDel="00000000" w:rsidP="00000000" w:rsidRDefault="00000000" w:rsidRPr="00000000" w14:paraId="00000037">
      <w:pPr>
        <w:numPr>
          <w:ilvl w:val="0"/>
          <w:numId w:val="9"/>
        </w:numPr>
        <w:ind w:left="720" w:hanging="360"/>
        <w:rPr>
          <w:u w:val="none"/>
        </w:rPr>
      </w:pPr>
      <w:r w:rsidDel="00000000" w:rsidR="00000000" w:rsidRPr="00000000">
        <w:rPr>
          <w:b w:val="1"/>
          <w:bCs w:val="1"/>
          <w:rtl w:val="0"/>
        </w:rPr>
        <w:t xml:space="preserve">Transición:</w:t>
      </w:r>
      <w:r w:rsidDel="00000000" w:rsidR="00000000" w:rsidRPr="00000000">
        <w:rPr>
          <w:rtl w:val="0"/>
        </w:rPr>
        <w:t xml:space="preserve">  Con los cimientos arquitectónicos sólidos, podemos proceder a construir la inteligencia del sistema mediante DAX.</w:t>
      </w:r>
    </w:p>
    <w:p w:rsidR="00000000" w:rsidDel="00000000" w:rsidP="00000000" w:rsidRDefault="00000000" w:rsidRPr="00000000" w14:paraId="00000038">
      <w:pPr>
        <w:pStyle w:val="Heading5"/>
        <w:rPr/>
      </w:pPr>
      <w:bookmarkStart w:colFirst="0" w:colLast="0" w:name="_mj9od8jd8st2" w:id="7"/>
      <w:bookmarkEnd w:id="7"/>
      <w:r w:rsidDel="00000000" w:rsidR="00000000" w:rsidRPr="00000000">
        <w:rPr>
          <w:rtl w:val="0"/>
        </w:rPr>
        <w:t xml:space="preserve">7. DAX como capa de métricas</w:t>
      </w:r>
    </w:p>
    <w:p w:rsidR="00000000" w:rsidDel="00000000" w:rsidP="00000000" w:rsidRDefault="00000000" w:rsidRPr="00000000" w14:paraId="00000039">
      <w:pPr>
        <w:rPr/>
      </w:pPr>
      <w:r w:rsidDel="00000000" w:rsidR="00000000" w:rsidRPr="00000000">
        <w:rPr>
          <w:b w:val="1"/>
          <w:bCs w:val="1"/>
          <w:rtl w:val="0"/>
        </w:rPr>
        <w:t xml:space="preserve">Relevancia Estratégica:</w:t>
      </w:r>
      <w:r w:rsidDel="00000000" w:rsidR="00000000" w:rsidRPr="00000000">
        <w:rPr>
          <w:rtl w:val="0"/>
        </w:rPr>
        <w:t xml:space="preserve">  El lenguaje DAX permite encapsular lógica de ingeniería compleja en medidas reutilizables. A diferencia de las columnas calculadas, las medidas respetan el contexto de filtro, optimizando el uso de memoria RAM y permitiendo análisis dinámicos a gran escala.</w:t>
      </w:r>
    </w:p>
    <w:p w:rsidR="00000000" w:rsidDel="00000000" w:rsidP="00000000" w:rsidRDefault="00000000" w:rsidRPr="00000000" w14:paraId="0000003A">
      <w:pPr>
        <w:numPr>
          <w:ilvl w:val="0"/>
          <w:numId w:val="1"/>
        </w:numPr>
        <w:ind w:left="720" w:hanging="360"/>
        <w:rPr>
          <w:u w:val="none"/>
        </w:rPr>
      </w:pPr>
      <w:r w:rsidDel="00000000" w:rsidR="00000000" w:rsidRPr="00000000">
        <w:rPr>
          <w:b w:val="1"/>
          <w:bCs w:val="1"/>
          <w:rtl w:val="0"/>
        </w:rPr>
        <w:t xml:space="preserve">Explicación:</w:t>
      </w:r>
      <w:r w:rsidDel="00000000" w:rsidR="00000000" w:rsidRPr="00000000">
        <w:rPr>
          <w:rtl w:val="0"/>
        </w:rPr>
        <w:t xml:space="preserve">  Diferencia crítica entre columnas calculadas (estáticas) y medidas (dinámicas). Introducción a iteradores avanzados como  </w:t>
      </w:r>
      <w:r w:rsidDel="00000000" w:rsidR="00000000" w:rsidRPr="00000000">
        <w:rPr>
          <w:b w:val="1"/>
          <w:bCs w:val="1"/>
          <w:rtl w:val="0"/>
        </w:rPr>
        <w:t xml:space="preserve">AVERAGEX</w:t>
      </w:r>
      <w:r w:rsidDel="00000000" w:rsidR="00000000" w:rsidRPr="00000000">
        <w:rPr>
          <w:rtl w:val="0"/>
        </w:rPr>
        <w:t xml:space="preserve"> .</w:t>
      </w:r>
    </w:p>
    <w:p w:rsidR="00000000" w:rsidDel="00000000" w:rsidP="00000000" w:rsidRDefault="00000000" w:rsidRPr="00000000" w14:paraId="0000003B">
      <w:pPr>
        <w:numPr>
          <w:ilvl w:val="0"/>
          <w:numId w:val="1"/>
        </w:numPr>
        <w:ind w:left="720" w:hanging="360"/>
        <w:rPr>
          <w:u w:val="none"/>
        </w:rPr>
      </w:pPr>
      <w:r w:rsidDel="00000000" w:rsidR="00000000" w:rsidRPr="00000000">
        <w:rPr>
          <w:b w:val="1"/>
          <w:bCs w:val="1"/>
          <w:rtl w:val="0"/>
        </w:rPr>
        <w:t xml:space="preserve">Guion del Instructor:</w:t>
      </w:r>
      <w:r w:rsidDel="00000000" w:rsidR="00000000" w:rsidRPr="00000000">
        <w:rPr>
          <w:rtl w:val="0"/>
        </w:rPr>
        <w:t xml:space="preserve">  "DAX no es Excel. Mientras AVERAGE promedia una columna, AVERAGEX nos permite evaluar una expresión fila por fila antes de promediar, lo cual es vital para la telemetría donde las condiciones varían dinámicamente".</w:t>
      </w:r>
    </w:p>
    <w:p w:rsidR="00000000" w:rsidDel="00000000" w:rsidP="00000000" w:rsidRDefault="00000000" w:rsidRPr="00000000" w14:paraId="0000003C">
      <w:pPr>
        <w:numPr>
          <w:ilvl w:val="0"/>
          <w:numId w:val="1"/>
        </w:numPr>
        <w:ind w:left="720" w:hanging="360"/>
        <w:rPr>
          <w:u w:val="none"/>
        </w:rPr>
      </w:pPr>
      <w:r w:rsidDel="00000000" w:rsidR="00000000" w:rsidRPr="00000000">
        <w:rPr>
          <w:b w:val="1"/>
          <w:bCs w:val="1"/>
          <w:rtl w:val="0"/>
        </w:rPr>
        <w:t xml:space="preserve">Ejemplo Técnico:</w:t>
      </w:r>
      <w:r w:rsidDel="00000000" w:rsidR="00000000" w:rsidRPr="00000000">
        <w:rPr>
          <w:rtl w:val="0"/>
        </w:rPr>
        <w:t xml:space="preserve">  Utilizando el dataset  </w:t>
      </w:r>
      <w:r w:rsidDel="00000000" w:rsidR="00000000" w:rsidRPr="00000000">
        <w:rPr>
          <w:b w:val="1"/>
          <w:bCs w:val="1"/>
          <w:rtl w:val="0"/>
        </w:rPr>
        <w:t xml:space="preserve">AI4I 2020</w:t>
      </w:r>
      <w:r w:rsidDel="00000000" w:rsidR="00000000" w:rsidRPr="00000000">
        <w:rPr>
          <w:rtl w:val="0"/>
        </w:rPr>
        <w:t xml:space="preserve"> , calcularemos el promedio de Torque Nm pero evaluado exclusivamente cuando la Rotational speed rpm supera un umbral de operación segura.</w:t>
      </w:r>
    </w:p>
    <w:p w:rsidR="00000000" w:rsidDel="00000000" w:rsidP="00000000" w:rsidRDefault="00000000" w:rsidRPr="00000000" w14:paraId="0000003D">
      <w:pPr>
        <w:numPr>
          <w:ilvl w:val="0"/>
          <w:numId w:val="1"/>
        </w:numPr>
        <w:ind w:left="720" w:hanging="360"/>
        <w:rPr>
          <w:u w:val="none"/>
        </w:rPr>
      </w:pPr>
      <w:r w:rsidDel="00000000" w:rsidR="00000000" w:rsidRPr="00000000">
        <w:rPr>
          <w:b w:val="1"/>
          <w:bCs w:val="1"/>
          <w:rtl w:val="0"/>
        </w:rPr>
        <w:t xml:space="preserve">Pregunta para el foro:</w:t>
      </w:r>
      <w:r w:rsidDel="00000000" w:rsidR="00000000" w:rsidRPr="00000000">
        <w:rPr>
          <w:rtl w:val="0"/>
        </w:rPr>
        <w:t xml:space="preserve">  "¿En qué escenario un cálculo 'fila por fila' es superior a una simple agregación de columna para su análisis de mantenimiento?"</w:t>
      </w:r>
    </w:p>
    <w:p w:rsidR="00000000" w:rsidDel="00000000" w:rsidP="00000000" w:rsidRDefault="00000000" w:rsidRPr="00000000" w14:paraId="0000003E">
      <w:pPr>
        <w:numPr>
          <w:ilvl w:val="0"/>
          <w:numId w:val="1"/>
        </w:numPr>
        <w:ind w:left="720" w:hanging="360"/>
        <w:rPr>
          <w:u w:val="none"/>
        </w:rPr>
      </w:pPr>
      <w:r w:rsidDel="00000000" w:rsidR="00000000" w:rsidRPr="00000000">
        <w:rPr>
          <w:b w:val="1"/>
          <w:bCs w:val="1"/>
          <w:rtl w:val="0"/>
        </w:rPr>
        <w:t xml:space="preserve">Riesgo a mitigar:</w:t>
      </w:r>
      <w:r w:rsidDel="00000000" w:rsidR="00000000" w:rsidRPr="00000000">
        <w:rPr>
          <w:rtl w:val="0"/>
        </w:rPr>
        <w:t xml:space="preserve">  El uso excesivo de columnas calculadas que hinchan el modelo de datos y degradan la velocidad de procesamiento en el motor VertiPaq.</w:t>
      </w:r>
    </w:p>
    <w:p w:rsidR="00000000" w:rsidDel="00000000" w:rsidP="00000000" w:rsidRDefault="00000000" w:rsidRPr="00000000" w14:paraId="0000003F">
      <w:pPr>
        <w:numPr>
          <w:ilvl w:val="0"/>
          <w:numId w:val="1"/>
        </w:numPr>
        <w:ind w:left="720" w:hanging="360"/>
        <w:rPr>
          <w:u w:val="none"/>
        </w:rPr>
      </w:pPr>
      <w:r w:rsidDel="00000000" w:rsidR="00000000" w:rsidRPr="00000000">
        <w:rPr>
          <w:b w:val="1"/>
          <w:bCs w:val="1"/>
          <w:rtl w:val="0"/>
        </w:rPr>
        <w:t xml:space="preserve">Cita de Autoridad:</w:t>
      </w:r>
      <w:r w:rsidDel="00000000" w:rsidR="00000000" w:rsidRPr="00000000">
        <w:rPr>
          <w:rtl w:val="0"/>
        </w:rPr>
        <w:t xml:space="preserve">  "AVERAGEX calculates the average (arithmetic mean) of a set of expressions evaluated over a table" (Microsoft Learn).</w:t>
      </w:r>
    </w:p>
    <w:p w:rsidR="00000000" w:rsidDel="00000000" w:rsidP="00000000" w:rsidRDefault="00000000" w:rsidRPr="00000000" w14:paraId="00000040">
      <w:pPr>
        <w:numPr>
          <w:ilvl w:val="0"/>
          <w:numId w:val="1"/>
        </w:numPr>
        <w:ind w:left="720" w:hanging="360"/>
        <w:rPr>
          <w:u w:val="none"/>
        </w:rPr>
      </w:pPr>
      <w:r w:rsidDel="00000000" w:rsidR="00000000" w:rsidRPr="00000000">
        <w:rPr>
          <w:b w:val="1"/>
          <w:bCs w:val="1"/>
          <w:rtl w:val="0"/>
        </w:rPr>
        <w:t xml:space="preserve">Transición:</w:t>
      </w:r>
      <w:r w:rsidDel="00000000" w:rsidR="00000000" w:rsidRPr="00000000">
        <w:rPr>
          <w:rtl w:val="0"/>
        </w:rPr>
        <w:t xml:space="preserve">  Una vez definidas las métricas de ingeniería, debemos presentarlas siguiendo una jerarquía visual que priorice la detección de anomalías.</w:t>
      </w:r>
    </w:p>
    <w:p w:rsidR="00000000" w:rsidDel="00000000" w:rsidP="00000000" w:rsidRDefault="00000000" w:rsidRPr="00000000" w14:paraId="00000041">
      <w:pPr>
        <w:pStyle w:val="Heading5"/>
        <w:rPr/>
      </w:pPr>
      <w:bookmarkStart w:colFirst="0" w:colLast="0" w:name="_i0yat17jix9y" w:id="8"/>
      <w:bookmarkEnd w:id="8"/>
      <w:r w:rsidDel="00000000" w:rsidR="00000000" w:rsidRPr="00000000">
        <w:rPr>
          <w:rtl w:val="0"/>
        </w:rPr>
        <w:t xml:space="preserve">8. Vista de informe, visuales y filtros</w:t>
      </w:r>
    </w:p>
    <w:p w:rsidR="00000000" w:rsidDel="00000000" w:rsidP="00000000" w:rsidRDefault="00000000" w:rsidRPr="00000000" w14:paraId="00000042">
      <w:pPr>
        <w:rPr/>
      </w:pPr>
      <w:r w:rsidDel="00000000" w:rsidR="00000000" w:rsidRPr="00000000">
        <w:rPr>
          <w:b w:val="1"/>
          <w:bCs w:val="1"/>
          <w:rtl w:val="0"/>
        </w:rPr>
        <w:t xml:space="preserve">Relevancia Estratégica:</w:t>
      </w:r>
      <w:r w:rsidDel="00000000" w:rsidR="00000000" w:rsidRPr="00000000">
        <w:rPr>
          <w:rtl w:val="0"/>
        </w:rPr>
        <w:t xml:space="preserve">  Una visualización efectiva debe funcionar como una interfaz de diagnóstico. El  </w:t>
      </w:r>
      <w:r w:rsidDel="00000000" w:rsidR="00000000" w:rsidRPr="00000000">
        <w:rPr>
          <w:b w:val="1"/>
          <w:bCs w:val="1"/>
          <w:rtl w:val="0"/>
        </w:rPr>
        <w:t xml:space="preserve">Panel de Análisis</w:t>
      </w:r>
      <w:r w:rsidDel="00000000" w:rsidR="00000000" w:rsidRPr="00000000">
        <w:rPr>
          <w:rtl w:val="0"/>
        </w:rPr>
        <w:t xml:space="preserve">  proporciona herramientas estadísticas (líneas de tendencia, constantes de control) que añaden contexto operativo inmediato sin saturar el lienzo.</w:t>
      </w:r>
    </w:p>
    <w:p w:rsidR="00000000" w:rsidDel="00000000" w:rsidP="00000000" w:rsidRDefault="00000000" w:rsidRPr="00000000" w14:paraId="00000043">
      <w:pPr>
        <w:numPr>
          <w:ilvl w:val="0"/>
          <w:numId w:val="12"/>
        </w:numPr>
        <w:ind w:left="720" w:hanging="360"/>
        <w:rPr>
          <w:u w:val="none"/>
        </w:rPr>
      </w:pPr>
      <w:r w:rsidDel="00000000" w:rsidR="00000000" w:rsidRPr="00000000">
        <w:rPr>
          <w:b w:val="1"/>
          <w:bCs w:val="1"/>
          <w:rtl w:val="0"/>
        </w:rPr>
        <w:t xml:space="preserve">Explicación:</w:t>
      </w:r>
      <w:r w:rsidDel="00000000" w:rsidR="00000000" w:rsidRPr="00000000">
        <w:rPr>
          <w:rtl w:val="0"/>
        </w:rPr>
        <w:t xml:space="preserve">  Construcción del reporte, tipos de filtros (visual, página, informe) y aplicación de herramientas analíticas integradas.</w:t>
      </w:r>
    </w:p>
    <w:p w:rsidR="00000000" w:rsidDel="00000000" w:rsidP="00000000" w:rsidRDefault="00000000" w:rsidRPr="00000000" w14:paraId="00000044">
      <w:pPr>
        <w:numPr>
          <w:ilvl w:val="0"/>
          <w:numId w:val="12"/>
        </w:numPr>
        <w:ind w:left="720" w:hanging="360"/>
        <w:rPr>
          <w:u w:val="none"/>
        </w:rPr>
      </w:pPr>
      <w:r w:rsidDel="00000000" w:rsidR="00000000" w:rsidRPr="00000000">
        <w:rPr>
          <w:b w:val="1"/>
          <w:bCs w:val="1"/>
          <w:rtl w:val="0"/>
        </w:rPr>
        <w:t xml:space="preserve">Guion del Instructor:</w:t>
      </w:r>
      <w:r w:rsidDel="00000000" w:rsidR="00000000" w:rsidRPr="00000000">
        <w:rPr>
          <w:rtl w:val="0"/>
        </w:rPr>
        <w:t xml:space="preserve">  "No diseñamos para decorar, diseñamos para diagnosticar. Una línea de promedio constante o una banda de error en un gráfico de control de procesos es infinitamente más valiosa que un gráfico estético pero vacío de contexto".</w:t>
      </w:r>
    </w:p>
    <w:p w:rsidR="00000000" w:rsidDel="00000000" w:rsidP="00000000" w:rsidRDefault="00000000" w:rsidRPr="00000000" w14:paraId="00000045">
      <w:pPr>
        <w:numPr>
          <w:ilvl w:val="0"/>
          <w:numId w:val="12"/>
        </w:numPr>
        <w:ind w:left="720" w:hanging="360"/>
        <w:rPr>
          <w:u w:val="none"/>
        </w:rPr>
      </w:pPr>
      <w:r w:rsidDel="00000000" w:rsidR="00000000" w:rsidRPr="00000000">
        <w:rPr>
          <w:b w:val="1"/>
          <w:bCs w:val="1"/>
          <w:rtl w:val="0"/>
        </w:rPr>
        <w:t xml:space="preserve">Pregunta para el foro:</w:t>
      </w:r>
      <w:r w:rsidDel="00000000" w:rsidR="00000000" w:rsidRPr="00000000">
        <w:rPr>
          <w:rtl w:val="0"/>
        </w:rPr>
        <w:t xml:space="preserve">  "¿Cómo diferencian visualmente un dato que está dentro de los límites de control de uno que requiere una intervención inmediata?"</w:t>
      </w:r>
    </w:p>
    <w:p w:rsidR="00000000" w:rsidDel="00000000" w:rsidP="00000000" w:rsidRDefault="00000000" w:rsidRPr="00000000" w14:paraId="00000046">
      <w:pPr>
        <w:numPr>
          <w:ilvl w:val="0"/>
          <w:numId w:val="12"/>
        </w:numPr>
        <w:ind w:left="720" w:hanging="360"/>
        <w:rPr>
          <w:u w:val="none"/>
        </w:rPr>
      </w:pPr>
      <w:r w:rsidDel="00000000" w:rsidR="00000000" w:rsidRPr="00000000">
        <w:rPr>
          <w:b w:val="1"/>
          <w:bCs w:val="1"/>
          <w:rtl w:val="0"/>
        </w:rPr>
        <w:t xml:space="preserve">Riesgo a mitigar:</w:t>
      </w:r>
      <w:r w:rsidDel="00000000" w:rsidR="00000000" w:rsidRPr="00000000">
        <w:rPr>
          <w:rtl w:val="0"/>
        </w:rPr>
        <w:t xml:space="preserve">  El "Data Vomit" o saturación del lienzo con visuales irrelevantes que incrementan el tiempo de carga y el ruido cognitivo.</w:t>
      </w:r>
    </w:p>
    <w:p w:rsidR="00000000" w:rsidDel="00000000" w:rsidP="00000000" w:rsidRDefault="00000000" w:rsidRPr="00000000" w14:paraId="00000047">
      <w:pPr>
        <w:numPr>
          <w:ilvl w:val="0"/>
          <w:numId w:val="12"/>
        </w:numPr>
        <w:ind w:left="720" w:hanging="360"/>
        <w:rPr>
          <w:u w:val="none"/>
        </w:rPr>
      </w:pPr>
      <w:r w:rsidDel="00000000" w:rsidR="00000000" w:rsidRPr="00000000">
        <w:rPr>
          <w:b w:val="1"/>
          <w:bCs w:val="1"/>
          <w:rtl w:val="0"/>
        </w:rPr>
        <w:t xml:space="preserve">Cita de Autoridad:</w:t>
      </w:r>
      <w:r w:rsidDel="00000000" w:rsidR="00000000" w:rsidRPr="00000000">
        <w:rPr>
          <w:rtl w:val="0"/>
        </w:rPr>
        <w:t xml:space="preserve">  "The Analytics pane lets you add constant and dynamic reference lines..." (Microsoft Learn).</w:t>
      </w:r>
    </w:p>
    <w:p w:rsidR="00000000" w:rsidDel="00000000" w:rsidP="00000000" w:rsidRDefault="00000000" w:rsidRPr="00000000" w14:paraId="00000048">
      <w:pPr>
        <w:numPr>
          <w:ilvl w:val="0"/>
          <w:numId w:val="12"/>
        </w:numPr>
        <w:ind w:left="720" w:hanging="360"/>
        <w:rPr>
          <w:u w:val="none"/>
        </w:rPr>
      </w:pPr>
      <w:r w:rsidDel="00000000" w:rsidR="00000000" w:rsidRPr="00000000">
        <w:rPr>
          <w:b w:val="1"/>
          <w:bCs w:val="1"/>
          <w:rtl w:val="0"/>
        </w:rPr>
        <w:t xml:space="preserve">Transición:</w:t>
      </w:r>
      <w:r w:rsidDel="00000000" w:rsidR="00000000" w:rsidRPr="00000000">
        <w:rPr>
          <w:rtl w:val="0"/>
        </w:rPr>
        <w:t xml:space="preserve">  Con el reporte listo, la pregunta es: ¿Cómo garantizamos que llegue al tomador de decisiones? Desktop vs. Service.</w:t>
      </w:r>
    </w:p>
    <w:p w:rsidR="00000000" w:rsidDel="00000000" w:rsidP="00000000" w:rsidRDefault="00000000" w:rsidRPr="00000000" w14:paraId="00000049">
      <w:pPr>
        <w:pStyle w:val="Heading5"/>
        <w:rPr/>
      </w:pPr>
      <w:bookmarkStart w:colFirst="0" w:colLast="0" w:name="_imzysddwbv1g" w:id="9"/>
      <w:bookmarkEnd w:id="9"/>
      <w:r w:rsidDel="00000000" w:rsidR="00000000" w:rsidRPr="00000000">
        <w:rPr>
          <w:rtl w:val="0"/>
        </w:rPr>
        <w:t xml:space="preserve">9. Power BI Desktop vs Power BI Service</w:t>
      </w:r>
    </w:p>
    <w:p w:rsidR="00000000" w:rsidDel="00000000" w:rsidP="00000000" w:rsidRDefault="00000000" w:rsidRPr="00000000" w14:paraId="0000004A">
      <w:pPr>
        <w:rPr/>
      </w:pPr>
      <w:r w:rsidDel="00000000" w:rsidR="00000000" w:rsidRPr="00000000">
        <w:rPr>
          <w:b w:val="1"/>
          <w:bCs w:val="1"/>
          <w:rtl w:val="0"/>
        </w:rPr>
        <w:t xml:space="preserve">Relevancia Estratégica:</w:t>
      </w:r>
      <w:r w:rsidDel="00000000" w:rsidR="00000000" w:rsidRPr="00000000">
        <w:rPr>
          <w:rtl w:val="0"/>
        </w:rPr>
        <w:t xml:space="preserve">  Diferenciar entre el entorno de desarrollo y el de consumo es imperativo para la seguridad industrial. Los  </w:t>
      </w:r>
      <w:r w:rsidDel="00000000" w:rsidR="00000000" w:rsidRPr="00000000">
        <w:rPr>
          <w:b w:val="1"/>
          <w:bCs w:val="1"/>
          <w:rtl w:val="0"/>
        </w:rPr>
        <w:t xml:space="preserve">Dashboards</w:t>
      </w:r>
      <w:r w:rsidDel="00000000" w:rsidR="00000000" w:rsidRPr="00000000">
        <w:rPr>
          <w:rtl w:val="0"/>
        </w:rPr>
        <w:t xml:space="preserve">  en la nube permiten un monitoreo de KPIs de alto nivel y alertas en tiempo real que son técnicamente imposibles de replicar en la versión local.</w:t>
      </w:r>
    </w:p>
    <w:p w:rsidR="00000000" w:rsidDel="00000000" w:rsidP="00000000" w:rsidRDefault="00000000" w:rsidRPr="00000000" w14:paraId="0000004B">
      <w:pPr>
        <w:numPr>
          <w:ilvl w:val="0"/>
          <w:numId w:val="3"/>
        </w:numPr>
        <w:ind w:left="720" w:hanging="360"/>
        <w:rPr>
          <w:u w:val="none"/>
        </w:rPr>
      </w:pPr>
      <w:r w:rsidDel="00000000" w:rsidR="00000000" w:rsidRPr="00000000">
        <w:rPr>
          <w:b w:val="1"/>
          <w:bCs w:val="1"/>
          <w:rtl w:val="0"/>
        </w:rPr>
        <w:t xml:space="preserve">Explicación:</w:t>
      </w:r>
      <w:r w:rsidDel="00000000" w:rsidR="00000000" w:rsidRPr="00000000">
        <w:rPr>
          <w:rtl w:val="0"/>
        </w:rPr>
        <w:t xml:space="preserve">  Evaluación de capacidades: Desarrollo local (Desktop) vs. Colaboración, gobernanza y alertas en la nube (Service).</w:t>
      </w:r>
    </w:p>
    <w:p w:rsidR="00000000" w:rsidDel="00000000" w:rsidP="00000000" w:rsidRDefault="00000000" w:rsidRPr="00000000" w14:paraId="0000004C">
      <w:pPr>
        <w:numPr>
          <w:ilvl w:val="0"/>
          <w:numId w:val="3"/>
        </w:numPr>
        <w:ind w:left="720" w:hanging="360"/>
        <w:rPr>
          <w:u w:val="none"/>
        </w:rPr>
      </w:pPr>
      <w:r w:rsidDel="00000000" w:rsidR="00000000" w:rsidRPr="00000000">
        <w:rPr>
          <w:b w:val="1"/>
          <w:bCs w:val="1"/>
          <w:rtl w:val="0"/>
        </w:rPr>
        <w:t xml:space="preserve">Guion del Instructor:</w:t>
      </w:r>
      <w:r w:rsidDel="00000000" w:rsidR="00000000" w:rsidRPr="00000000">
        <w:rPr>
          <w:rtl w:val="0"/>
        </w:rPr>
        <w:t xml:space="preserve">  "Power BI Desktop es nuestro laboratorio de ingeniería; el Service es la planta de producción. Los Dashboards en el Service son la capa superior de monitoreo que consolida múltiples reportes".</w:t>
      </w:r>
    </w:p>
    <w:p w:rsidR="00000000" w:rsidDel="00000000" w:rsidP="00000000" w:rsidRDefault="00000000" w:rsidRPr="00000000" w14:paraId="0000004D">
      <w:pPr>
        <w:numPr>
          <w:ilvl w:val="0"/>
          <w:numId w:val="3"/>
        </w:numPr>
        <w:ind w:left="720" w:hanging="360"/>
        <w:rPr>
          <w:u w:val="none"/>
        </w:rPr>
      </w:pPr>
      <w:r w:rsidDel="00000000" w:rsidR="00000000" w:rsidRPr="00000000">
        <w:rPr>
          <w:b w:val="1"/>
          <w:bCs w:val="1"/>
          <w:rtl w:val="0"/>
        </w:rPr>
        <w:t xml:space="preserve">Pregunta para el foro:</w:t>
      </w:r>
      <w:r w:rsidDel="00000000" w:rsidR="00000000" w:rsidRPr="00000000">
        <w:rPr>
          <w:rtl w:val="0"/>
        </w:rPr>
        <w:t xml:space="preserve">  "¿Sabían que un Dashboard puede consolidar visuales de diferentes modelos semánticos, a diferencia de un reporte estándar?"</w:t>
      </w:r>
    </w:p>
    <w:p w:rsidR="00000000" w:rsidDel="00000000" w:rsidP="00000000" w:rsidRDefault="00000000" w:rsidRPr="00000000" w14:paraId="0000004E">
      <w:pPr>
        <w:numPr>
          <w:ilvl w:val="0"/>
          <w:numId w:val="3"/>
        </w:numPr>
        <w:ind w:left="720" w:hanging="360"/>
        <w:rPr>
          <w:u w:val="none"/>
        </w:rPr>
      </w:pPr>
      <w:r w:rsidDel="00000000" w:rsidR="00000000" w:rsidRPr="00000000">
        <w:rPr>
          <w:b w:val="1"/>
          <w:bCs w:val="1"/>
          <w:rtl w:val="0"/>
        </w:rPr>
        <w:t xml:space="preserve">Riesgo a mitigar:</w:t>
      </w:r>
      <w:r w:rsidDel="00000000" w:rsidR="00000000" w:rsidRPr="00000000">
        <w:rPr>
          <w:rtl w:val="0"/>
        </w:rPr>
        <w:t xml:space="preserve">  Intentar utilizar reportes detallados para el monitoreo rápido de KPIs, cuando un Dashboard optimizado ofrece una latencia de decisión mucho menor.</w:t>
      </w:r>
    </w:p>
    <w:p w:rsidR="00000000" w:rsidDel="00000000" w:rsidP="00000000" w:rsidRDefault="00000000" w:rsidRPr="00000000" w14:paraId="0000004F">
      <w:pPr>
        <w:numPr>
          <w:ilvl w:val="0"/>
          <w:numId w:val="3"/>
        </w:numPr>
        <w:ind w:left="720" w:hanging="360"/>
        <w:rPr>
          <w:u w:val="none"/>
        </w:rPr>
      </w:pPr>
      <w:r w:rsidDel="00000000" w:rsidR="00000000" w:rsidRPr="00000000">
        <w:rPr>
          <w:b w:val="1"/>
          <w:bCs w:val="1"/>
          <w:rtl w:val="0"/>
        </w:rPr>
        <w:t xml:space="preserve">Cita de Autoridad:</w:t>
      </w:r>
      <w:r w:rsidDel="00000000" w:rsidR="00000000" w:rsidRPr="00000000">
        <w:rPr>
          <w:rtl w:val="0"/>
        </w:rPr>
        <w:t xml:space="preserve">  Basado en "Dashboards versus reports" (Microsoft Learn).</w:t>
      </w:r>
    </w:p>
    <w:p w:rsidR="00000000" w:rsidDel="00000000" w:rsidP="00000000" w:rsidRDefault="00000000" w:rsidRPr="00000000" w14:paraId="00000050">
      <w:pPr>
        <w:numPr>
          <w:ilvl w:val="0"/>
          <w:numId w:val="3"/>
        </w:numPr>
        <w:ind w:left="720" w:hanging="360"/>
        <w:rPr>
          <w:u w:val="none"/>
        </w:rPr>
      </w:pPr>
      <w:r w:rsidDel="00000000" w:rsidR="00000000" w:rsidRPr="00000000">
        <w:rPr>
          <w:b w:val="1"/>
          <w:bCs w:val="1"/>
          <w:rtl w:val="0"/>
        </w:rPr>
        <w:t xml:space="preserve">Transición:</w:t>
      </w:r>
      <w:r w:rsidDel="00000000" w:rsidR="00000000" w:rsidRPr="00000000">
        <w:rPr>
          <w:rtl w:val="0"/>
        </w:rPr>
        <w:t xml:space="preserve">  Entendido el dónde, enfoquémonos en el qué: la metodología para definir problemas de negocio reales.</w:t>
      </w:r>
    </w:p>
    <w:p w:rsidR="00000000" w:rsidDel="00000000" w:rsidP="00000000" w:rsidRDefault="00000000" w:rsidRPr="00000000" w14:paraId="00000051">
      <w:pPr>
        <w:pStyle w:val="Heading5"/>
        <w:rPr/>
      </w:pPr>
      <w:bookmarkStart w:colFirst="0" w:colLast="0" w:name="_s7jnjg6ffwex" w:id="10"/>
      <w:bookmarkEnd w:id="10"/>
      <w:r w:rsidDel="00000000" w:rsidR="00000000" w:rsidRPr="00000000">
        <w:rPr>
          <w:rtl w:val="0"/>
        </w:rPr>
        <w:t xml:space="preserve">10. De problema de negocio a pregunta medible</w:t>
      </w:r>
    </w:p>
    <w:p w:rsidR="00000000" w:rsidDel="00000000" w:rsidP="00000000" w:rsidRDefault="00000000" w:rsidRPr="00000000" w14:paraId="00000052">
      <w:pPr>
        <w:rPr/>
      </w:pPr>
      <w:r w:rsidDel="00000000" w:rsidR="00000000" w:rsidRPr="00000000">
        <w:rPr>
          <w:b w:val="1"/>
          <w:bCs w:val="1"/>
          <w:rtl w:val="0"/>
        </w:rPr>
        <w:t xml:space="preserve">Relevancia Estratégica:</w:t>
      </w:r>
      <w:r w:rsidDel="00000000" w:rsidR="00000000" w:rsidRPr="00000000">
        <w:rPr>
          <w:rtl w:val="0"/>
        </w:rPr>
        <w:t xml:space="preserve">  El "Scoping" analítico asegura que el esfuerzo de ingeniería esté alineado con el valor económico. Sin una pregunta medible, el arquitecto de datos corre el riesgo de construir soluciones técnicamente perfectas pero comercialmente inútiles.</w:t>
      </w:r>
    </w:p>
    <w:p w:rsidR="00000000" w:rsidDel="00000000" w:rsidP="00000000" w:rsidRDefault="00000000" w:rsidRPr="00000000" w14:paraId="00000053">
      <w:pPr>
        <w:numPr>
          <w:ilvl w:val="0"/>
          <w:numId w:val="4"/>
        </w:numPr>
        <w:ind w:left="720" w:hanging="360"/>
        <w:rPr>
          <w:u w:val="none"/>
        </w:rPr>
      </w:pPr>
      <w:r w:rsidDel="00000000" w:rsidR="00000000" w:rsidRPr="00000000">
        <w:rPr>
          <w:b w:val="1"/>
          <w:bCs w:val="1"/>
          <w:rtl w:val="0"/>
        </w:rPr>
        <w:t xml:space="preserve">Explicación:</w:t>
      </w:r>
      <w:r w:rsidDel="00000000" w:rsidR="00000000" w:rsidRPr="00000000">
        <w:rPr>
          <w:rtl w:val="0"/>
        </w:rPr>
        <w:t xml:space="preserve">  Metodología para identificar la audiencia y transformar una necesidad abstracta ("mejorar la planta") en requerimientos técnicos (KPIs de disponibilidad y tasa de falla).</w:t>
      </w:r>
    </w:p>
    <w:p w:rsidR="00000000" w:rsidDel="00000000" w:rsidP="00000000" w:rsidRDefault="00000000" w:rsidRPr="00000000" w14:paraId="00000054">
      <w:pPr>
        <w:numPr>
          <w:ilvl w:val="0"/>
          <w:numId w:val="4"/>
        </w:numPr>
        <w:ind w:left="720" w:hanging="360"/>
        <w:rPr>
          <w:u w:val="none"/>
        </w:rPr>
      </w:pPr>
      <w:r w:rsidDel="00000000" w:rsidR="00000000" w:rsidRPr="00000000">
        <w:rPr>
          <w:b w:val="1"/>
          <w:bCs w:val="1"/>
          <w:rtl w:val="0"/>
        </w:rPr>
        <w:t xml:space="preserve">Guion del Instructor:</w:t>
      </w:r>
      <w:r w:rsidDel="00000000" w:rsidR="00000000" w:rsidRPr="00000000">
        <w:rPr>
          <w:rtl w:val="0"/>
        </w:rPr>
        <w:t xml:space="preserve">  "Nuestra labor no comienza con la carga de datos, sino con la pregunta correcta. Ante un pedido de 'un reporte de mantenimiento', nuestra respuesta debe ser: ¿Qué decisión vas a tomar si la disponibilidad cae un 2%?".</w:t>
      </w:r>
    </w:p>
    <w:p w:rsidR="00000000" w:rsidDel="00000000" w:rsidP="00000000" w:rsidRDefault="00000000" w:rsidRPr="00000000" w14:paraId="00000055">
      <w:pPr>
        <w:numPr>
          <w:ilvl w:val="0"/>
          <w:numId w:val="4"/>
        </w:numPr>
        <w:ind w:left="720" w:hanging="360"/>
        <w:rPr>
          <w:u w:val="none"/>
        </w:rPr>
      </w:pPr>
      <w:r w:rsidDel="00000000" w:rsidR="00000000" w:rsidRPr="00000000">
        <w:rPr>
          <w:b w:val="1"/>
          <w:bCs w:val="1"/>
          <w:rtl w:val="0"/>
        </w:rPr>
        <w:t xml:space="preserve">Analogía:</w:t>
      </w:r>
      <w:r w:rsidDel="00000000" w:rsidR="00000000" w:rsidRPr="00000000">
        <w:rPr>
          <w:rtl w:val="0"/>
        </w:rPr>
        <w:t xml:space="preserve">  Un ingeniero no diseña una estructura sin conocer los vectores de fuerza; un analista no diseña un reporte sin conocer los vectores de decisión de su audiencia.</w:t>
      </w:r>
    </w:p>
    <w:p w:rsidR="00000000" w:rsidDel="00000000" w:rsidP="00000000" w:rsidRDefault="00000000" w:rsidRPr="00000000" w14:paraId="00000056">
      <w:pPr>
        <w:numPr>
          <w:ilvl w:val="0"/>
          <w:numId w:val="4"/>
        </w:numPr>
        <w:ind w:left="720" w:hanging="360"/>
        <w:rPr>
          <w:u w:val="none"/>
        </w:rPr>
      </w:pPr>
      <w:r w:rsidDel="00000000" w:rsidR="00000000" w:rsidRPr="00000000">
        <w:rPr>
          <w:b w:val="1"/>
          <w:bCs w:val="1"/>
          <w:rtl w:val="0"/>
        </w:rPr>
        <w:t xml:space="preserve">Pregunta para el foro:</w:t>
      </w:r>
      <w:r w:rsidDel="00000000" w:rsidR="00000000" w:rsidRPr="00000000">
        <w:rPr>
          <w:rtl w:val="0"/>
        </w:rPr>
        <w:t xml:space="preserve">  "¿Cuál es la pregunta de negocio más crítica que su organización aún no ha podido responder con datos?"</w:t>
      </w:r>
    </w:p>
    <w:p w:rsidR="00000000" w:rsidDel="00000000" w:rsidP="00000000" w:rsidRDefault="00000000" w:rsidRPr="00000000" w14:paraId="00000057">
      <w:pPr>
        <w:numPr>
          <w:ilvl w:val="0"/>
          <w:numId w:val="4"/>
        </w:numPr>
        <w:ind w:left="720" w:hanging="360"/>
        <w:rPr>
          <w:u w:val="none"/>
        </w:rPr>
      </w:pPr>
      <w:r w:rsidDel="00000000" w:rsidR="00000000" w:rsidRPr="00000000">
        <w:rPr>
          <w:b w:val="1"/>
          <w:bCs w:val="1"/>
          <w:rtl w:val="0"/>
        </w:rPr>
        <w:t xml:space="preserve">Cita de Autoridad:</w:t>
      </w:r>
      <w:r w:rsidDel="00000000" w:rsidR="00000000" w:rsidRPr="00000000">
        <w:rPr>
          <w:rtl w:val="0"/>
        </w:rPr>
        <w:t xml:space="preserve">  Referencia a "Scope report design requirements".</w:t>
      </w:r>
    </w:p>
    <w:p w:rsidR="00000000" w:rsidDel="00000000" w:rsidP="00000000" w:rsidRDefault="00000000" w:rsidRPr="00000000" w14:paraId="00000058">
      <w:pPr>
        <w:numPr>
          <w:ilvl w:val="0"/>
          <w:numId w:val="4"/>
        </w:numPr>
        <w:ind w:left="720" w:hanging="360"/>
        <w:rPr>
          <w:u w:val="none"/>
        </w:rPr>
      </w:pPr>
      <w:r w:rsidDel="00000000" w:rsidR="00000000" w:rsidRPr="00000000">
        <w:rPr>
          <w:b w:val="1"/>
          <w:bCs w:val="1"/>
          <w:rtl w:val="0"/>
        </w:rPr>
        <w:t xml:space="preserve">Transición:</w:t>
      </w:r>
      <w:r w:rsidDel="00000000" w:rsidR="00000000" w:rsidRPr="00000000">
        <w:rPr>
          <w:rtl w:val="0"/>
        </w:rPr>
        <w:t xml:space="preserve">  Con la pregunta clara, pasemos a diseñar los indicadores que darán la respuesta: los KPIs.</w:t>
      </w:r>
    </w:p>
    <w:p w:rsidR="00000000" w:rsidDel="00000000" w:rsidP="00000000" w:rsidRDefault="00000000" w:rsidRPr="00000000" w14:paraId="00000059">
      <w:pPr>
        <w:pStyle w:val="Heading5"/>
        <w:rPr/>
      </w:pPr>
      <w:bookmarkStart w:colFirst="0" w:colLast="0" w:name="_8soomomnpwub" w:id="11"/>
      <w:bookmarkEnd w:id="11"/>
      <w:r w:rsidDel="00000000" w:rsidR="00000000" w:rsidRPr="00000000">
        <w:rPr>
          <w:rtl w:val="0"/>
        </w:rPr>
        <w:t xml:space="preserve">11. Diseño de KPIs alineados a decisiones</w:t>
      </w:r>
    </w:p>
    <w:p w:rsidR="00000000" w:rsidDel="00000000" w:rsidP="00000000" w:rsidRDefault="00000000" w:rsidRPr="00000000" w14:paraId="0000005A">
      <w:pPr>
        <w:rPr/>
      </w:pPr>
      <w:r w:rsidDel="00000000" w:rsidR="00000000" w:rsidRPr="00000000">
        <w:rPr>
          <w:b w:val="1"/>
          <w:bCs w:val="1"/>
          <w:rtl w:val="0"/>
        </w:rPr>
        <w:t xml:space="preserve">Relevancia Estratégica:</w:t>
      </w:r>
      <w:r w:rsidDel="00000000" w:rsidR="00000000" w:rsidRPr="00000000">
        <w:rPr>
          <w:rtl w:val="0"/>
        </w:rPr>
        <w:t xml:space="preserve">  En ingeniería de mantenimiento predictivo, un KPI debe actuar como una alerta temprana. Utilizando el dataset  </w:t>
      </w:r>
      <w:r w:rsidDel="00000000" w:rsidR="00000000" w:rsidRPr="00000000">
        <w:rPr>
          <w:b w:val="1"/>
          <w:bCs w:val="1"/>
          <w:rtl w:val="0"/>
        </w:rPr>
        <w:t xml:space="preserve">AI4I 2020</w:t>
      </w:r>
      <w:r w:rsidDel="00000000" w:rsidR="00000000" w:rsidRPr="00000000">
        <w:rPr>
          <w:rtl w:val="0"/>
        </w:rPr>
        <w:t xml:space="preserve"> , podemos discriminar entre fallas de disipación de calor (HDF) y fallas por sobreesfuerzo (OSF), permitiendo intervenciones específicas según el tipo de riesgo.</w:t>
      </w:r>
    </w:p>
    <w:p w:rsidR="00000000" w:rsidDel="00000000" w:rsidP="00000000" w:rsidRDefault="00000000" w:rsidRPr="00000000" w14:paraId="0000005B">
      <w:pPr>
        <w:numPr>
          <w:ilvl w:val="0"/>
          <w:numId w:val="11"/>
        </w:numPr>
        <w:ind w:left="720" w:hanging="360"/>
        <w:rPr>
          <w:u w:val="none"/>
        </w:rPr>
      </w:pPr>
      <w:r w:rsidDel="00000000" w:rsidR="00000000" w:rsidRPr="00000000">
        <w:rPr>
          <w:b w:val="1"/>
          <w:bCs w:val="1"/>
          <w:rtl w:val="0"/>
        </w:rPr>
        <w:t xml:space="preserve">Explicación:</w:t>
      </w:r>
      <w:r w:rsidDel="00000000" w:rsidR="00000000" w:rsidRPr="00000000">
        <w:rPr>
          <w:rtl w:val="0"/>
        </w:rPr>
        <w:t xml:space="preserve">  Construcción de indicadores de estado y urgencia. Uso de metadatos reales del dataset AI4I (Air temperature en K, Torque en Nm).</w:t>
      </w:r>
    </w:p>
    <w:p w:rsidR="00000000" w:rsidDel="00000000" w:rsidP="00000000" w:rsidRDefault="00000000" w:rsidRPr="00000000" w14:paraId="0000005C">
      <w:pPr>
        <w:numPr>
          <w:ilvl w:val="0"/>
          <w:numId w:val="11"/>
        </w:numPr>
        <w:ind w:left="720" w:hanging="360"/>
        <w:rPr>
          <w:u w:val="none"/>
        </w:rPr>
      </w:pPr>
      <w:r w:rsidDel="00000000" w:rsidR="00000000" w:rsidRPr="00000000">
        <w:rPr>
          <w:b w:val="1"/>
          <w:bCs w:val="1"/>
          <w:rtl w:val="0"/>
        </w:rPr>
        <w:t xml:space="preserve">Ejemplo Técnico:</w:t>
      </w:r>
      <w:r w:rsidDel="00000000" w:rsidR="00000000" w:rsidRPr="00000000">
        <w:rPr>
          <w:rtl w:val="0"/>
        </w:rPr>
        <w:t xml:space="preserve">  Modelar la "Tasa de Falla Crítica" discriminando entre fallas por desgaste de herramienta (TWF) y fallas por potencia (PWF) para optimizar el inventario de repuestos.</w:t>
      </w:r>
    </w:p>
    <w:p w:rsidR="00000000" w:rsidDel="00000000" w:rsidP="00000000" w:rsidRDefault="00000000" w:rsidRPr="00000000" w14:paraId="0000005D">
      <w:pPr>
        <w:numPr>
          <w:ilvl w:val="0"/>
          <w:numId w:val="11"/>
        </w:numPr>
        <w:ind w:left="720" w:hanging="360"/>
        <w:rPr>
          <w:u w:val="none"/>
        </w:rPr>
      </w:pPr>
      <w:r w:rsidDel="00000000" w:rsidR="00000000" w:rsidRPr="00000000">
        <w:rPr>
          <w:b w:val="1"/>
          <w:bCs w:val="1"/>
          <w:rtl w:val="0"/>
        </w:rPr>
        <w:t xml:space="preserve">Guion del Instructor:</w:t>
      </w:r>
      <w:r w:rsidDel="00000000" w:rsidR="00000000" w:rsidRPr="00000000">
        <w:rPr>
          <w:rtl w:val="0"/>
        </w:rPr>
        <w:t xml:space="preserve">  "Un KPI no es solo una métrica; es un disparador de procesos. Si el indicador de falla OSF se activa, la acción no es 'revisar la máquina', es 'reducir el torque inmediatamente'".</w:t>
      </w:r>
    </w:p>
    <w:p w:rsidR="00000000" w:rsidDel="00000000" w:rsidP="00000000" w:rsidRDefault="00000000" w:rsidRPr="00000000" w14:paraId="0000005E">
      <w:pPr>
        <w:numPr>
          <w:ilvl w:val="0"/>
          <w:numId w:val="11"/>
        </w:numPr>
        <w:ind w:left="720" w:hanging="360"/>
        <w:rPr>
          <w:u w:val="none"/>
        </w:rPr>
      </w:pPr>
      <w:r w:rsidDel="00000000" w:rsidR="00000000" w:rsidRPr="00000000">
        <w:rPr>
          <w:b w:val="1"/>
          <w:bCs w:val="1"/>
          <w:rtl w:val="0"/>
        </w:rPr>
        <w:t xml:space="preserve">Pregunta para el foro:</w:t>
      </w:r>
      <w:r w:rsidDel="00000000" w:rsidR="00000000" w:rsidRPr="00000000">
        <w:rPr>
          <w:rtl w:val="0"/>
        </w:rPr>
        <w:t xml:space="preserve">  "¿Sus indicadores actuales disparan un flujo de trabajo automático o dependen de la interpretación subjetiva de un humano?"</w:t>
      </w:r>
    </w:p>
    <w:p w:rsidR="00000000" w:rsidDel="00000000" w:rsidP="00000000" w:rsidRDefault="00000000" w:rsidRPr="00000000" w14:paraId="0000005F">
      <w:pPr>
        <w:numPr>
          <w:ilvl w:val="0"/>
          <w:numId w:val="11"/>
        </w:numPr>
        <w:ind w:left="720" w:hanging="360"/>
        <w:rPr>
          <w:u w:val="none"/>
        </w:rPr>
      </w:pPr>
      <w:r w:rsidDel="00000000" w:rsidR="00000000" w:rsidRPr="00000000">
        <w:rPr>
          <w:b w:val="1"/>
          <w:bCs w:val="1"/>
          <w:rtl w:val="0"/>
        </w:rPr>
        <w:t xml:space="preserve">Riesgo a mitigar:</w:t>
      </w:r>
      <w:r w:rsidDel="00000000" w:rsidR="00000000" w:rsidRPr="00000000">
        <w:rPr>
          <w:rtl w:val="0"/>
        </w:rPr>
        <w:t xml:space="preserve">  Agrupar todos los tipos de falla en una sola métrica genérica, ocultando las causas raíz que requieren acciones correctivas divergentes.</w:t>
      </w:r>
    </w:p>
    <w:p w:rsidR="00000000" w:rsidDel="00000000" w:rsidP="00000000" w:rsidRDefault="00000000" w:rsidRPr="00000000" w14:paraId="00000060">
      <w:pPr>
        <w:numPr>
          <w:ilvl w:val="0"/>
          <w:numId w:val="11"/>
        </w:numPr>
        <w:ind w:left="720" w:hanging="360"/>
        <w:rPr>
          <w:u w:val="none"/>
        </w:rPr>
      </w:pPr>
      <w:r w:rsidDel="00000000" w:rsidR="00000000" w:rsidRPr="00000000">
        <w:rPr>
          <w:b w:val="1"/>
          <w:bCs w:val="1"/>
          <w:rtl w:val="0"/>
        </w:rPr>
        <w:t xml:space="preserve">Transición:</w:t>
      </w:r>
      <w:r w:rsidDel="00000000" w:rsidR="00000000" w:rsidRPr="00000000">
        <w:rPr>
          <w:rtl w:val="0"/>
        </w:rPr>
        <w:t xml:space="preserve">  Una vez definido el KPI, debemos asegurar su visibilidad en cualquier contexto, especialmente en movilidad.</w:t>
      </w:r>
    </w:p>
    <w:p w:rsidR="00000000" w:rsidDel="00000000" w:rsidP="00000000" w:rsidRDefault="00000000" w:rsidRPr="00000000" w14:paraId="00000061">
      <w:pPr>
        <w:pStyle w:val="Heading5"/>
        <w:rPr/>
      </w:pPr>
      <w:bookmarkStart w:colFirst="0" w:colLast="0" w:name="_1njw45jpasan" w:id="12"/>
      <w:bookmarkEnd w:id="12"/>
      <w:r w:rsidDel="00000000" w:rsidR="00000000" w:rsidRPr="00000000">
        <w:rPr>
          <w:rtl w:val="0"/>
        </w:rPr>
        <w:t xml:space="preserve">12. Audiencias, páginas y wireframe del dashboard</w:t>
      </w:r>
    </w:p>
    <w:p w:rsidR="00000000" w:rsidDel="00000000" w:rsidP="00000000" w:rsidRDefault="00000000" w:rsidRPr="00000000" w14:paraId="00000062">
      <w:pPr>
        <w:rPr/>
      </w:pPr>
      <w:r w:rsidDel="00000000" w:rsidR="00000000" w:rsidRPr="00000000">
        <w:rPr>
          <w:b w:val="1"/>
          <w:bCs w:val="1"/>
          <w:rtl w:val="0"/>
        </w:rPr>
        <w:t xml:space="preserve">Relevancia Estratégica:</w:t>
      </w:r>
      <w:r w:rsidDel="00000000" w:rsidR="00000000" w:rsidRPr="00000000">
        <w:rPr>
          <w:rtl w:val="0"/>
        </w:rPr>
        <w:t xml:space="preserve">  El diseño debe ser adaptable al contexto del usuario en campo. La  </w:t>
      </w:r>
      <w:r w:rsidDel="00000000" w:rsidR="00000000" w:rsidRPr="00000000">
        <w:rPr>
          <w:b w:val="1"/>
          <w:bCs w:val="1"/>
          <w:rtl w:val="0"/>
        </w:rPr>
        <w:t xml:space="preserve">Optimización Móvil</w:t>
      </w:r>
      <w:r w:rsidDel="00000000" w:rsidR="00000000" w:rsidRPr="00000000">
        <w:rPr>
          <w:rtl w:val="0"/>
        </w:rPr>
        <w:t xml:space="preserve">  no es estética, es operativa; permite que un supervisor en planta acceda a la telemetría crítica sin depender de una estación de trabajo fija.</w:t>
      </w:r>
    </w:p>
    <w:p w:rsidR="00000000" w:rsidDel="00000000" w:rsidP="00000000" w:rsidRDefault="00000000" w:rsidRPr="00000000" w14:paraId="00000063">
      <w:pPr>
        <w:numPr>
          <w:ilvl w:val="0"/>
          <w:numId w:val="10"/>
        </w:numPr>
        <w:ind w:left="720" w:hanging="360"/>
        <w:rPr>
          <w:u w:val="none"/>
        </w:rPr>
      </w:pPr>
      <w:r w:rsidDel="00000000" w:rsidR="00000000" w:rsidRPr="00000000">
        <w:rPr>
          <w:b w:val="1"/>
          <w:bCs w:val="1"/>
          <w:rtl w:val="0"/>
        </w:rPr>
        <w:t xml:space="preserve">Explicación:</w:t>
      </w:r>
      <w:r w:rsidDel="00000000" w:rsidR="00000000" w:rsidRPr="00000000">
        <w:rPr>
          <w:rtl w:val="0"/>
        </w:rPr>
        <w:t xml:space="preserve">  Aplicación de estándares de diseño móvil: ancho máximo de 323 pt y uso de tamaños recomendados (XL: 323x270 pt, L: 323x180 pt, M: 323x100 pt, S: 158x100 pt).</w:t>
      </w:r>
    </w:p>
    <w:p w:rsidR="00000000" w:rsidDel="00000000" w:rsidP="00000000" w:rsidRDefault="00000000" w:rsidRPr="00000000" w14:paraId="00000064">
      <w:pPr>
        <w:numPr>
          <w:ilvl w:val="0"/>
          <w:numId w:val="10"/>
        </w:numPr>
        <w:ind w:left="720" w:hanging="360"/>
        <w:rPr>
          <w:u w:val="none"/>
        </w:rPr>
      </w:pPr>
      <w:r w:rsidDel="00000000" w:rsidR="00000000" w:rsidRPr="00000000">
        <w:rPr>
          <w:b w:val="1"/>
          <w:bCs w:val="1"/>
          <w:rtl w:val="0"/>
        </w:rPr>
        <w:t xml:space="preserve">Guion del Instructor:</w:t>
      </w:r>
      <w:r w:rsidDel="00000000" w:rsidR="00000000" w:rsidRPr="00000000">
        <w:rPr>
          <w:rtl w:val="0"/>
        </w:rPr>
        <w:t xml:space="preserve">  "Para un visual complejo como el  </w:t>
      </w:r>
      <w:r w:rsidDel="00000000" w:rsidR="00000000" w:rsidRPr="00000000">
        <w:rPr>
          <w:b w:val="1"/>
          <w:bCs w:val="1"/>
          <w:rtl w:val="0"/>
        </w:rPr>
        <w:t xml:space="preserve">Decomposition Tree</w:t>
      </w:r>
      <w:r w:rsidDel="00000000" w:rsidR="00000000" w:rsidRPr="00000000">
        <w:rPr>
          <w:rtl w:val="0"/>
        </w:rPr>
        <w:t xml:space="preserve"> , debemos usar un tamaño XL (mínimo 323x270 pt) en la vista móvil para garantizar la legibilidad. Si el dato no es legible en la tablet del supervisor, el análisis pierde su valor".</w:t>
      </w:r>
    </w:p>
    <w:p w:rsidR="00000000" w:rsidDel="00000000" w:rsidP="00000000" w:rsidRDefault="00000000" w:rsidRPr="00000000" w14:paraId="00000065">
      <w:pPr>
        <w:numPr>
          <w:ilvl w:val="0"/>
          <w:numId w:val="10"/>
        </w:numPr>
        <w:ind w:left="720" w:hanging="360"/>
        <w:rPr>
          <w:u w:val="none"/>
        </w:rPr>
      </w:pPr>
      <w:r w:rsidDel="00000000" w:rsidR="00000000" w:rsidRPr="00000000">
        <w:rPr>
          <w:b w:val="1"/>
          <w:bCs w:val="1"/>
          <w:rtl w:val="0"/>
        </w:rPr>
        <w:t xml:space="preserve">Analogía:</w:t>
      </w:r>
      <w:r w:rsidDel="00000000" w:rsidR="00000000" w:rsidRPr="00000000">
        <w:rPr>
          <w:rtl w:val="0"/>
        </w:rPr>
        <w:t xml:space="preserve">  Diseñar para móvil es como diseñar el tablero de instrumentos de un avión: solo lo esencial, en el tamaño correcto y al alcance de la mano.</w:t>
      </w:r>
    </w:p>
    <w:p w:rsidR="00000000" w:rsidDel="00000000" w:rsidP="00000000" w:rsidRDefault="00000000" w:rsidRPr="00000000" w14:paraId="00000066">
      <w:pPr>
        <w:numPr>
          <w:ilvl w:val="0"/>
          <w:numId w:val="10"/>
        </w:numPr>
        <w:ind w:left="720" w:hanging="360"/>
        <w:rPr>
          <w:u w:val="none"/>
        </w:rPr>
      </w:pPr>
      <w:r w:rsidDel="00000000" w:rsidR="00000000" w:rsidRPr="00000000">
        <w:rPr>
          <w:b w:val="1"/>
          <w:bCs w:val="1"/>
          <w:rtl w:val="0"/>
        </w:rPr>
        <w:t xml:space="preserve">Pregunta para el foro:</w:t>
      </w:r>
      <w:r w:rsidDel="00000000" w:rsidR="00000000" w:rsidRPr="00000000">
        <w:rPr>
          <w:rtl w:val="0"/>
        </w:rPr>
        <w:t xml:space="preserve">  "¿Qué visuales de su reporte actual sacrificarían para asegurar que la versión móvil cargue en menos de 3 segundos?"</w:t>
      </w:r>
    </w:p>
    <w:p w:rsidR="00000000" w:rsidDel="00000000" w:rsidP="00000000" w:rsidRDefault="00000000" w:rsidRPr="00000000" w14:paraId="00000067">
      <w:pPr>
        <w:numPr>
          <w:ilvl w:val="0"/>
          <w:numId w:val="10"/>
        </w:numPr>
        <w:ind w:left="720" w:hanging="360"/>
        <w:rPr>
          <w:u w:val="none"/>
        </w:rPr>
      </w:pPr>
      <w:r w:rsidDel="00000000" w:rsidR="00000000" w:rsidRPr="00000000">
        <w:rPr>
          <w:b w:val="1"/>
          <w:bCs w:val="1"/>
          <w:rtl w:val="0"/>
        </w:rPr>
        <w:t xml:space="preserve">Riesgo a mitigar:</w:t>
      </w:r>
      <w:r w:rsidDel="00000000" w:rsidR="00000000" w:rsidRPr="00000000">
        <w:rPr>
          <w:rtl w:val="0"/>
        </w:rPr>
        <w:t xml:space="preserve">  Intentar replicar exactamente el layout de desktop en móvil, resultando en elementos truncados y barras de desplazamiento internas que destruyen la usabilidad.</w:t>
      </w:r>
    </w:p>
    <w:p w:rsidR="00000000" w:rsidDel="00000000" w:rsidP="00000000" w:rsidRDefault="00000000" w:rsidRPr="00000000" w14:paraId="00000068">
      <w:pPr>
        <w:numPr>
          <w:ilvl w:val="0"/>
          <w:numId w:val="10"/>
        </w:numPr>
        <w:ind w:left="720" w:hanging="360"/>
        <w:rPr>
          <w:u w:val="none"/>
        </w:rPr>
      </w:pPr>
      <w:r w:rsidDel="00000000" w:rsidR="00000000" w:rsidRPr="00000000">
        <w:rPr>
          <w:b w:val="1"/>
          <w:bCs w:val="1"/>
          <w:rtl w:val="0"/>
        </w:rPr>
        <w:t xml:space="preserve">Cita de Autoridad:</w:t>
      </w:r>
      <w:r w:rsidDel="00000000" w:rsidR="00000000" w:rsidRPr="00000000">
        <w:rPr>
          <w:rtl w:val="0"/>
        </w:rPr>
        <w:t xml:space="preserve">  "Best practices for creating mobile-optimized Power BI reports" (Microsoft Learn).</w:t>
      </w:r>
    </w:p>
    <w:p w:rsidR="00000000" w:rsidDel="00000000" w:rsidP="00000000" w:rsidRDefault="00000000" w:rsidRPr="00000000" w14:paraId="00000069">
      <w:pPr>
        <w:numPr>
          <w:ilvl w:val="0"/>
          <w:numId w:val="10"/>
        </w:numPr>
        <w:ind w:left="720" w:hanging="360"/>
        <w:rPr>
          <w:u w:val="none"/>
        </w:rPr>
      </w:pPr>
      <w:r w:rsidDel="00000000" w:rsidR="00000000" w:rsidRPr="00000000">
        <w:rPr>
          <w:b w:val="1"/>
          <w:bCs w:val="1"/>
          <w:rtl w:val="0"/>
        </w:rPr>
        <w:t xml:space="preserve">Transición:</w:t>
      </w:r>
      <w:r w:rsidDel="00000000" w:rsidR="00000000" w:rsidRPr="00000000">
        <w:rPr>
          <w:rtl w:val="0"/>
        </w:rPr>
        <w:t xml:space="preserve">  Además del diseño estructurado, Power BI nos asiste mediante algoritmos de Inteligencia Artificial para acelerar el descubrimiento.</w:t>
      </w:r>
    </w:p>
    <w:p w:rsidR="00000000" w:rsidDel="00000000" w:rsidP="00000000" w:rsidRDefault="00000000" w:rsidRPr="00000000" w14:paraId="0000006A">
      <w:pPr>
        <w:pStyle w:val="Heading5"/>
        <w:rPr/>
      </w:pPr>
      <w:bookmarkStart w:colFirst="0" w:colLast="0" w:name="_c2jqb8vr8i0y" w:id="13"/>
      <w:bookmarkEnd w:id="13"/>
      <w:r w:rsidDel="00000000" w:rsidR="00000000" w:rsidRPr="00000000">
        <w:rPr>
          <w:rtl w:val="0"/>
        </w:rPr>
        <w:t xml:space="preserve">13. IA para diseñar análisis iniciales</w:t>
      </w:r>
    </w:p>
    <w:p w:rsidR="00000000" w:rsidDel="00000000" w:rsidP="00000000" w:rsidRDefault="00000000" w:rsidRPr="00000000" w14:paraId="0000006B">
      <w:pPr>
        <w:rPr/>
      </w:pPr>
      <w:r w:rsidDel="00000000" w:rsidR="00000000" w:rsidRPr="00000000">
        <w:rPr>
          <w:b w:val="1"/>
          <w:bCs w:val="1"/>
          <w:rtl w:val="0"/>
        </w:rPr>
        <w:t xml:space="preserve">Relevancia Estratégica:</w:t>
      </w:r>
      <w:r w:rsidDel="00000000" w:rsidR="00000000" w:rsidRPr="00000000">
        <w:rPr>
          <w:rtl w:val="0"/>
        </w:rPr>
        <w:t xml:space="preserve">  Los visuales de IA como el  </w:t>
      </w:r>
      <w:r w:rsidDel="00000000" w:rsidR="00000000" w:rsidRPr="00000000">
        <w:rPr>
          <w:b w:val="1"/>
          <w:bCs w:val="1"/>
          <w:rtl w:val="0"/>
        </w:rPr>
        <w:t xml:space="preserve">Decomposition Tree</w:t>
      </w:r>
      <w:r w:rsidDel="00000000" w:rsidR="00000000" w:rsidRPr="00000000">
        <w:rPr>
          <w:rtl w:val="0"/>
        </w:rPr>
        <w:t xml:space="preserve">  permiten realizar análisis de causa raíz automatizados. Para un ingeniero, esto significa identificar qué combinación de variables (temperatura, torque, velocidad) precede estadísticamente a una falla OSF o HDF.</w:t>
      </w:r>
    </w:p>
    <w:p w:rsidR="00000000" w:rsidDel="00000000" w:rsidP="00000000" w:rsidRDefault="00000000" w:rsidRPr="00000000" w14:paraId="0000006C">
      <w:pPr>
        <w:numPr>
          <w:ilvl w:val="0"/>
          <w:numId w:val="6"/>
        </w:numPr>
        <w:ind w:left="720" w:hanging="360"/>
        <w:rPr>
          <w:u w:val="none"/>
        </w:rPr>
      </w:pPr>
      <w:r w:rsidDel="00000000" w:rsidR="00000000" w:rsidRPr="00000000">
        <w:rPr>
          <w:b w:val="1"/>
          <w:bCs w:val="1"/>
          <w:rtl w:val="0"/>
        </w:rPr>
        <w:t xml:space="preserve">Explicación:</w:t>
      </w:r>
      <w:r w:rsidDel="00000000" w:rsidR="00000000" w:rsidRPr="00000000">
        <w:rPr>
          <w:rtl w:val="0"/>
        </w:rPr>
        <w:t xml:space="preserve">  Uso de "AI Splits" para encontrar automáticamente los valores más altos o bajos de un KPI según las dimensiones disponibles.</w:t>
      </w:r>
    </w:p>
    <w:p w:rsidR="00000000" w:rsidDel="00000000" w:rsidP="00000000" w:rsidRDefault="00000000" w:rsidRPr="00000000" w14:paraId="0000006D">
      <w:pPr>
        <w:numPr>
          <w:ilvl w:val="0"/>
          <w:numId w:val="6"/>
        </w:numPr>
        <w:ind w:left="720" w:hanging="360"/>
        <w:rPr>
          <w:u w:val="none"/>
        </w:rPr>
      </w:pPr>
      <w:r w:rsidDel="00000000" w:rsidR="00000000" w:rsidRPr="00000000">
        <w:rPr>
          <w:b w:val="1"/>
          <w:bCs w:val="1"/>
          <w:rtl w:val="0"/>
        </w:rPr>
        <w:t xml:space="preserve">Guion del Instructor:</w:t>
      </w:r>
      <w:r w:rsidDel="00000000" w:rsidR="00000000" w:rsidRPr="00000000">
        <w:rPr>
          <w:rtl w:val="0"/>
        </w:rPr>
        <w:t xml:space="preserve">  "El árbol de descomposición no reemplaza nuestro juicio, pero actúa como un detective acelerado, mostrándonos qué factor (por ejemplo, Type o Air temperature) explica mejor una desviación en la producción".</w:t>
      </w:r>
    </w:p>
    <w:p w:rsidR="00000000" w:rsidDel="00000000" w:rsidP="00000000" w:rsidRDefault="00000000" w:rsidRPr="00000000" w14:paraId="0000006E">
      <w:pPr>
        <w:numPr>
          <w:ilvl w:val="0"/>
          <w:numId w:val="6"/>
        </w:numPr>
        <w:ind w:left="720" w:hanging="360"/>
        <w:rPr>
          <w:u w:val="none"/>
        </w:rPr>
      </w:pPr>
      <w:r w:rsidDel="00000000" w:rsidR="00000000" w:rsidRPr="00000000">
        <w:rPr>
          <w:b w:val="1"/>
          <w:bCs w:val="1"/>
          <w:rtl w:val="0"/>
        </w:rPr>
        <w:t xml:space="preserve">Analogía:</w:t>
      </w:r>
      <w:r w:rsidDel="00000000" w:rsidR="00000000" w:rsidRPr="00000000">
        <w:rPr>
          <w:rtl w:val="0"/>
        </w:rPr>
        <w:t xml:space="preserve">  La IA es como un sensor de escaneo infrarrojo: nos permite ver patrones de calor (anomalías) que a simple vista en una tabla de datos serían invisibles.</w:t>
      </w:r>
    </w:p>
    <w:p w:rsidR="00000000" w:rsidDel="00000000" w:rsidP="00000000" w:rsidRDefault="00000000" w:rsidRPr="00000000" w14:paraId="0000006F">
      <w:pPr>
        <w:numPr>
          <w:ilvl w:val="0"/>
          <w:numId w:val="6"/>
        </w:numPr>
        <w:ind w:left="720" w:hanging="360"/>
        <w:rPr>
          <w:u w:val="none"/>
        </w:rPr>
      </w:pPr>
      <w:r w:rsidDel="00000000" w:rsidR="00000000" w:rsidRPr="00000000">
        <w:rPr>
          <w:b w:val="1"/>
          <w:bCs w:val="1"/>
          <w:rtl w:val="0"/>
        </w:rPr>
        <w:t xml:space="preserve">Pregunta para el foro:</w:t>
      </w:r>
      <w:r w:rsidDel="00000000" w:rsidR="00000000" w:rsidRPr="00000000">
        <w:rPr>
          <w:rtl w:val="0"/>
        </w:rPr>
        <w:t xml:space="preserve">  "¿Han utilizado herramientas de IA para validar si sus hipótesis sobre las causas de falla coinciden con lo que los datos sugieren?"</w:t>
      </w:r>
    </w:p>
    <w:p w:rsidR="00000000" w:rsidDel="00000000" w:rsidP="00000000" w:rsidRDefault="00000000" w:rsidRPr="00000000" w14:paraId="00000070">
      <w:pPr>
        <w:numPr>
          <w:ilvl w:val="0"/>
          <w:numId w:val="6"/>
        </w:numPr>
        <w:ind w:left="720" w:hanging="360"/>
        <w:rPr>
          <w:u w:val="none"/>
        </w:rPr>
      </w:pPr>
      <w:r w:rsidDel="00000000" w:rsidR="00000000" w:rsidRPr="00000000">
        <w:rPr>
          <w:b w:val="1"/>
          <w:bCs w:val="1"/>
          <w:rtl w:val="0"/>
        </w:rPr>
        <w:t xml:space="preserve">Riesgo a mitigar:</w:t>
      </w:r>
      <w:r w:rsidDel="00000000" w:rsidR="00000000" w:rsidRPr="00000000">
        <w:rPr>
          <w:rtl w:val="0"/>
        </w:rPr>
        <w:t xml:space="preserve">  Correlación no implica causalidad; confiar ciegamente en un 'AI Split' sin validar la lógica física detrás de la relación de los datos.</w:t>
      </w:r>
    </w:p>
    <w:p w:rsidR="00000000" w:rsidDel="00000000" w:rsidP="00000000" w:rsidRDefault="00000000" w:rsidRPr="00000000" w14:paraId="00000071">
      <w:pPr>
        <w:numPr>
          <w:ilvl w:val="0"/>
          <w:numId w:val="6"/>
        </w:numPr>
        <w:ind w:left="720" w:hanging="360"/>
        <w:rPr>
          <w:u w:val="none"/>
        </w:rPr>
      </w:pPr>
      <w:r w:rsidDel="00000000" w:rsidR="00000000" w:rsidRPr="00000000">
        <w:rPr>
          <w:b w:val="1"/>
          <w:bCs w:val="1"/>
          <w:rtl w:val="0"/>
        </w:rPr>
        <w:t xml:space="preserve">Cita de Autoridad:</w:t>
      </w:r>
      <w:r w:rsidDel="00000000" w:rsidR="00000000" w:rsidRPr="00000000">
        <w:rPr>
          <w:rtl w:val="0"/>
        </w:rPr>
        <w:t xml:space="preserve">  "The decomposition tree visual... automatically aggregates data and lets you drill down" (Microsoft Learn).</w:t>
      </w:r>
    </w:p>
    <w:p w:rsidR="00000000" w:rsidDel="00000000" w:rsidP="00000000" w:rsidRDefault="00000000" w:rsidRPr="00000000" w14:paraId="00000072">
      <w:pPr>
        <w:numPr>
          <w:ilvl w:val="0"/>
          <w:numId w:val="6"/>
        </w:numPr>
        <w:ind w:left="720" w:hanging="360"/>
        <w:rPr>
          <w:u w:val="none"/>
        </w:rPr>
      </w:pPr>
      <w:r w:rsidDel="00000000" w:rsidR="00000000" w:rsidRPr="00000000">
        <w:rPr>
          <w:b w:val="1"/>
          <w:bCs w:val="1"/>
          <w:rtl w:val="0"/>
        </w:rPr>
        <w:t xml:space="preserve">Transición:</w:t>
      </w:r>
      <w:r w:rsidDel="00000000" w:rsidR="00000000" w:rsidRPr="00000000">
        <w:rPr>
          <w:rtl w:val="0"/>
        </w:rPr>
        <w:t xml:space="preserve">  La potencia de la IA conlleva la responsabilidad de una validación técnica rigurosa.</w:t>
      </w:r>
    </w:p>
    <w:p w:rsidR="00000000" w:rsidDel="00000000" w:rsidP="00000000" w:rsidRDefault="00000000" w:rsidRPr="00000000" w14:paraId="00000073">
      <w:pPr>
        <w:pStyle w:val="Heading5"/>
        <w:rPr/>
      </w:pPr>
      <w:bookmarkStart w:colFirst="0" w:colLast="0" w:name="_jhhrhkqna0xx" w:id="14"/>
      <w:bookmarkEnd w:id="14"/>
      <w:r w:rsidDel="00000000" w:rsidR="00000000" w:rsidRPr="00000000">
        <w:rPr>
          <w:rtl w:val="0"/>
        </w:rPr>
        <w:t xml:space="preserve">14. Riesgos, validación y uso responsable de IA</w:t>
      </w:r>
    </w:p>
    <w:p w:rsidR="00000000" w:rsidDel="00000000" w:rsidP="00000000" w:rsidRDefault="00000000" w:rsidRPr="00000000" w14:paraId="00000074">
      <w:pPr>
        <w:rPr/>
      </w:pPr>
      <w:r w:rsidDel="00000000" w:rsidR="00000000" w:rsidRPr="00000000">
        <w:rPr>
          <w:b w:val="1"/>
          <w:bCs w:val="1"/>
          <w:rtl w:val="0"/>
        </w:rPr>
        <w:t xml:space="preserve">Relevancia Estratégica:</w:t>
      </w:r>
      <w:r w:rsidDel="00000000" w:rsidR="00000000" w:rsidRPr="00000000">
        <w:rPr>
          <w:rtl w:val="0"/>
        </w:rPr>
        <w:t xml:space="preserve">  En entornos de ingeniería, la confianza ciega en algoritmos de "caja negra" es un riesgo inaceptable. Debemos validar el rendimiento del modelo con el  </w:t>
      </w:r>
      <w:r w:rsidDel="00000000" w:rsidR="00000000" w:rsidRPr="00000000">
        <w:rPr>
          <w:b w:val="1"/>
          <w:bCs w:val="1"/>
          <w:rtl w:val="0"/>
        </w:rPr>
        <w:t xml:space="preserve">Performance Analyzer</w:t>
      </w:r>
      <w:r w:rsidDel="00000000" w:rsidR="00000000" w:rsidRPr="00000000">
        <w:rPr>
          <w:rtl w:val="0"/>
        </w:rPr>
        <w:t xml:space="preserve">  y supervisar las tendencias proyectadas frente al contexto operativo real.</w:t>
      </w:r>
    </w:p>
    <w:p w:rsidR="00000000" w:rsidDel="00000000" w:rsidP="00000000" w:rsidRDefault="00000000" w:rsidRPr="00000000" w14:paraId="00000075">
      <w:pPr>
        <w:numPr>
          <w:ilvl w:val="0"/>
          <w:numId w:val="14"/>
        </w:numPr>
        <w:ind w:left="720" w:hanging="360"/>
        <w:rPr>
          <w:u w:val="none"/>
        </w:rPr>
      </w:pPr>
      <w:r w:rsidDel="00000000" w:rsidR="00000000" w:rsidRPr="00000000">
        <w:rPr>
          <w:b w:val="1"/>
          <w:bCs w:val="1"/>
          <w:rtl w:val="0"/>
        </w:rPr>
        <w:t xml:space="preserve">Explicación:</w:t>
      </w:r>
      <w:r w:rsidDel="00000000" w:rsidR="00000000" w:rsidRPr="00000000">
        <w:rPr>
          <w:rtl w:val="0"/>
        </w:rPr>
        <w:t xml:space="preserve">  Mitigación de sesgos y optimización de tiempos de carga. Validación de resultados de IA frente a registros de mantenimiento y factores externos.</w:t>
      </w:r>
    </w:p>
    <w:p w:rsidR="00000000" w:rsidDel="00000000" w:rsidP="00000000" w:rsidRDefault="00000000" w:rsidRPr="00000000" w14:paraId="00000076">
      <w:pPr>
        <w:numPr>
          <w:ilvl w:val="0"/>
          <w:numId w:val="14"/>
        </w:numPr>
        <w:ind w:left="720" w:hanging="360"/>
        <w:rPr>
          <w:u w:val="none"/>
        </w:rPr>
      </w:pPr>
      <w:r w:rsidDel="00000000" w:rsidR="00000000" w:rsidRPr="00000000">
        <w:rPr>
          <w:b w:val="1"/>
          <w:bCs w:val="1"/>
          <w:rtl w:val="0"/>
        </w:rPr>
        <w:t xml:space="preserve">Guion del Instructor:</w:t>
      </w:r>
      <w:r w:rsidDel="00000000" w:rsidR="00000000" w:rsidRPr="00000000">
        <w:rPr>
          <w:rtl w:val="0"/>
        </w:rPr>
        <w:t xml:space="preserve">  "La IA es un copiloto, no el capitán. Si el sistema proyecta una tendencia de falla pero no considera un mantenimiento preventivo ya programado, la predicción es basura. Siempre usen el Performance Analyzer para asegurar que la complejidad de la IA no mate la fluidez del reporte".</w:t>
      </w:r>
    </w:p>
    <w:p w:rsidR="00000000" w:rsidDel="00000000" w:rsidP="00000000" w:rsidRDefault="00000000" w:rsidRPr="00000000" w14:paraId="00000077">
      <w:pPr>
        <w:numPr>
          <w:ilvl w:val="0"/>
          <w:numId w:val="14"/>
        </w:numPr>
        <w:ind w:left="720" w:hanging="360"/>
        <w:rPr>
          <w:u w:val="none"/>
        </w:rPr>
      </w:pPr>
      <w:r w:rsidDel="00000000" w:rsidR="00000000" w:rsidRPr="00000000">
        <w:rPr>
          <w:b w:val="1"/>
          <w:bCs w:val="1"/>
          <w:rtl w:val="0"/>
        </w:rPr>
        <w:t xml:space="preserve">Analogía:</w:t>
      </w:r>
      <w:r w:rsidDel="00000000" w:rsidR="00000000" w:rsidRPr="00000000">
        <w:rPr>
          <w:rtl w:val="0"/>
        </w:rPr>
        <w:t xml:space="preserve">  Confiar en la IA sin validación es como volar un avión en piloto automático sin supervisar los instrumentos de respaldo; funciona hasta que las condiciones cambian fuera del modelo entrenado.</w:t>
      </w:r>
    </w:p>
    <w:p w:rsidR="00000000" w:rsidDel="00000000" w:rsidP="00000000" w:rsidRDefault="00000000" w:rsidRPr="00000000" w14:paraId="00000078">
      <w:pPr>
        <w:numPr>
          <w:ilvl w:val="0"/>
          <w:numId w:val="14"/>
        </w:numPr>
        <w:ind w:left="720" w:hanging="360"/>
        <w:rPr>
          <w:u w:val="none"/>
        </w:rPr>
      </w:pPr>
      <w:r w:rsidDel="00000000" w:rsidR="00000000" w:rsidRPr="00000000">
        <w:rPr>
          <w:b w:val="1"/>
          <w:bCs w:val="1"/>
          <w:rtl w:val="0"/>
        </w:rPr>
        <w:t xml:space="preserve">Pregunta para el foro:</w:t>
      </w:r>
      <w:r w:rsidDel="00000000" w:rsidR="00000000" w:rsidRPr="00000000">
        <w:rPr>
          <w:rtl w:val="0"/>
        </w:rPr>
        <w:t xml:space="preserve">  "¿Cómo validan actualmente que un hallazgo de IA es estadísticamente significativo y no un simple sesgo del dataset?"</w:t>
      </w:r>
    </w:p>
    <w:p w:rsidR="00000000" w:rsidDel="00000000" w:rsidP="00000000" w:rsidRDefault="00000000" w:rsidRPr="00000000" w14:paraId="00000079">
      <w:pPr>
        <w:numPr>
          <w:ilvl w:val="0"/>
          <w:numId w:val="14"/>
        </w:numPr>
        <w:ind w:left="720" w:hanging="360"/>
        <w:rPr>
          <w:u w:val="none"/>
        </w:rPr>
      </w:pPr>
      <w:r w:rsidDel="00000000" w:rsidR="00000000" w:rsidRPr="00000000">
        <w:rPr>
          <w:b w:val="1"/>
          <w:bCs w:val="1"/>
          <w:rtl w:val="0"/>
        </w:rPr>
        <w:t xml:space="preserve">Riesgo a mitigar:</w:t>
      </w:r>
      <w:r w:rsidDel="00000000" w:rsidR="00000000" w:rsidRPr="00000000">
        <w:rPr>
          <w:rtl w:val="0"/>
        </w:rPr>
        <w:t xml:space="preserve">  Aceptar proyecciones automáticas sin cruzar datos con factores externos no mapeados en el modelo semántico, como paradas de planta programadas.</w:t>
      </w:r>
    </w:p>
    <w:p w:rsidR="00000000" w:rsidDel="00000000" w:rsidP="00000000" w:rsidRDefault="00000000" w:rsidRPr="00000000" w14:paraId="0000007A">
      <w:pPr>
        <w:numPr>
          <w:ilvl w:val="0"/>
          <w:numId w:val="14"/>
        </w:numPr>
        <w:ind w:left="720" w:hanging="360"/>
        <w:rPr>
          <w:u w:val="none"/>
        </w:rPr>
      </w:pPr>
      <w:r w:rsidDel="00000000" w:rsidR="00000000" w:rsidRPr="00000000">
        <w:rPr>
          <w:b w:val="1"/>
          <w:bCs w:val="1"/>
          <w:rtl w:val="0"/>
        </w:rPr>
        <w:t xml:space="preserve">Transición:</w:t>
      </w:r>
      <w:r w:rsidDel="00000000" w:rsidR="00000000" w:rsidRPr="00000000">
        <w:rPr>
          <w:rtl w:val="0"/>
        </w:rPr>
        <w:t xml:space="preserve">  Cerremos esta sesión magistral consolidando lo aprendido en un entorno de simulación real.</w:t>
      </w:r>
    </w:p>
    <w:p w:rsidR="00000000" w:rsidDel="00000000" w:rsidP="00000000" w:rsidRDefault="00000000" w:rsidRPr="00000000" w14:paraId="0000007B">
      <w:pPr>
        <w:pStyle w:val="Heading5"/>
        <w:rPr/>
      </w:pPr>
      <w:bookmarkStart w:colFirst="0" w:colLast="0" w:name="_602522y6mzhx" w:id="15"/>
      <w:bookmarkEnd w:id="15"/>
      <w:r w:rsidDel="00000000" w:rsidR="00000000" w:rsidRPr="00000000">
        <w:rPr>
          <w:rtl w:val="0"/>
        </w:rPr>
        <w:t xml:space="preserve">15. Actividad práctica y cierre de la sesión</w:t>
      </w:r>
    </w:p>
    <w:p w:rsidR="00000000" w:rsidDel="00000000" w:rsidP="00000000" w:rsidRDefault="00000000" w:rsidRPr="00000000" w14:paraId="0000007C">
      <w:pPr>
        <w:rPr/>
      </w:pPr>
      <w:r w:rsidDel="00000000" w:rsidR="00000000" w:rsidRPr="00000000">
        <w:rPr>
          <w:b w:val="1"/>
          <w:bCs w:val="1"/>
          <w:rtl w:val="0"/>
        </w:rPr>
        <w:t xml:space="preserve">Relevancia Estratégica:</w:t>
      </w:r>
      <w:r w:rsidDel="00000000" w:rsidR="00000000" w:rsidRPr="00000000">
        <w:rPr>
          <w:rtl w:val="0"/>
        </w:rPr>
        <w:t xml:space="preserve">  La maestría técnica se alcanza a través de la experimentación controlada. Este ejercicio simula un entorno de mantenimiento predictivo real, donde la precisión del cálculo impacta directamente en la disponibilidad de los activos.</w:t>
      </w:r>
    </w:p>
    <w:p w:rsidR="00000000" w:rsidDel="00000000" w:rsidP="00000000" w:rsidRDefault="00000000" w:rsidRPr="00000000" w14:paraId="0000007D">
      <w:pPr>
        <w:numPr>
          <w:ilvl w:val="0"/>
          <w:numId w:val="2"/>
        </w:numPr>
        <w:ind w:left="720" w:hanging="360"/>
        <w:rPr>
          <w:u w:val="none"/>
        </w:rPr>
      </w:pPr>
      <w:r w:rsidDel="00000000" w:rsidR="00000000" w:rsidRPr="00000000">
        <w:rPr>
          <w:b w:val="1"/>
          <w:bCs w:val="1"/>
          <w:rtl w:val="0"/>
        </w:rPr>
        <w:t xml:space="preserve">Explicación:</w:t>
      </w:r>
      <w:r w:rsidDel="00000000" w:rsidR="00000000" w:rsidRPr="00000000">
        <w:rPr>
          <w:rtl w:val="0"/>
        </w:rPr>
        <w:t xml:space="preserve">  Aplicación integral de ETL, modelado en estrella y DAX sobre el dataset  </w:t>
      </w:r>
      <w:r w:rsidDel="00000000" w:rsidR="00000000" w:rsidRPr="00000000">
        <w:rPr>
          <w:b w:val="1"/>
          <w:bCs w:val="1"/>
          <w:rtl w:val="0"/>
        </w:rPr>
        <w:t xml:space="preserve">AI4I 2020</w:t>
      </w:r>
      <w:r w:rsidDel="00000000" w:rsidR="00000000" w:rsidRPr="00000000">
        <w:rPr>
          <w:rtl w:val="0"/>
        </w:rPr>
        <w:t xml:space="preserve">  (10,000 instancias de procesos industriales).</w:t>
      </w:r>
    </w:p>
    <w:p w:rsidR="00000000" w:rsidDel="00000000" w:rsidP="00000000" w:rsidRDefault="00000000" w:rsidRPr="00000000" w14:paraId="0000007E">
      <w:pPr>
        <w:numPr>
          <w:ilvl w:val="0"/>
          <w:numId w:val="2"/>
        </w:numPr>
        <w:ind w:left="720" w:hanging="360"/>
        <w:rPr>
          <w:u w:val="none"/>
        </w:rPr>
      </w:pPr>
      <w:r w:rsidDel="00000000" w:rsidR="00000000" w:rsidRPr="00000000">
        <w:rPr>
          <w:b w:val="1"/>
          <w:bCs w:val="1"/>
          <w:rtl w:val="0"/>
        </w:rPr>
        <w:t xml:space="preserve">Guion del Instructor:</w:t>
      </w:r>
      <w:r w:rsidDel="00000000" w:rsidR="00000000" w:rsidRPr="00000000">
        <w:rPr>
          <w:rtl w:val="0"/>
        </w:rPr>
        <w:t xml:space="preserve">  "Es hora de aplicar ingeniería sobre el dato. Vamos a transformar 10,000 registros de telemetría en una herramienta de soporte a la decisión. Calcularemos el desgaste promedio de herramienta considerando solo las máquinas que operan bajo estrés térmico".</w:t>
      </w:r>
    </w:p>
    <w:p w:rsidR="00000000" w:rsidDel="00000000" w:rsidP="00000000" w:rsidRDefault="00000000" w:rsidRPr="00000000" w14:paraId="0000007F">
      <w:pPr>
        <w:numPr>
          <w:ilvl w:val="0"/>
          <w:numId w:val="2"/>
        </w:numPr>
        <w:ind w:left="720" w:hanging="360"/>
        <w:rPr>
          <w:b w:val="1"/>
          <w:bCs w:val="1"/>
        </w:rPr>
      </w:pPr>
      <w:r w:rsidDel="00000000" w:rsidR="00000000" w:rsidRPr="00000000">
        <w:rPr>
          <w:b w:val="1"/>
          <w:bCs w:val="1"/>
          <w:rtl w:val="0"/>
        </w:rPr>
        <w:t xml:space="preserve">Instrucciones de la Actividad:</w:t>
      </w:r>
    </w:p>
    <w:p w:rsidR="00000000" w:rsidDel="00000000" w:rsidP="00000000" w:rsidRDefault="00000000" w:rsidRPr="00000000" w14:paraId="00000080">
      <w:pPr>
        <w:numPr>
          <w:ilvl w:val="0"/>
          <w:numId w:val="2"/>
        </w:numPr>
        <w:ind w:left="720" w:hanging="360"/>
        <w:rPr>
          <w:u w:val="none"/>
        </w:rPr>
      </w:pPr>
      <w:r w:rsidDel="00000000" w:rsidR="00000000" w:rsidRPr="00000000">
        <w:rPr>
          <w:rtl w:val="0"/>
        </w:rPr>
        <w:t xml:space="preserve">Importar el dataset AI4I 2020 y parametrizar la ruta de origen.</w:t>
      </w:r>
    </w:p>
    <w:p w:rsidR="00000000" w:rsidDel="00000000" w:rsidP="00000000" w:rsidRDefault="00000000" w:rsidRPr="00000000" w14:paraId="00000081">
      <w:pPr>
        <w:numPr>
          <w:ilvl w:val="0"/>
          <w:numId w:val="2"/>
        </w:numPr>
        <w:ind w:left="720" w:hanging="360"/>
        <w:rPr>
          <w:u w:val="none"/>
        </w:rPr>
      </w:pPr>
      <w:r w:rsidDel="00000000" w:rsidR="00000000" w:rsidRPr="00000000">
        <w:rPr>
          <w:rtl w:val="0"/>
        </w:rPr>
        <w:t xml:space="preserve">En Power Query, asegurar que Tool wear min y Torque Nm sean tipos numéricos correctos.</w:t>
      </w:r>
    </w:p>
    <w:p w:rsidR="00000000" w:rsidDel="00000000" w:rsidP="00000000" w:rsidRDefault="00000000" w:rsidRPr="00000000" w14:paraId="00000082">
      <w:pPr>
        <w:numPr>
          <w:ilvl w:val="0"/>
          <w:numId w:val="2"/>
        </w:numPr>
        <w:ind w:left="720" w:hanging="360"/>
        <w:rPr>
          <w:u w:val="none"/>
        </w:rPr>
      </w:pPr>
      <w:r w:rsidDel="00000000" w:rsidR="00000000" w:rsidRPr="00000000">
        <w:rPr>
          <w:rtl w:val="0"/>
        </w:rPr>
        <w:t xml:space="preserve">Diseñar un esquema en estrella separando el Type de producto y el estado de Machine failure.</w:t>
      </w:r>
    </w:p>
    <w:p w:rsidR="00000000" w:rsidDel="00000000" w:rsidP="00000000" w:rsidRDefault="00000000" w:rsidRPr="00000000" w14:paraId="00000083">
      <w:pPr>
        <w:numPr>
          <w:ilvl w:val="0"/>
          <w:numId w:val="2"/>
        </w:numPr>
        <w:ind w:left="720" w:hanging="360"/>
        <w:rPr>
          <w:u w:val="none"/>
        </w:rPr>
      </w:pPr>
      <w:r w:rsidDel="00000000" w:rsidR="00000000" w:rsidRPr="00000000">
        <w:rPr>
          <w:rtl w:val="0"/>
        </w:rPr>
        <w:t xml:space="preserve">Crear una medida DAX con AVERAGEX para calcular el promedio de Tool wear min evaluado fila por fila solo para casos donde Air temperature K &gt; 300.</w:t>
      </w:r>
    </w:p>
    <w:p w:rsidR="00000000" w:rsidDel="00000000" w:rsidP="00000000" w:rsidRDefault="00000000" w:rsidRPr="00000000" w14:paraId="00000084">
      <w:pPr>
        <w:numPr>
          <w:ilvl w:val="0"/>
          <w:numId w:val="2"/>
        </w:numPr>
        <w:ind w:left="720" w:hanging="360"/>
        <w:rPr>
          <w:u w:val="none"/>
        </w:rPr>
      </w:pPr>
      <w:r w:rsidDel="00000000" w:rsidR="00000000" w:rsidRPr="00000000">
        <w:rPr>
          <w:b w:val="1"/>
          <w:bCs w:val="1"/>
          <w:rtl w:val="0"/>
        </w:rPr>
        <w:t xml:space="preserve">Analogía:</w:t>
      </w:r>
      <w:r w:rsidDel="00000000" w:rsidR="00000000" w:rsidRPr="00000000">
        <w:rPr>
          <w:rtl w:val="0"/>
        </w:rPr>
        <w:t xml:space="preserve">  Esta actividad es nuestro "banco de pruebas" o laboratorio de materiales, donde validaremos que nuestra estructura lógica soporte la carga de los datos industriales.</w:t>
      </w:r>
    </w:p>
    <w:p w:rsidR="00000000" w:rsidDel="00000000" w:rsidP="00000000" w:rsidRDefault="00000000" w:rsidRPr="00000000" w14:paraId="00000085">
      <w:pPr>
        <w:numPr>
          <w:ilvl w:val="0"/>
          <w:numId w:val="2"/>
        </w:numPr>
        <w:ind w:left="720" w:hanging="360"/>
        <w:rPr>
          <w:u w:val="none"/>
        </w:rPr>
      </w:pPr>
      <w:r w:rsidDel="00000000" w:rsidR="00000000" w:rsidRPr="00000000">
        <w:rPr>
          <w:b w:val="1"/>
          <w:bCs w:val="1"/>
          <w:rtl w:val="0"/>
        </w:rPr>
        <w:t xml:space="preserve">Pregunta para el foro:</w:t>
      </w:r>
      <w:r w:rsidDel="00000000" w:rsidR="00000000" w:rsidRPr="00000000">
        <w:rPr>
          <w:rtl w:val="0"/>
        </w:rPr>
        <w:t xml:space="preserve">  "Tras realizar el ejercicio, ¿qué insight sobre el desgaste de herramienta les sorprendió más al cruzarlo con el tipo de producto (L, M, H)?"</w:t>
      </w:r>
    </w:p>
    <w:p w:rsidR="00000000" w:rsidDel="00000000" w:rsidP="00000000" w:rsidRDefault="00000000" w:rsidRPr="00000000" w14:paraId="00000086">
      <w:pPr>
        <w:numPr>
          <w:ilvl w:val="0"/>
          <w:numId w:val="2"/>
        </w:numPr>
        <w:ind w:left="720" w:hanging="360"/>
        <w:rPr>
          <w:u w:val="none"/>
        </w:rPr>
      </w:pPr>
      <w:r w:rsidDel="00000000" w:rsidR="00000000" w:rsidRPr="00000000">
        <w:rPr>
          <w:b w:val="1"/>
          <w:bCs w:val="1"/>
          <w:rtl w:val="0"/>
        </w:rPr>
        <w:t xml:space="preserve">Riesgo a mitigar:</w:t>
      </w:r>
      <w:r w:rsidDel="00000000" w:rsidR="00000000" w:rsidRPr="00000000">
        <w:rPr>
          <w:rtl w:val="0"/>
        </w:rPr>
        <w:t xml:space="preserve">  Generar falsos positivos en la predicción de fallas por no realizar una limpieza adecuada de valores atípicos (outliers) en las temperaturas de proceso.</w:t>
      </w:r>
    </w:p>
    <w:p w:rsidR="00000000" w:rsidDel="00000000" w:rsidP="00000000" w:rsidRDefault="00000000" w:rsidRPr="00000000" w14:paraId="00000087">
      <w:pPr>
        <w:numPr>
          <w:ilvl w:val="0"/>
          <w:numId w:val="2"/>
        </w:numPr>
        <w:ind w:left="720" w:hanging="360"/>
        <w:rPr>
          <w:u w:val="none"/>
        </w:rPr>
      </w:pPr>
      <w:r w:rsidDel="00000000" w:rsidR="00000000" w:rsidRPr="00000000">
        <w:rPr>
          <w:b w:val="1"/>
          <w:bCs w:val="1"/>
          <w:rtl w:val="0"/>
        </w:rPr>
        <w:t xml:space="preserve">Cita de Autoridad:</w:t>
      </w:r>
      <w:r w:rsidDel="00000000" w:rsidR="00000000" w:rsidRPr="00000000">
        <w:rPr>
          <w:rtl w:val="0"/>
        </w:rPr>
        <w:t xml:space="preserve">  Referencia al "AI4I 2020 Predictive Maintenance Dataset - UCI Machine Learning Repository".</w:t>
      </w:r>
    </w:p>
    <w:p w:rsidR="00000000" w:rsidDel="00000000" w:rsidP="00000000" w:rsidRDefault="00000000" w:rsidRPr="00000000" w14:paraId="00000088">
      <w:pPr>
        <w:numPr>
          <w:ilvl w:val="0"/>
          <w:numId w:val="2"/>
        </w:numPr>
        <w:ind w:left="720" w:hanging="360"/>
        <w:rPr>
          <w:u w:val="none"/>
        </w:rPr>
      </w:pPr>
      <w:r w:rsidDel="00000000" w:rsidR="00000000" w:rsidRPr="00000000">
        <w:rPr>
          <w:b w:val="1"/>
          <w:bCs w:val="1"/>
          <w:rtl w:val="0"/>
        </w:rPr>
        <w:t xml:space="preserve">Cierre y Transición:</w:t>
      </w:r>
      <w:r w:rsidDel="00000000" w:rsidR="00000000" w:rsidRPr="00000000">
        <w:rPr>
          <w:rtl w:val="0"/>
        </w:rPr>
        <w:t xml:space="preserve">  "Excelente desempeño hoy. Hemos sentado las bases de la arquitectura analítica. En el próximo módulo, daremos el salto hacia la limpieza avanzada y el modelado de datos complejo con el lenguaje M".</w:t>
      </w:r>
    </w:p>
    <w:p w:rsidR="00000000" w:rsidDel="00000000" w:rsidP="00000000" w:rsidRDefault="00000000" w:rsidRPr="00000000" w14:paraId="0000008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