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1.jpeg" ContentType="image/jpeg"/>
  <Override PartName="/word/media/image4.jpeg" ContentType="image/jpeg"/>
  <Override PartName="/word/media/image8.jpeg" ContentType="image/jpeg"/>
  <Override PartName="/word/media/image12.png" ContentType="image/png"/>
  <Override PartName="/word/media/image9.jpeg" ContentType="image/jpeg"/>
  <Override PartName="/word/media/image2.png" ContentType="image/png"/>
  <Override PartName="/word/media/image6.jpeg" ContentType="image/jpeg"/>
  <Override PartName="/word/media/image10.jpeg" ContentType="image/jpeg"/>
  <Override PartName="/word/media/image3.jpeg" ContentType="image/jpeg"/>
  <Override PartName="/word/media/image1.png" ContentType="image/png"/>
  <Override PartName="/word/media/image5.png" ContentType="image/png"/>
  <Override PartName="/word/media/image7.jpeg" ContentType="image/jpeg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ind w:firstLine="720" w:left="5760" w:right="-341"/>
      </w:pPr>
      <w:bookmarkStart w:id="0" w:name="h.gjdgxs"/>
      <w:bookmarkStart w:id="1" w:name="h.gjdgxs"/>
      <w:bookmarkEnd w:id="1"/>
      <w:r>
        <w:rPr/>
      </w:r>
    </w:p>
    <w:p>
      <w:pPr>
        <w:pStyle w:val="style1"/>
      </w:pPr>
      <w:r>
        <w:rPr/>
        <w:t>Brief for graphic design services</w:t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Date of request:</w:t>
        <w:tab/>
        <w:t>31 Oct 2016</w:t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Approval:</w:t>
        <w:tab/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Consult:</w:t>
        <w:tab/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Notify:</w:t>
        <w:tab/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Due date:</w:t>
        <w:tab/>
      </w:r>
    </w:p>
    <w:p>
      <w:pPr>
        <w:pStyle w:val="style0"/>
        <w:shd w:fill="E6E6E6" w:val="clear"/>
        <w:tabs>
          <w:tab w:leader="none" w:pos="5104" w:val="left"/>
        </w:tabs>
        <w:ind w:hanging="2552" w:left="2552" w:right="0"/>
      </w:pPr>
      <w:r>
        <w:rPr/>
        <w:t>Delivery:</w:t>
        <w:tab/>
        <w:t>Send as [file type] via [Confluence/We Transfer/DropBox]</w:t>
      </w:r>
    </w:p>
    <w:p>
      <w:pPr>
        <w:pStyle w:val="style23"/>
      </w:pPr>
      <w:r>
        <w:rPr/>
      </w:r>
    </w:p>
    <w:p>
      <w:pPr>
        <w:pStyle w:val="style2"/>
        <w:numPr>
          <w:ilvl w:val="1"/>
          <w:numId w:val="1"/>
        </w:numPr>
      </w:pPr>
      <w:bookmarkStart w:id="2" w:name="h.rd1nq6y6mkpz"/>
      <w:bookmarkEnd w:id="2"/>
      <w:r>
        <w:rPr/>
        <w:t>Project goals:</w:t>
      </w:r>
    </w:p>
    <w:p>
      <w:pPr>
        <w:pStyle w:val="style25"/>
        <w:numPr>
          <w:ilvl w:val="0"/>
          <w:numId w:val="2"/>
        </w:numPr>
        <w:ind w:hanging="360" w:left="0" w:right="0"/>
      </w:pPr>
      <w:r>
        <w:rPr>
          <w:i w:val="false"/>
        </w:rPr>
        <w:t>Develop a logo for the website as a recognisable identity reflecting the work we do.</w:t>
      </w:r>
    </w:p>
    <w:p>
      <w:pPr>
        <w:pStyle w:val="style25"/>
        <w:ind w:hanging="360" w:left="0" w:right="0"/>
      </w:pPr>
      <w:r>
        <w:rPr/>
      </w:r>
    </w:p>
    <w:p>
      <w:pPr>
        <w:pStyle w:val="style2"/>
        <w:numPr>
          <w:ilvl w:val="1"/>
          <w:numId w:val="1"/>
        </w:numPr>
      </w:pPr>
      <w:bookmarkStart w:id="3" w:name="h.fw9muhchx62w"/>
      <w:bookmarkEnd w:id="3"/>
      <w:r>
        <w:rPr/>
        <w:t>Our audience</w:t>
      </w:r>
    </w:p>
    <w:p>
      <w:pPr>
        <w:pStyle w:val="style23"/>
        <w:numPr>
          <w:ilvl w:val="0"/>
          <w:numId w:val="22"/>
        </w:numPr>
        <w:ind w:hanging="360" w:left="0" w:right="0"/>
      </w:pPr>
      <w:r>
        <w:rPr/>
        <w:t xml:space="preserve">Biologists/bioinformaticians working in genomics who are more or less regularly using a genome browser (e.g. UCSC, Ensembl) for their analyses and studies. </w:t>
      </w:r>
    </w:p>
    <w:p>
      <w:pPr>
        <w:pStyle w:val="style23"/>
        <w:numPr>
          <w:ilvl w:val="0"/>
          <w:numId w:val="22"/>
        </w:numPr>
        <w:ind w:hanging="360" w:left="0" w:right="0"/>
      </w:pPr>
      <w:r>
        <w:rPr/>
        <w:br/>
      </w:r>
    </w:p>
    <w:p>
      <w:pPr>
        <w:pStyle w:val="style2"/>
        <w:numPr>
          <w:ilvl w:val="1"/>
          <w:numId w:val="1"/>
        </w:numPr>
      </w:pPr>
      <w:bookmarkStart w:id="4" w:name="h.iiriffonj2y"/>
      <w:bookmarkEnd w:id="4"/>
      <w:r>
        <w:rPr/>
        <w:t>Concepts to consider</w:t>
      </w:r>
    </w:p>
    <w:p>
      <w:pPr>
        <w:pStyle w:val="style23"/>
        <w:numPr>
          <w:ilvl w:val="0"/>
          <w:numId w:val="3"/>
        </w:numPr>
        <w:ind w:hanging="360" w:left="0" w:right="0"/>
      </w:pPr>
      <w:r>
        <w:rPr>
          <w:u w:val="single"/>
        </w:rPr>
        <w:t>Tree</w:t>
      </w:r>
      <w:r>
        <w:rPr/>
        <w:t xml:space="preserve"> of life</w:t>
      </w:r>
    </w:p>
    <w:p>
      <w:pPr>
        <w:pStyle w:val="style23"/>
        <w:numPr>
          <w:ilvl w:val="0"/>
          <w:numId w:val="3"/>
        </w:numPr>
        <w:ind w:hanging="360" w:left="0" w:right="0"/>
      </w:pPr>
      <w:r>
        <w:rPr>
          <w:u w:val="single"/>
        </w:rPr>
        <w:t>Linking</w:t>
      </w:r>
      <w:r>
        <w:rPr/>
        <w:t xml:space="preserve"> different types of data together</w:t>
      </w:r>
    </w:p>
    <w:p>
      <w:pPr>
        <w:pStyle w:val="style23"/>
        <w:numPr>
          <w:ilvl w:val="0"/>
          <w:numId w:val="3"/>
        </w:numPr>
        <w:ind w:hanging="360" w:left="0" w:right="0"/>
      </w:pPr>
      <w:r>
        <w:rPr>
          <w:u w:val="single"/>
        </w:rPr>
        <w:t>Genome</w:t>
      </w:r>
    </w:p>
    <w:p>
      <w:pPr>
        <w:pStyle w:val="style23"/>
        <w:numPr>
          <w:ilvl w:val="0"/>
          <w:numId w:val="3"/>
        </w:numPr>
        <w:ind w:hanging="360" w:left="0" w:right="0"/>
      </w:pPr>
      <w:r>
        <w:rPr/>
        <w:t xml:space="preserve">(For future: it might be helpful for Ensembl to make an Infographic to highlight our data and code - this might help us to highlight the parts of Ensembl that are most important to our users eg. this is pretty </w:t>
      </w:r>
      <w:hyperlink r:id="rId2">
        <w:r>
          <w:rPr>
            <w:rStyle w:val="style17"/>
            <w:color w:val="1155CC"/>
            <w:u w:val="single"/>
          </w:rPr>
          <w:t>http://ec.europa.eu/maritimeaffairs/policy/blue_growth/infographics/</w:t>
        </w:r>
      </w:hyperlink>
      <w:r>
        <w:rPr/>
        <w:t xml:space="preserve"> )</w:t>
      </w:r>
    </w:p>
    <w:p>
      <w:pPr>
        <w:pStyle w:val="style2"/>
        <w:numPr>
          <w:ilvl w:val="1"/>
          <w:numId w:val="1"/>
        </w:numPr>
      </w:pPr>
      <w:bookmarkStart w:id="5" w:name="h.p0pm53j44rgt"/>
      <w:bookmarkEnd w:id="5"/>
      <w:r>
        <w:rPr/>
        <w:t>Use cases</w:t>
      </w:r>
    </w:p>
    <w:p>
      <w:pPr>
        <w:pStyle w:val="style23"/>
        <w:numPr>
          <w:ilvl w:val="0"/>
          <w:numId w:val="23"/>
        </w:numPr>
        <w:ind w:hanging="360" w:left="0" w:right="0"/>
      </w:pPr>
      <w:r>
        <w:rPr/>
        <w:t>Ensembl websites incl. rest.ensembl.org</w:t>
      </w:r>
    </w:p>
    <w:p>
      <w:pPr>
        <w:sectPr>
          <w:headerReference r:id="rId3" w:type="first"/>
          <w:footerReference r:id="rId4" w:type="first"/>
          <w:type w:val="nextPage"/>
          <w:pgSz w:h="16838" w:w="11906"/>
          <w:pgMar w:bottom="755" w:footer="698" w:gutter="0" w:header="698" w:left="1701" w:right="1701" w:top="755"/>
          <w:pgNumType w:fmt="decimal"/>
          <w:formProt w:val="false"/>
          <w:titlePg/>
          <w:textDirection w:val="lrTb"/>
          <w:docGrid w:charSpace="0" w:linePitch="240" w:type="default"/>
        </w:sectPr>
        <w:pStyle w:val="style23"/>
        <w:numPr>
          <w:ilvl w:val="0"/>
          <w:numId w:val="23"/>
        </w:numPr>
        <w:ind w:hanging="360" w:left="0" w:right="0"/>
      </w:pPr>
      <w:r>
        <w:rPr/>
        <w:t>EMBl-EBI website</w:t>
      </w:r>
    </w:p>
    <w:p>
      <w:pPr>
        <w:sectPr>
          <w:headerReference r:id="rId5" w:type="default"/>
          <w:footerReference r:id="rId6" w:type="default"/>
          <w:type w:val="nextPage"/>
          <w:pgSz w:h="16838" w:w="11906"/>
          <w:pgMar w:bottom="1418" w:footer="720" w:gutter="0" w:header="720" w:left="1701" w:right="1701" w:top="1418"/>
          <w:pgNumType w:fmt="decimal"/>
          <w:formProt w:val="false"/>
          <w:textDirection w:val="lrTb"/>
          <w:docGrid w:charSpace="0" w:linePitch="240" w:type="default"/>
        </w:sectPr>
        <w:pStyle w:val="style23"/>
        <w:numPr>
          <w:ilvl w:val="0"/>
          <w:numId w:val="23"/>
        </w:numPr>
        <w:ind w:hanging="360" w:left="0" w:right="0"/>
      </w:pPr>
      <w:r>
        <w:rPr/>
        <w:t>External website GitHub</w:t>
      </w:r>
    </w:p>
    <w:p>
      <w:pPr>
        <w:pStyle w:val="style23"/>
        <w:numPr>
          <w:ilvl w:val="0"/>
          <w:numId w:val="23"/>
        </w:numPr>
        <w:ind w:hanging="360" w:left="0" w:right="0"/>
      </w:pPr>
      <w:r>
        <w:rPr/>
        <w:t>Twitter</w:t>
      </w:r>
    </w:p>
    <w:p>
      <w:pPr>
        <w:pStyle w:val="style23"/>
        <w:numPr>
          <w:ilvl w:val="0"/>
          <w:numId w:val="23"/>
        </w:numPr>
        <w:ind w:hanging="360" w:left="0" w:right="0"/>
      </w:pPr>
      <w:r>
        <w:rPr/>
        <w:t>Facebook</w:t>
      </w:r>
    </w:p>
    <w:p>
      <w:pPr>
        <w:pStyle w:val="style23"/>
        <w:numPr>
          <w:ilvl w:val="0"/>
          <w:numId w:val="23"/>
        </w:numPr>
        <w:ind w:hanging="360" w:left="0" w:right="0"/>
      </w:pPr>
      <w:r>
        <w:rPr/>
        <w:t>Scientific posters</w:t>
      </w:r>
    </w:p>
    <w:p>
      <w:pPr>
        <w:pStyle w:val="style23"/>
        <w:numPr>
          <w:ilvl w:val="0"/>
          <w:numId w:val="23"/>
        </w:numPr>
        <w:ind w:hanging="360" w:left="0" w:right="0"/>
      </w:pPr>
      <w:r>
        <w:rPr/>
        <w:t>Powerpoint presentations to a range of audiences eg. Wellcome Trust, scientists</w:t>
      </w:r>
    </w:p>
    <w:p>
      <w:pPr>
        <w:pStyle w:val="style2"/>
        <w:numPr>
          <w:ilvl w:val="1"/>
          <w:numId w:val="1"/>
        </w:numPr>
      </w:pPr>
      <w:bookmarkStart w:id="6" w:name="h.chbu0yqkdykx"/>
      <w:bookmarkEnd w:id="6"/>
      <w:r>
        <w:rPr/>
        <w:t>Formats:</w:t>
      </w:r>
    </w:p>
    <w:p>
      <w:pPr>
        <w:pStyle w:val="style23"/>
        <w:numPr>
          <w:ilvl w:val="0"/>
          <w:numId w:val="24"/>
        </w:numPr>
        <w:ind w:hanging="360" w:left="0" w:right="0"/>
      </w:pPr>
      <w:r>
        <w:rPr/>
        <w:t>Colour: blue and red are the main colours in our current logo</w:t>
      </w:r>
    </w:p>
    <w:p>
      <w:pPr>
        <w:pStyle w:val="style23"/>
        <w:numPr>
          <w:ilvl w:val="0"/>
          <w:numId w:val="24"/>
        </w:numPr>
        <w:ind w:hanging="360" w:left="0" w:right="0"/>
      </w:pPr>
      <w:r>
        <w:rPr/>
        <w:t>We currently don’t use a black-and-white logo ?</w:t>
        <w:br/>
      </w:r>
    </w:p>
    <w:p>
      <w:pPr>
        <w:pStyle w:val="style23"/>
      </w:pPr>
      <w:r>
        <w:rPr>
          <w:rFonts w:ascii="Helvetica Neue" w:cs="Helvetica Neue" w:eastAsia="Helvetica Neue" w:hAnsi="Helvetica Neue"/>
          <w:b/>
          <w:color w:val="205968"/>
          <w:sz w:val="26"/>
          <w:szCs w:val="26"/>
        </w:rPr>
        <w:t xml:space="preserve">How we want to be perceived 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Comprehensive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>
          <w:u w:val="single"/>
        </w:rPr>
        <w:t>High-quality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Trusted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User friendly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Useful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Easy to understand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>
          <w:u w:val="single"/>
        </w:rPr>
        <w:t>Stable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Reference resource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Enabling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Consistent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>
          <w:u w:val="single"/>
        </w:rPr>
        <w:t>Reliable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Infrastructure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Informatics / Data Science</w:t>
      </w:r>
    </w:p>
    <w:p>
      <w:pPr>
        <w:pStyle w:val="style23"/>
        <w:numPr>
          <w:ilvl w:val="0"/>
          <w:numId w:val="14"/>
        </w:numPr>
        <w:ind w:hanging="360" w:left="0" w:right="0"/>
      </w:pPr>
      <w:r>
        <w:rPr/>
        <w:t>Experts</w:t>
        <w:br/>
      </w:r>
    </w:p>
    <w:p>
      <w:pPr>
        <w:pStyle w:val="style2"/>
        <w:numPr>
          <w:ilvl w:val="1"/>
          <w:numId w:val="1"/>
        </w:numPr>
      </w:pPr>
      <w:bookmarkStart w:id="7" w:name="h.5q8n8tj9kfbx"/>
      <w:bookmarkEnd w:id="7"/>
      <w:r>
        <w:rPr/>
        <w:t>Our message</w:t>
      </w:r>
    </w:p>
    <w:p>
      <w:pPr>
        <w:pStyle w:val="style23"/>
        <w:numPr>
          <w:ilvl w:val="0"/>
          <w:numId w:val="4"/>
        </w:numPr>
        <w:ind w:hanging="360" w:left="0" w:right="0"/>
      </w:pPr>
      <w:r>
        <w:rPr/>
        <w:t xml:space="preserve">We are a </w:t>
      </w:r>
      <w:r>
        <w:rPr>
          <w:u w:val="single"/>
        </w:rPr>
        <w:t>reliable</w:t>
      </w:r>
      <w:r>
        <w:rPr/>
        <w:t xml:space="preserve"> resource of genome information</w:t>
      </w:r>
    </w:p>
    <w:p>
      <w:pPr>
        <w:pStyle w:val="style23"/>
        <w:numPr>
          <w:ilvl w:val="0"/>
          <w:numId w:val="4"/>
        </w:numPr>
        <w:ind w:hanging="360" w:left="0" w:right="0"/>
      </w:pPr>
      <w:r>
        <w:rPr/>
        <w:t xml:space="preserve">We are the go-to team for </w:t>
      </w:r>
      <w:r>
        <w:rPr>
          <w:u w:val="single"/>
        </w:rPr>
        <w:t>expertise</w:t>
      </w:r>
      <w:r>
        <w:rPr/>
        <w:t xml:space="preserve"> in genomic data management and exploration</w:t>
      </w:r>
    </w:p>
    <w:p>
      <w:pPr>
        <w:pStyle w:val="style23"/>
        <w:numPr>
          <w:ilvl w:val="0"/>
          <w:numId w:val="4"/>
        </w:numPr>
        <w:ind w:hanging="360" w:left="0" w:right="0"/>
      </w:pPr>
      <w:r>
        <w:rPr/>
        <w:t xml:space="preserve">We anticipate and respond to the needs of the </w:t>
      </w:r>
      <w:r>
        <w:rPr>
          <w:u w:val="single"/>
        </w:rPr>
        <w:t>genomics</w:t>
      </w:r>
      <w:r>
        <w:rPr/>
        <w:t xml:space="preserve"> community</w:t>
      </w:r>
    </w:p>
    <w:p>
      <w:pPr>
        <w:pStyle w:val="style23"/>
        <w:numPr>
          <w:ilvl w:val="0"/>
          <w:numId w:val="4"/>
        </w:numPr>
        <w:ind w:hanging="360" w:left="0" w:right="0"/>
      </w:pPr>
      <w:r>
        <w:rPr/>
        <w:t xml:space="preserve">We provide </w:t>
      </w:r>
      <w:r>
        <w:rPr>
          <w:u w:val="single"/>
        </w:rPr>
        <w:t>infrastructure</w:t>
      </w:r>
      <w:r>
        <w:rPr/>
        <w:t xml:space="preserve"> and information for you to do your science</w:t>
      </w:r>
    </w:p>
    <w:p>
      <w:pPr>
        <w:pStyle w:val="style2"/>
        <w:numPr>
          <w:ilvl w:val="1"/>
          <w:numId w:val="1"/>
        </w:numPr>
      </w:pPr>
      <w:bookmarkStart w:id="8" w:name="h.kpuck7431zdp"/>
      <w:bookmarkEnd w:id="8"/>
      <w:r>
        <w:rPr/>
        <w:t>Sub-brands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TreeFam (</w:t>
      </w:r>
      <w:hyperlink r:id="rId7">
        <w:r>
          <w:rPr>
            <w:rStyle w:val="style17"/>
            <w:color w:val="1155CC"/>
            <w:u w:val="single"/>
          </w:rPr>
          <w:t>http://www.treefam.org</w:t>
        </w:r>
      </w:hyperlink>
      <w:r>
        <w:rPr/>
        <w:t xml:space="preserve">) 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Ensembl-Genomes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GENCODE (</w:t>
      </w:r>
      <w:hyperlink r:id="rId8">
        <w:r>
          <w:rPr>
            <w:rStyle w:val="style17"/>
            <w:color w:val="1155CC"/>
            <w:u w:val="single"/>
          </w:rPr>
          <w:t>http://www.gencodegenes.org</w:t>
        </w:r>
      </w:hyperlink>
      <w:r>
        <w:rPr/>
        <w:t>)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Ensembl VEP (</w:t>
      </w:r>
      <w:hyperlink r:id="rId9">
        <w:r>
          <w:rPr>
            <w:rStyle w:val="style17"/>
            <w:color w:val="1155CC"/>
            <w:u w:val="single"/>
          </w:rPr>
          <w:t>http://www.ensembl.org/info/docs/tools/vep/index.html</w:t>
        </w:r>
      </w:hyperlink>
      <w:r>
        <w:rPr/>
        <w:t>)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Ensembl Preview site (http://pre.ensembl.org/index.html)</w:t>
        <w:br/>
      </w:r>
    </w:p>
    <w:p>
      <w:pPr>
        <w:pStyle w:val="style2"/>
        <w:numPr>
          <w:ilvl w:val="1"/>
          <w:numId w:val="1"/>
        </w:numPr>
      </w:pPr>
      <w:bookmarkStart w:id="9" w:name="h.5u3p2g3yskjh"/>
      <w:bookmarkEnd w:id="9"/>
      <w:r>
        <w:rPr/>
        <w:t>Visual associations</w:t>
      </w:r>
    </w:p>
    <w:p>
      <w:pPr>
        <w:pStyle w:val="style23"/>
        <w:numPr>
          <w:ilvl w:val="0"/>
          <w:numId w:val="11"/>
        </w:numPr>
        <w:ind w:hanging="360" w:left="0" w:right="0"/>
      </w:pPr>
      <w:r>
        <w:rPr/>
        <w:t>http://evogeneao.s3.amazonaws.com/assets/tree_of_life/tree-of-life_2000.jpg</w:t>
      </w:r>
    </w:p>
    <w:p>
      <w:pPr>
        <w:pStyle w:val="style2"/>
        <w:numPr>
          <w:ilvl w:val="1"/>
          <w:numId w:val="1"/>
        </w:numPr>
      </w:pPr>
      <w:bookmarkStart w:id="10" w:name="h.i74qbjm1x5v3"/>
      <w:bookmarkEnd w:id="10"/>
      <w:r>
        <w:rPr/>
        <w:t>Colour scheme</w:t>
      </w:r>
    </w:p>
    <w:p>
      <w:pPr>
        <w:pStyle w:val="style23"/>
      </w:pPr>
      <w:r>
        <w:rPr/>
        <w:t>What is your colour scheme now?</w:t>
      </w:r>
    </w:p>
    <w:p>
      <w:pPr>
        <w:pStyle w:val="style23"/>
        <w:numPr>
          <w:ilvl w:val="0"/>
          <w:numId w:val="15"/>
        </w:numPr>
        <w:ind w:hanging="360" w:left="0" w:right="0"/>
      </w:pPr>
      <w:r>
        <w:rPr/>
        <w:t>Blue and red</w:t>
      </w:r>
    </w:p>
    <w:p>
      <w:pPr>
        <w:pStyle w:val="style23"/>
      </w:pPr>
      <w:r>
        <w:rPr/>
        <w:t>What are the colour schemes of your partner sites?</w:t>
      </w:r>
    </w:p>
    <w:p>
      <w:pPr>
        <w:pStyle w:val="style23"/>
        <w:numPr>
          <w:ilvl w:val="0"/>
          <w:numId w:val="15"/>
        </w:numPr>
        <w:ind w:hanging="360" w:left="0" w:right="0"/>
      </w:pPr>
      <w:r>
        <w:rPr/>
        <w:t>Ensembl genomes has a variety of colour schemes: grey, purple, minty green, midnight blue, teal, mushroom (these may be changed, not required).</w:t>
      </w:r>
    </w:p>
    <w:p>
      <w:pPr>
        <w:pStyle w:val="style23"/>
      </w:pPr>
      <w:r>
        <w:rPr/>
        <w:t>What are the colour schemes of sites you would like your users to navigate to and from?</w:t>
      </w:r>
    </w:p>
    <w:p>
      <w:pPr>
        <w:pStyle w:val="style23"/>
        <w:numPr>
          <w:ilvl w:val="0"/>
          <w:numId w:val="15"/>
        </w:numPr>
        <w:ind w:hanging="360" w:left="0" w:right="0"/>
      </w:pPr>
      <w:r>
        <w:rPr/>
        <w:t xml:space="preserve">These are likely to be the UCSC site (genome.ucsc.edu - navy blue) and the EBI site.  </w:t>
      </w:r>
    </w:p>
    <w:p>
      <w:pPr>
        <w:pStyle w:val="style23"/>
      </w:pPr>
      <w:r>
        <w:rPr/>
        <w:t xml:space="preserve">Are there colours that are particularly meaningful to Ensembl? </w:t>
      </w:r>
    </w:p>
    <w:p>
      <w:pPr>
        <w:pStyle w:val="style23"/>
        <w:numPr>
          <w:ilvl w:val="0"/>
          <w:numId w:val="5"/>
        </w:numPr>
        <w:ind w:hanging="360" w:left="0" w:right="0"/>
      </w:pPr>
      <w:r>
        <w:rPr/>
        <w:t xml:space="preserve">No, not particularly. Aside from the red and blue in our current logo, our website is predominantly a white background with dark blue, pale blue, grey and yellow (but this may change if we re-design aspects of our website). </w:t>
        <w:br/>
        <w:br/>
        <w:t xml:space="preserve">The main area where we use colour for a special meaning is: eg. we colour genes differently depending on their function and quality eg. gold for the more confidently annotated genes. </w:t>
        <w:br/>
        <w:br/>
        <w:t>We colour DNA mutations differently depending on their severity, we colour regulatory regions different depending on their function. No one colour has particular significance over another.</w:t>
      </w:r>
    </w:p>
    <w:p>
      <w:pPr>
        <w:pStyle w:val="style23"/>
      </w:pPr>
      <w:r>
        <w:rPr/>
        <w:t xml:space="preserve">Are there any colors we should avoid? </w:t>
      </w:r>
      <w:r>
        <w:rPr>
          <w:color w:val="205968"/>
        </w:rPr>
        <w:t xml:space="preserve"> </w:t>
      </w:r>
    </w:p>
    <w:p>
      <w:pPr>
        <w:pStyle w:val="style23"/>
        <w:numPr>
          <w:ilvl w:val="0"/>
          <w:numId w:val="13"/>
        </w:numPr>
        <w:ind w:hanging="360" w:left="0" w:right="0"/>
      </w:pPr>
      <w:r>
        <w:rPr/>
        <w:t>Muted colours</w:t>
      </w:r>
      <w:r>
        <w:rPr>
          <w:color w:val="205968"/>
        </w:rPr>
        <w:br/>
      </w:r>
    </w:p>
    <w:p>
      <w:pPr>
        <w:pStyle w:val="style2"/>
        <w:numPr>
          <w:ilvl w:val="1"/>
          <w:numId w:val="1"/>
        </w:numPr>
      </w:pPr>
      <w:bookmarkStart w:id="11" w:name="h.lr1rr9g5j180"/>
      <w:bookmarkStart w:id="12" w:name="h.lr1rr9g5j180"/>
      <w:bookmarkEnd w:id="12"/>
      <w:r>
        <w:rPr/>
      </w:r>
    </w:p>
    <w:p>
      <w:pPr>
        <w:pStyle w:val="style2"/>
        <w:numPr>
          <w:ilvl w:val="1"/>
          <w:numId w:val="1"/>
        </w:numPr>
      </w:pPr>
      <w:bookmarkStart w:id="13" w:name="h.kse6up6mbgxn"/>
      <w:bookmarkEnd w:id="13"/>
      <w:r>
        <w:rPr/>
        <w:t>Examples of good logos we like - from anywhere not just bioinformatics</w:t>
      </w:r>
    </w:p>
    <w:p>
      <w:pPr>
        <w:pStyle w:val="style3"/>
        <w:numPr>
          <w:ilvl w:val="2"/>
          <w:numId w:val="1"/>
        </w:numPr>
      </w:pPr>
      <w:bookmarkStart w:id="14" w:name="h.l3x0mhp3oiln"/>
      <w:bookmarkEnd w:id="14"/>
      <w:r>
        <w:rPr/>
        <w:t>Logos that are visually appealing and clear</w:t>
      </w:r>
    </w:p>
    <w:p>
      <w:pPr>
        <w:pStyle w:val="style23"/>
        <w:numPr>
          <w:ilvl w:val="0"/>
          <w:numId w:val="6"/>
        </w:numPr>
        <w:ind w:hanging="360" w:left="0" w:right="0"/>
      </w:pPr>
      <w:r>
        <w:rPr/>
        <w:t>“</w:t>
      </w:r>
      <w:r>
        <w:rPr/>
        <w:t xml:space="preserve">nice and clean but with an obvious DNA thing going on” - </w:t>
      </w:r>
      <w:hyperlink r:id="rId10">
        <w:r>
          <w:rPr>
            <w:rStyle w:val="style17"/>
            <w:color w:val="1155CC"/>
            <w:u w:val="single"/>
          </w:rPr>
          <w:t>https://www.ebi.ac.uk/metagenomics/</w:t>
        </w:r>
      </w:hyperlink>
      <w:r>
        <w:rPr/>
        <w:t xml:space="preserve"> logo</w:t>
      </w:r>
    </w:p>
    <w:p>
      <w:pPr>
        <w:pStyle w:val="style23"/>
        <w:numPr>
          <w:ilvl w:val="0"/>
          <w:numId w:val="6"/>
        </w:numPr>
        <w:ind w:hanging="360" w:left="0" w:right="0"/>
      </w:pPr>
      <w:r>
        <w:rPr/>
        <w:t>“</w:t>
      </w:r>
      <w:r>
        <w:rPr/>
        <w:t xml:space="preserve">again, it's clean but the link to different bugs is nice and obvious” - </w:t>
      </w:r>
      <w:hyperlink r:id="rId11">
        <w:r>
          <w:rPr>
            <w:rStyle w:val="style17"/>
            <w:color w:val="1155CC"/>
            <w:u w:val="single"/>
          </w:rPr>
          <w:t>http://justcreative.com/wp-content/uploads/2009/07/wwflogo.gif</w:t>
        </w:r>
      </w:hyperlink>
    </w:p>
    <w:p>
      <w:pPr>
        <w:pStyle w:val="style3"/>
        <w:numPr>
          <w:ilvl w:val="2"/>
          <w:numId w:val="1"/>
        </w:numPr>
      </w:pPr>
      <w:bookmarkStart w:id="15" w:name="h.icloqmx2fr4d"/>
      <w:bookmarkEnd w:id="15"/>
      <w:r>
        <w:rPr/>
        <w:t>Logos that are “simple and to the point”</w:t>
      </w:r>
    </w:p>
    <w:p>
      <w:pPr>
        <w:pStyle w:val="style23"/>
        <w:numPr>
          <w:ilvl w:val="0"/>
          <w:numId w:val="25"/>
        </w:numPr>
        <w:ind w:hanging="360" w:left="0" w:right="0"/>
      </w:pPr>
      <w:r>
        <w:rPr/>
        <w:t>New York Genome Center:</w:t>
      </w:r>
      <w:hyperlink r:id="rId12">
        <w:r>
          <w:rPr>
            <w:rStyle w:val="style17"/>
          </w:rPr>
          <w:t xml:space="preserve"> </w:t>
        </w:r>
      </w:hyperlink>
      <w:hyperlink r:id="rId13">
        <w:r>
          <w:rPr>
            <w:rStyle w:val="style17"/>
            <w:color w:val="1155CC"/>
            <w:u w:val="single"/>
          </w:rPr>
          <w:t>http://www.nygenome.org</w:t>
        </w:r>
      </w:hyperlink>
    </w:p>
    <w:p>
      <w:pPr>
        <w:pStyle w:val="style23"/>
        <w:numPr>
          <w:ilvl w:val="0"/>
          <w:numId w:val="25"/>
        </w:numPr>
        <w:ind w:hanging="360" w:left="0" w:right="0"/>
      </w:pPr>
      <w:r>
        <w:rPr/>
        <w:t>JGI:</w:t>
      </w:r>
      <w:hyperlink r:id="rId14">
        <w:r>
          <w:rPr>
            <w:rStyle w:val="style17"/>
          </w:rPr>
          <w:t xml:space="preserve"> </w:t>
        </w:r>
      </w:hyperlink>
      <w:hyperlink r:id="rId15">
        <w:r>
          <w:rPr>
            <w:rStyle w:val="style17"/>
            <w:color w:val="1155CC"/>
            <w:u w:val="single"/>
          </w:rPr>
          <w:t>http://jgi.doe.gov</w:t>
        </w:r>
      </w:hyperlink>
    </w:p>
    <w:p>
      <w:pPr>
        <w:pStyle w:val="style3"/>
        <w:numPr>
          <w:ilvl w:val="2"/>
          <w:numId w:val="1"/>
        </w:numPr>
      </w:pPr>
      <w:bookmarkStart w:id="16" w:name="h.9dg31tldbmhq"/>
      <w:bookmarkEnd w:id="16"/>
      <w:r>
        <w:rPr/>
        <w:t>A logo that we just think is exciting and tied to genomics</w:t>
      </w:r>
    </w:p>
    <w:p>
      <w:pPr>
        <w:pStyle w:val="style23"/>
        <w:numPr>
          <w:ilvl w:val="0"/>
          <w:numId w:val="8"/>
        </w:numPr>
        <w:ind w:hanging="360" w:left="0" w:right="0"/>
      </w:pPr>
      <w:r>
        <w:rPr/>
        <w:t>SMBE meeting 2017 in Austin Texas</w:t>
      </w:r>
    </w:p>
    <w:p>
      <w:pPr>
        <w:pStyle w:val="style23"/>
      </w:pPr>
      <w:r>
        <w:rPr/>
        <w:drawing>
          <wp:inline distB="0" distL="0" distR="0" distT="0">
            <wp:extent cx="2139950" cy="16567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3"/>
        <w:numPr>
          <w:ilvl w:val="2"/>
          <w:numId w:val="1"/>
        </w:numPr>
      </w:pPr>
      <w:bookmarkStart w:id="17" w:name="h.co3oip1vior9"/>
      <w:bookmarkEnd w:id="17"/>
      <w:r>
        <w:rPr/>
        <w:t>Logos that feature a letter</w:t>
      </w:r>
    </w:p>
    <w:p>
      <w:pPr>
        <w:pStyle w:val="style23"/>
        <w:numPr>
          <w:ilvl w:val="0"/>
          <w:numId w:val="10"/>
        </w:numPr>
        <w:ind w:hanging="360" w:left="0" w:right="0"/>
      </w:pPr>
      <w:r>
        <w:rPr/>
        <w:t xml:space="preserve">Queens’ Awards for Enterprise: A logo that feels inspirational with the wings. In fact it looks like the Ensembl font. </w:t>
      </w:r>
    </w:p>
    <w:p>
      <w:pPr>
        <w:pStyle w:val="style23"/>
      </w:pPr>
      <w:r>
        <w:rPr/>
        <w:drawing>
          <wp:inline distB="0" distL="0" distR="0" distT="0">
            <wp:extent cx="1884680" cy="1381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20"/>
        </w:numPr>
        <w:ind w:hanging="360" w:left="0" w:right="0"/>
      </w:pPr>
      <w:r>
        <w:rPr/>
        <w:t>Thomson logo: If you know that the brand is about booking holidays to make you happy, then the logo ties in well with using both a letter ‘T’ and a smiley face</w:t>
      </w:r>
    </w:p>
    <w:p>
      <w:pPr>
        <w:pStyle w:val="style23"/>
      </w:pPr>
      <w:r>
        <w:rPr/>
        <w:drawing>
          <wp:inline distB="0" distL="0" distR="0" distT="0">
            <wp:extent cx="2239010" cy="5867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9"/>
        </w:numPr>
        <w:ind w:hanging="360" w:left="0" w:right="0"/>
      </w:pPr>
      <w:r>
        <w:rPr/>
        <w:t>Holiday Inn: An example of a simple, single-letter logo where the colour and font are distinctive enough to make it recognisable even without the words ‘holiday inn’</w:t>
      </w:r>
    </w:p>
    <w:p>
      <w:pPr>
        <w:pStyle w:val="style23"/>
      </w:pPr>
      <w:r>
        <w:rPr/>
        <w:drawing>
          <wp:inline distB="0" distL="0" distR="0" distT="0">
            <wp:extent cx="2419350" cy="18859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16"/>
        </w:numPr>
        <w:ind w:hanging="360" w:left="0" w:right="0"/>
      </w:pPr>
      <w:r>
        <w:rPr/>
        <w:t>Quicktime logo is another example of a simple, single-letter logo that is recognisable. The logo has both a ‘Q’ for the brand name and looks a bit like a clock.</w:t>
      </w:r>
    </w:p>
    <w:p>
      <w:pPr>
        <w:pStyle w:val="style23"/>
      </w:pPr>
      <w:r>
        <w:rPr/>
        <w:drawing>
          <wp:inline distB="0" distL="0" distR="0" distT="0">
            <wp:extent cx="1494790" cy="14947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"/>
        <w:numPr>
          <w:ilvl w:val="1"/>
          <w:numId w:val="1"/>
        </w:numPr>
      </w:pPr>
      <w:bookmarkStart w:id="18" w:name="h.hyvx8fibk8k0"/>
      <w:bookmarkEnd w:id="18"/>
      <w:r>
        <w:rPr/>
        <w:t>Examples of good logos we do not like</w:t>
      </w:r>
    </w:p>
    <w:p>
      <w:pPr>
        <w:pStyle w:val="style3"/>
        <w:numPr>
          <w:ilvl w:val="2"/>
          <w:numId w:val="1"/>
        </w:numPr>
      </w:pPr>
      <w:bookmarkStart w:id="19" w:name="h.o07zkq6ape8c"/>
      <w:bookmarkEnd w:id="19"/>
      <w:r>
        <w:rPr/>
        <w:t>Too busy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2"/>
        </w:numPr>
        <w:ind w:hanging="360" w:left="0" w:right="0"/>
      </w:pPr>
      <w:r>
        <w:rPr/>
        <w:t xml:space="preserve">UCSC project </w:t>
      </w:r>
      <w:hyperlink r:id="rId21">
        <w:r>
          <w:rPr>
            <w:rStyle w:val="style17"/>
            <w:color w:val="1155CC"/>
            <w:u w:val="single"/>
          </w:rPr>
          <w:t>https://cbse.soe.ucsc.edu/news/article/1780/picture/387</w:t>
        </w:r>
      </w:hyperlink>
    </w:p>
    <w:p>
      <w:pPr>
        <w:pStyle w:val="style23"/>
        <w:numPr>
          <w:ilvl w:val="0"/>
          <w:numId w:val="12"/>
        </w:numPr>
        <w:ind w:hanging="360" w:left="0" w:right="0"/>
      </w:pPr>
      <w:r>
        <w:rPr/>
        <w:t xml:space="preserve">EVA (sorry!) </w:t>
      </w:r>
      <w:hyperlink r:id="rId22">
        <w:r>
          <w:rPr>
            <w:rStyle w:val="style17"/>
            <w:color w:val="1155CC"/>
            <w:u w:val="single"/>
          </w:rPr>
          <w:t>http://www.ebi.ac.uk/eva/img/eva_logo.png</w:t>
        </w:r>
      </w:hyperlink>
    </w:p>
    <w:p>
      <w:pPr>
        <w:pStyle w:val="style23"/>
      </w:pPr>
      <w:r>
        <w:rPr/>
      </w:r>
    </w:p>
    <w:p>
      <w:pPr>
        <w:pStyle w:val="style3"/>
        <w:numPr>
          <w:ilvl w:val="2"/>
          <w:numId w:val="1"/>
        </w:numPr>
      </w:pPr>
      <w:bookmarkStart w:id="20" w:name="h.tfz5l283s7jj"/>
      <w:bookmarkStart w:id="21" w:name="h.tfz5l283s7jj"/>
      <w:bookmarkEnd w:id="21"/>
      <w:r>
        <w:rPr/>
      </w:r>
    </w:p>
    <w:p>
      <w:pPr>
        <w:pStyle w:val="style3"/>
        <w:numPr>
          <w:ilvl w:val="2"/>
          <w:numId w:val="1"/>
        </w:numPr>
      </w:pPr>
      <w:bookmarkStart w:id="22" w:name="h.7l2srcn85lri"/>
      <w:bookmarkStart w:id="23" w:name="h.7l2srcn85lri"/>
      <w:bookmarkEnd w:id="23"/>
      <w:r>
        <w:rPr/>
      </w:r>
    </w:p>
    <w:p>
      <w:pPr>
        <w:pStyle w:val="style3"/>
        <w:numPr>
          <w:ilvl w:val="2"/>
          <w:numId w:val="1"/>
        </w:numPr>
      </w:pPr>
      <w:bookmarkStart w:id="24" w:name="h.ku40ilfecvhk"/>
      <w:bookmarkStart w:id="25" w:name="h.ku40ilfecvhk"/>
      <w:bookmarkEnd w:id="25"/>
      <w:r>
        <w:rPr/>
      </w:r>
    </w:p>
    <w:p>
      <w:pPr>
        <w:pStyle w:val="style3"/>
        <w:numPr>
          <w:ilvl w:val="2"/>
          <w:numId w:val="1"/>
        </w:numPr>
      </w:pPr>
      <w:bookmarkStart w:id="26" w:name="h.r1b81npzczrj"/>
      <w:bookmarkEnd w:id="26"/>
      <w:r>
        <w:rPr/>
        <w:t>Aim is unclear</w:t>
      </w:r>
    </w:p>
    <w:p>
      <w:pPr>
        <w:pStyle w:val="style23"/>
        <w:numPr>
          <w:ilvl w:val="0"/>
          <w:numId w:val="7"/>
        </w:numPr>
        <w:ind w:hanging="360" w:left="0" w:right="0"/>
      </w:pPr>
      <w:r>
        <w:rPr/>
        <w:t>MuG (an EC project) logo:</w:t>
      </w:r>
    </w:p>
    <w:p>
      <w:pPr>
        <w:pStyle w:val="style23"/>
      </w:pPr>
      <w:r>
        <w:rPr/>
        <w:drawing>
          <wp:inline distB="0" distL="0" distR="0" distT="0">
            <wp:extent cx="1580515" cy="15805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  <w:t>“</w:t>
      </w:r>
      <w:r>
        <w:rPr/>
        <w:t>Dislike. Uses the helix, does wind around the nucleosome correctly. Though it's very unclear what the aim of the project is.”</w:t>
      </w:r>
    </w:p>
    <w:p>
      <w:pPr>
        <w:pStyle w:val="style3"/>
        <w:numPr>
          <w:ilvl w:val="2"/>
          <w:numId w:val="1"/>
        </w:numPr>
      </w:pPr>
      <w:bookmarkStart w:id="27" w:name="h.j2atspjm9z60"/>
      <w:bookmarkEnd w:id="27"/>
      <w:r>
        <w:rPr/>
        <w:t>Too ‘blurry’ or vague</w:t>
      </w:r>
    </w:p>
    <w:p>
      <w:pPr>
        <w:pStyle w:val="style23"/>
        <w:numPr>
          <w:ilvl w:val="0"/>
          <w:numId w:val="17"/>
        </w:numPr>
        <w:ind w:hanging="360" w:left="0" w:right="0"/>
      </w:pPr>
      <w:r>
        <w:rPr/>
        <w:t>McDonnell Genome Institute:</w:t>
      </w:r>
      <w:hyperlink r:id="rId24">
        <w:r>
          <w:rPr>
            <w:rStyle w:val="style17"/>
          </w:rPr>
          <w:t xml:space="preserve"> </w:t>
        </w:r>
      </w:hyperlink>
      <w:hyperlink r:id="rId25">
        <w:r>
          <w:rPr>
            <w:rStyle w:val="style17"/>
            <w:color w:val="1155CC"/>
            <w:u w:val="single"/>
          </w:rPr>
          <w:t>http://genome.wustl.edu</w:t>
        </w:r>
      </w:hyperlink>
    </w:p>
    <w:p>
      <w:pPr>
        <w:pStyle w:val="style23"/>
        <w:numPr>
          <w:ilvl w:val="0"/>
          <w:numId w:val="17"/>
        </w:numPr>
        <w:ind w:hanging="360" w:left="0" w:right="0"/>
      </w:pPr>
      <w:r>
        <w:rPr/>
        <w:t>Riken Institute:</w:t>
      </w:r>
      <w:hyperlink r:id="rId26">
        <w:r>
          <w:rPr>
            <w:rStyle w:val="style17"/>
          </w:rPr>
          <w:t xml:space="preserve"> </w:t>
        </w:r>
      </w:hyperlink>
      <w:hyperlink r:id="rId27">
        <w:r>
          <w:rPr>
            <w:rStyle w:val="style17"/>
            <w:color w:val="1155CC"/>
            <w:u w:val="single"/>
          </w:rPr>
          <w:t>www.riken.jp/en/</w:t>
        </w:r>
      </w:hyperlink>
    </w:p>
    <w:p>
      <w:pPr>
        <w:pStyle w:val="style23"/>
        <w:numPr>
          <w:ilvl w:val="0"/>
          <w:numId w:val="17"/>
        </w:numPr>
        <w:ind w:hanging="360" w:left="0" w:right="0"/>
      </w:pPr>
      <w:r>
        <w:rPr/>
        <w:t>Roslin Institute:</w:t>
      </w:r>
      <w:hyperlink r:id="rId28">
        <w:r>
          <w:rPr>
            <w:rStyle w:val="style17"/>
          </w:rPr>
          <w:t xml:space="preserve"> </w:t>
        </w:r>
      </w:hyperlink>
      <w:hyperlink r:id="rId29">
        <w:r>
          <w:rPr>
            <w:rStyle w:val="style17"/>
            <w:color w:val="1155CC"/>
            <w:u w:val="single"/>
          </w:rPr>
          <w:t>http://www.roslin.ed.ac.uk</w:t>
        </w:r>
      </w:hyperlink>
    </w:p>
    <w:p>
      <w:pPr>
        <w:pStyle w:val="style23"/>
        <w:numPr>
          <w:ilvl w:val="0"/>
          <w:numId w:val="17"/>
        </w:numPr>
        <w:ind w:hanging="360" w:left="0" w:right="0"/>
      </w:pPr>
      <w:r>
        <w:rPr/>
        <w:t>Baylor Human Genomes Sequencing Center:</w:t>
      </w:r>
      <w:hyperlink r:id="rId30">
        <w:r>
          <w:rPr>
            <w:rStyle w:val="style17"/>
          </w:rPr>
          <w:t xml:space="preserve"> </w:t>
        </w:r>
      </w:hyperlink>
      <w:hyperlink r:id="rId31">
        <w:r>
          <w:rPr>
            <w:rStyle w:val="style17"/>
            <w:color w:val="1155CC"/>
            <w:u w:val="single"/>
          </w:rPr>
          <w:t>https://www.hgsc.bcm.edu</w:t>
        </w:r>
      </w:hyperlink>
    </w:p>
    <w:p>
      <w:pPr>
        <w:pStyle w:val="style3"/>
        <w:numPr>
          <w:ilvl w:val="2"/>
          <w:numId w:val="1"/>
        </w:numPr>
      </w:pPr>
      <w:bookmarkStart w:id="28" w:name="h.6xru3a44hjop"/>
      <w:bookmarkEnd w:id="28"/>
      <w:r>
        <w:rPr/>
        <w:t>Too complicated</w:t>
      </w:r>
    </w:p>
    <w:p>
      <w:pPr>
        <w:pStyle w:val="style23"/>
        <w:numPr>
          <w:ilvl w:val="0"/>
          <w:numId w:val="18"/>
        </w:numPr>
        <w:ind w:hanging="360" w:left="0" w:right="0"/>
      </w:pPr>
      <w:r>
        <w:rPr/>
        <w:t>Virtual Physiological Human: Logo has a lot of good things - human, DNA, EU stars - but is too complicated</w:t>
      </w:r>
    </w:p>
    <w:p>
      <w:pPr>
        <w:pStyle w:val="style23"/>
      </w:pPr>
      <w:r>
        <w:rPr/>
        <w:drawing>
          <wp:inline distB="0" distL="0" distR="0" distT="0">
            <wp:extent cx="2088515" cy="12471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3"/>
        <w:numPr>
          <w:ilvl w:val="2"/>
          <w:numId w:val="1"/>
        </w:numPr>
      </w:pPr>
      <w:bookmarkStart w:id="29" w:name="h.8i5nnb4fnlr"/>
      <w:bookmarkStart w:id="30" w:name="h.8i5nnb4fnlr"/>
      <w:bookmarkEnd w:id="30"/>
      <w:r>
        <w:rPr/>
      </w:r>
    </w:p>
    <w:p>
      <w:pPr>
        <w:pStyle w:val="style23"/>
      </w:pPr>
      <w:r>
        <w:rPr/>
      </w:r>
    </w:p>
    <w:p>
      <w:pPr>
        <w:pStyle w:val="style3"/>
        <w:pageBreakBefore/>
        <w:numPr>
          <w:ilvl w:val="2"/>
          <w:numId w:val="1"/>
        </w:numPr>
      </w:pPr>
      <w:bookmarkStart w:id="31" w:name="h.6zrbl2t7f57r"/>
      <w:bookmarkStart w:id="32" w:name="h.6zrbl2t7f57r"/>
      <w:bookmarkEnd w:id="32"/>
      <w:r>
        <w:rPr/>
      </w:r>
    </w:p>
    <w:p>
      <w:pPr>
        <w:pStyle w:val="style3"/>
        <w:numPr>
          <w:ilvl w:val="2"/>
          <w:numId w:val="1"/>
        </w:numPr>
      </w:pPr>
      <w:bookmarkStart w:id="33" w:name="h.1df0s95y6l8o"/>
      <w:bookmarkEnd w:id="33"/>
      <w:r>
        <w:rPr/>
        <w:t>Too heavy</w:t>
      </w:r>
    </w:p>
    <w:p>
      <w:pPr>
        <w:pStyle w:val="style23"/>
        <w:numPr>
          <w:ilvl w:val="0"/>
          <w:numId w:val="9"/>
        </w:numPr>
        <w:ind w:hanging="360" w:left="0" w:right="0"/>
      </w:pPr>
      <w:r>
        <w:rPr/>
        <w:t>The grey ‘C’ logo is too heavy and industrial-looking</w:t>
      </w:r>
    </w:p>
    <w:p>
      <w:pPr>
        <w:pStyle w:val="style23"/>
      </w:pPr>
      <w:r>
        <w:rPr/>
        <w:drawing>
          <wp:inline distB="0" distL="0" distR="0" distT="0">
            <wp:extent cx="1743710" cy="14090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21"/>
        </w:numPr>
        <w:ind w:hanging="360" w:left="0" w:right="0"/>
      </w:pPr>
      <w:r>
        <w:rPr/>
        <w:t>Again, this ‘G’ logo is too heavy. Might work for an archive but ensembl is a value-add service and we want to appear more nimble</w:t>
      </w:r>
    </w:p>
    <w:p>
      <w:pPr>
        <w:pStyle w:val="style23"/>
      </w:pPr>
      <w:r>
        <w:rPr/>
        <w:drawing>
          <wp:inline distB="0" distL="0" distR="0" distT="0">
            <wp:extent cx="1371600" cy="1485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sectPr>
      <w:headerReference r:id="rId35" w:type="default"/>
      <w:footerReference r:id="rId36" w:type="default"/>
      <w:type w:val="nextPage"/>
      <w:pgSz w:h="16838" w:w="11906"/>
      <w:pgMar w:bottom="1418" w:footer="720" w:gutter="0" w:header="720" w:left="1701" w:right="1701" w:top="1418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EB Garamond">
    <w:charset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tabs>
        <w:tab w:leader="none" w:pos="3969" w:val="center"/>
        <w:tab w:leader="none" w:pos="8505" w:val="right"/>
      </w:tabs>
      <w:spacing w:after="200" w:before="240"/>
      <w:jc w:val="center"/>
    </w:pPr>
    <w:r>
      <w:rPr/>
    </w:r>
  </w:p>
  <w:p>
    <w:pPr>
      <w:pStyle w:val="style23"/>
      <w:tabs>
        <w:tab w:leader="none" w:pos="3969" w:val="center"/>
        <w:tab w:leader="none" w:pos="8505" w:val="right"/>
      </w:tabs>
      <w:spacing w:after="709" w:before="240"/>
      <w:jc w:val="center"/>
    </w:pPr>
    <w:r>
      <w:rPr>
        <w:rFonts w:ascii="Helvetica Neue" w:cs="Helvetica Neue" w:eastAsia="Helvetica Neue" w:hAnsi="Helvetica Neue"/>
        <w:color w:val="529A43"/>
        <w:sz w:val="17"/>
        <w:szCs w:val="17"/>
      </w:rPr>
      <w:t xml:space="preserve">European Bioinformatics Institute </w:t>
    </w:r>
    <w:r>
      <w:rPr>
        <w:rFonts w:ascii="Helvetica Neue" w:cs="Helvetica Neue" w:eastAsia="Helvetica Neue" w:hAnsi="Helvetica Neue"/>
        <w:sz w:val="17"/>
        <w:szCs w:val="17"/>
      </w:rPr>
      <w:t xml:space="preserve">(EMBL-EBI) | European Molecular Biology Laboratory | </w:t>
      <w:br/>
      <w:t xml:space="preserve">Wellcome Trust Genome Campus | Hinxton, Cambridge, CB10 1SD | United Kingdom </w:t>
      <w:br/>
      <w:t xml:space="preserve">Tel.: +44(0) 1223 494 444 | Website: </w:t>
    </w:r>
    <w:hyperlink r:id="rId1">
      <w:r>
        <w:rPr>
          <w:rStyle w:val="style17"/>
          <w:rFonts w:ascii="Helvetica Neue" w:cs="Helvetica Neue" w:eastAsia="Helvetica Neue" w:hAnsi="Helvetica Neue"/>
          <w:color w:val="205968"/>
          <w:sz w:val="17"/>
          <w:szCs w:val="17"/>
        </w:rPr>
        <w:t>http://www.ebi.ac.uk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tabs>
        <w:tab w:leader="none" w:pos="3969" w:val="center"/>
        <w:tab w:leader="none" w:pos="8505" w:val="right"/>
      </w:tabs>
      <w:spacing w:after="709" w:before="240"/>
      <w:jc w:val="center"/>
    </w:pPr>
    <w:r>
      <w:rPr>
        <w:rFonts w:ascii="Helvetica Neue" w:cs="Helvetica Neue" w:eastAsia="Helvetica Neue" w:hAnsi="Helvetica Neue"/>
        <w:sz w:val="18"/>
        <w:szCs w:val="18"/>
      </w:rPr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Fonts w:ascii="Helvetica Neue" w:cs="Helvetica Neue" w:eastAsia="Helvetica Neue" w:hAnsi="Helvetica Neue"/>
        <w:sz w:val="18"/>
        <w:szCs w:val="18"/>
      </w:rPr>
      <w:t xml:space="preserve"> of </w:t>
    </w:r>
    <w:r>
      <w:rPr/>
      <w:fldChar w:fldCharType="begin"/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-227965</wp:posOffset>
          </wp:positionH>
          <wp:positionV relativeFrom="line">
            <wp:posOffset>66675</wp:posOffset>
          </wp:positionV>
          <wp:extent cx="907415" cy="280670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8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tabs>
        <w:tab w:leader="none" w:pos="3969" w:val="center"/>
        <w:tab w:leader="none" w:pos="8505" w:val="right"/>
      </w:tabs>
      <w:spacing w:after="709" w:before="240"/>
      <w:jc w:val="center"/>
    </w:pPr>
    <w:r>
      <w:rPr>
        <w:rFonts w:ascii="Helvetica Neue" w:cs="Helvetica Neue" w:eastAsia="Helvetica Neue" w:hAnsi="Helvetica Neue"/>
        <w:sz w:val="18"/>
        <w:szCs w:val="18"/>
      </w:rPr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>
        <w:rFonts w:ascii="Helvetica Neue" w:cs="Helvetica Neue" w:eastAsia="Helvetica Neue" w:hAnsi="Helvetica Neue"/>
        <w:sz w:val="18"/>
        <w:szCs w:val="18"/>
      </w:rPr>
      <w:t xml:space="preserve"> of </w:t>
    </w:r>
    <w:r>
      <w:rPr/>
      <w:fldChar w:fldCharType="begin"/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-227965</wp:posOffset>
          </wp:positionH>
          <wp:positionV relativeFrom="line">
            <wp:posOffset>66675</wp:posOffset>
          </wp:positionV>
          <wp:extent cx="907415" cy="280670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415" cy="280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  <w:drawing>
        <wp:anchor allowOverlap="1" behindDoc="0" distB="0" distL="0" distR="0" distT="0" layoutInCell="1" locked="0" relativeHeight="0" simplePos="0">
          <wp:simplePos x="0" y="0"/>
          <wp:positionH relativeFrom="character">
            <wp:posOffset>3532505</wp:posOffset>
          </wp:positionH>
          <wp:positionV relativeFrom="line">
            <wp:posOffset>120650</wp:posOffset>
          </wp:positionV>
          <wp:extent cx="1790065" cy="553085"/>
          <wp:effectExtent b="0" l="0" r="0" t="0"/>
          <wp:wrapNone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065" cy="553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tabs>
        <w:tab w:leader="none" w:pos="3969" w:val="center"/>
        <w:tab w:leader="none" w:pos="8505" w:val="right"/>
      </w:tabs>
      <w:spacing w:after="200" w:before="709"/>
      <w:ind w:hanging="0" w:left="0" w:right="-908"/>
    </w:pPr>
    <w:r>
      <w:rPr>
        <w:rFonts w:ascii="Helvetica Neue" w:cs="Helvetica Neue" w:eastAsia="Helvetica Neue" w:hAnsi="Helvetica Neue"/>
        <w:sz w:val="20"/>
        <w:szCs w:val="20"/>
      </w:rPr>
      <w:tab/>
      <w:tab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  <w:tabs>
        <w:tab w:leader="none" w:pos="3969" w:val="center"/>
        <w:tab w:leader="none" w:pos="8505" w:val="right"/>
      </w:tabs>
      <w:spacing w:after="200" w:before="709"/>
      <w:ind w:hanging="0" w:left="0" w:right="-908"/>
    </w:pPr>
    <w:r>
      <w:rPr>
        <w:rFonts w:ascii="Helvetica Neue" w:cs="Helvetica Neue" w:eastAsia="Helvetica Neue" w:hAnsi="Helvetica Neue"/>
        <w:sz w:val="20"/>
        <w:szCs w:val="20"/>
      </w:rPr>
      <w:tab/>
      <w:tab/>
      <w:t xml:space="preserve"> 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hanging="-360" w:left="720"/>
      </w:pPr>
      <w:rPr>
        <w:rFonts w:ascii="OpenSymbol" w:cs="OpenSymbol" w:hAnsi="OpenSymbol" w:hint="default"/>
        <w:u w:val="none"/>
      </w:rPr>
    </w:lvl>
    <w:lvl w:ilvl="1">
      <w:start w:val="1"/>
      <w:numFmt w:val="bullet"/>
      <w:lvlText w:val="-"/>
      <w:lvlJc w:val="left"/>
      <w:pPr>
        <w:ind w:hanging="-1080" w:left="1440"/>
      </w:pPr>
      <w:rPr>
        <w:rFonts w:ascii="OpenSymbol" w:cs="OpenSymbol" w:hAnsi="OpenSymbol" w:hint="default"/>
        <w:u w:val="none"/>
      </w:rPr>
    </w:lvl>
    <w:lvl w:ilvl="2">
      <w:start w:val="1"/>
      <w:numFmt w:val="bullet"/>
      <w:lvlText w:val="-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-"/>
      <w:lvlJc w:val="left"/>
      <w:pPr>
        <w:ind w:hanging="-2520" w:left="2880"/>
      </w:pPr>
      <w:rPr>
        <w:rFonts w:ascii="OpenSymbol" w:cs="OpenSymbol" w:hAnsi="OpenSymbol" w:hint="default"/>
        <w:u w:val="none"/>
      </w:rPr>
    </w:lvl>
    <w:lvl w:ilvl="4">
      <w:start w:val="1"/>
      <w:numFmt w:val="bullet"/>
      <w:lvlText w:val="-"/>
      <w:lvlJc w:val="left"/>
      <w:pPr>
        <w:ind w:hanging="-3240" w:left="3600"/>
      </w:pPr>
      <w:rPr>
        <w:rFonts w:ascii="OpenSymbol" w:cs="OpenSymbol" w:hAnsi="OpenSymbol" w:hint="default"/>
        <w:u w:val="none"/>
      </w:rPr>
    </w:lvl>
    <w:lvl w:ilvl="5">
      <w:start w:val="1"/>
      <w:numFmt w:val="bullet"/>
      <w:lvlText w:val="-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-"/>
      <w:lvlJc w:val="left"/>
      <w:pPr>
        <w:ind w:hanging="-4680" w:left="5040"/>
      </w:pPr>
      <w:rPr>
        <w:rFonts w:ascii="OpenSymbol" w:cs="OpenSymbol" w:hAnsi="OpenSymbol" w:hint="default"/>
        <w:u w:val="none"/>
      </w:rPr>
    </w:lvl>
    <w:lvl w:ilvl="7">
      <w:start w:val="1"/>
      <w:numFmt w:val="bullet"/>
      <w:lvlText w:val="-"/>
      <w:lvlJc w:val="left"/>
      <w:pPr>
        <w:ind w:hanging="-5400" w:left="5760"/>
      </w:pPr>
      <w:rPr>
        <w:rFonts w:ascii="OpenSymbol" w:cs="OpenSymbol" w:hAnsi="OpenSymbol" w:hint="default"/>
        <w:u w:val="none"/>
      </w:rPr>
    </w:lvl>
    <w:lvl w:ilvl="8">
      <w:start w:val="1"/>
      <w:numFmt w:val="bullet"/>
      <w:lvlText w:val="-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/>
    </w:pPr>
    <w:rPr>
      <w:rFonts w:ascii="EB Garamond" w:cs="EB Garamond" w:eastAsia="EB Garamond" w:hAnsi="EB Garamond"/>
      <w:color w:val="auto"/>
      <w:sz w:val="24"/>
      <w:szCs w:val="24"/>
      <w:lang w:bidi="ar-SA" w:eastAsia="en-US" w:val="en-GB"/>
    </w:rPr>
  </w:style>
  <w:style w:styleId="style1" w:type="paragraph">
    <w:name w:val="Heading 1"/>
    <w:next w:val="style19"/>
    <w:pPr>
      <w:keepNext/>
      <w:keepLines/>
      <w:widowControl w:val="false"/>
      <w:tabs>
        <w:tab w:leader="none" w:pos="720" w:val="left"/>
      </w:tabs>
      <w:suppressAutoHyphens w:val="true"/>
      <w:spacing w:after="200" w:before="480"/>
    </w:pPr>
    <w:rPr>
      <w:rFonts w:ascii="Helvetica Neue" w:cs="Helvetica Neue" w:eastAsia="Helvetica Neue" w:hAnsi="Helvetica Neue"/>
      <w:b/>
      <w:color w:val="205968"/>
      <w:sz w:val="32"/>
      <w:szCs w:val="32"/>
      <w:lang w:bidi="ar-SA" w:eastAsia="en-US" w:val="en-GB"/>
    </w:rPr>
  </w:style>
  <w:style w:styleId="style2" w:type="paragraph">
    <w:name w:val="Heading 2"/>
    <w:next w:val="style19"/>
    <w:pPr>
      <w:keepNext/>
      <w:keepLines/>
      <w:widowControl w:val="false"/>
      <w:numPr>
        <w:ilvl w:val="1"/>
        <w:numId w:val="1"/>
      </w:numPr>
      <w:tabs>
        <w:tab w:leader="none" w:pos="720" w:val="left"/>
      </w:tabs>
      <w:suppressAutoHyphens w:val="true"/>
      <w:spacing w:after="200" w:before="200"/>
      <w:outlineLvl w:val="1"/>
    </w:pPr>
    <w:rPr>
      <w:rFonts w:ascii="Helvetica Neue" w:cs="Helvetica Neue" w:eastAsia="Helvetica Neue" w:hAnsi="Helvetica Neue"/>
      <w:b/>
      <w:color w:val="205968"/>
      <w:sz w:val="26"/>
      <w:szCs w:val="26"/>
      <w:lang w:bidi="ar-SA" w:eastAsia="en-US" w:val="en-GB"/>
    </w:rPr>
  </w:style>
  <w:style w:styleId="style3" w:type="paragraph">
    <w:name w:val="Heading 3"/>
    <w:next w:val="style19"/>
    <w:pPr>
      <w:keepNext/>
      <w:keepLines/>
      <w:widowControl w:val="false"/>
      <w:numPr>
        <w:ilvl w:val="2"/>
        <w:numId w:val="1"/>
      </w:numPr>
      <w:tabs>
        <w:tab w:leader="none" w:pos="720" w:val="left"/>
      </w:tabs>
      <w:suppressAutoHyphens w:val="true"/>
      <w:spacing w:after="0" w:before="200"/>
      <w:outlineLvl w:val="2"/>
    </w:pPr>
    <w:rPr>
      <w:rFonts w:ascii="Helvetica Neue" w:cs="Helvetica Neue" w:eastAsia="Helvetica Neue" w:hAnsi="Helvetica Neue"/>
      <w:b/>
      <w:color w:val="000000"/>
      <w:sz w:val="24"/>
      <w:szCs w:val="24"/>
      <w:lang w:bidi="ar-SA" w:eastAsia="en-US" w:val="en-GB"/>
    </w:rPr>
  </w:style>
  <w:style w:styleId="style4" w:type="paragraph">
    <w:name w:val="Heading 4"/>
    <w:next w:val="style19"/>
    <w:pPr>
      <w:keepNext/>
      <w:keepLines/>
      <w:widowControl w:val="false"/>
      <w:numPr>
        <w:ilvl w:val="3"/>
        <w:numId w:val="1"/>
      </w:numPr>
      <w:tabs>
        <w:tab w:leader="none" w:pos="720" w:val="left"/>
      </w:tabs>
      <w:suppressAutoHyphens w:val="true"/>
      <w:spacing w:after="0" w:before="200"/>
      <w:outlineLvl w:val="3"/>
    </w:pPr>
    <w:rPr>
      <w:rFonts w:ascii="Helvetica Neue" w:cs="Helvetica Neue" w:eastAsia="Helvetica Neue" w:hAnsi="Helvetica Neue"/>
      <w:i/>
      <w:color w:val="000000"/>
      <w:sz w:val="24"/>
      <w:szCs w:val="24"/>
      <w:lang w:bidi="ar-SA" w:eastAsia="en-US" w:val="en-GB"/>
    </w:rPr>
  </w:style>
  <w:style w:styleId="style5" w:type="paragraph">
    <w:name w:val="Heading 5"/>
    <w:next w:val="style19"/>
    <w:pPr>
      <w:keepNext/>
      <w:keepLines/>
      <w:widowControl w:val="false"/>
      <w:numPr>
        <w:ilvl w:val="4"/>
        <w:numId w:val="1"/>
      </w:numPr>
      <w:tabs>
        <w:tab w:leader="none" w:pos="720" w:val="left"/>
      </w:tabs>
      <w:suppressAutoHyphens w:val="true"/>
      <w:spacing w:after="0" w:before="200"/>
      <w:outlineLvl w:val="4"/>
    </w:pPr>
    <w:rPr>
      <w:rFonts w:ascii="Helvetica Neue" w:cs="Helvetica Neue" w:eastAsia="Helvetica Neue" w:hAnsi="Helvetica Neue"/>
      <w:color w:val="000000"/>
      <w:sz w:val="24"/>
      <w:szCs w:val="24"/>
      <w:lang w:bidi="ar-SA" w:eastAsia="en-US" w:val="en-GB"/>
    </w:rPr>
  </w:style>
  <w:style w:styleId="style6" w:type="paragraph">
    <w:name w:val="Heading 6"/>
    <w:next w:val="style19"/>
    <w:pPr>
      <w:keepNext/>
      <w:keepLines/>
      <w:widowControl w:val="false"/>
      <w:numPr>
        <w:ilvl w:val="5"/>
        <w:numId w:val="1"/>
      </w:numPr>
      <w:tabs>
        <w:tab w:leader="none" w:pos="720" w:val="left"/>
      </w:tabs>
      <w:suppressAutoHyphens w:val="true"/>
      <w:spacing w:after="0" w:before="200"/>
      <w:outlineLvl w:val="5"/>
    </w:pPr>
    <w:rPr>
      <w:rFonts w:ascii="Helvetica Neue" w:cs="Helvetica Neue" w:eastAsia="Helvetica Neue" w:hAnsi="Helvetica Neue"/>
      <w:i/>
      <w:color w:val="000000"/>
      <w:sz w:val="24"/>
      <w:szCs w:val="24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u w:val="none"/>
    </w:rPr>
  </w:style>
  <w:style w:styleId="style17" w:type="character">
    <w:name w:val="Internet Link"/>
    <w:next w:val="style17"/>
    <w:rPr>
      <w:color w:val="000080"/>
      <w:u w:val="single"/>
      <w:lang w:bidi="en-GB" w:eastAsia="en-GB" w:val="en-GB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normal"/>
    <w:next w:val="style23"/>
    <w:pPr>
      <w:widowControl/>
      <w:tabs>
        <w:tab w:leader="none" w:pos="720" w:val="left"/>
      </w:tabs>
      <w:suppressAutoHyphens w:val="true"/>
      <w:spacing w:after="200" w:before="0"/>
    </w:pPr>
    <w:rPr>
      <w:rFonts w:ascii="EB Garamond" w:cs="EB Garamond" w:eastAsia="EB Garamond" w:hAnsi="EB Garamond"/>
      <w:color w:val="auto"/>
      <w:sz w:val="24"/>
      <w:szCs w:val="24"/>
      <w:lang w:bidi="ar-SA" w:eastAsia="en-US" w:val="en-GB"/>
    </w:rPr>
  </w:style>
  <w:style w:styleId="style24" w:type="paragraph">
    <w:name w:val="Title"/>
    <w:basedOn w:val="style23"/>
    <w:next w:val="style25"/>
    <w:pPr>
      <w:keepNext/>
      <w:keepLines/>
      <w:spacing w:after="200" w:before="240"/>
      <w:jc w:val="center"/>
    </w:pPr>
    <w:rPr>
      <w:rFonts w:ascii="Helvetica Neue" w:cs="Helvetica Neue" w:eastAsia="Helvetica Neue" w:hAnsi="Helvetica Neue"/>
      <w:b/>
      <w:bCs/>
      <w:color w:val="205968"/>
      <w:sz w:val="44"/>
      <w:szCs w:val="44"/>
    </w:rPr>
  </w:style>
  <w:style w:styleId="style25" w:type="paragraph">
    <w:name w:val="Subtitle"/>
    <w:basedOn w:val="style23"/>
    <w:next w:val="style19"/>
    <w:pPr>
      <w:keepNext/>
      <w:keepLines/>
      <w:jc w:val="center"/>
    </w:pPr>
    <w:rPr>
      <w:rFonts w:ascii="Helvetica Neue" w:cs="Helvetica Neue" w:eastAsia="Helvetica Neue" w:hAnsi="Helvetica Neue"/>
      <w:b/>
      <w:i/>
      <w:iCs/>
      <w:color w:val="666666"/>
      <w:sz w:val="28"/>
      <w:szCs w:val="28"/>
    </w:rPr>
  </w:style>
  <w:style w:styleId="style26" w:type="paragraph">
    <w:name w:val="Header"/>
    <w:basedOn w:val="style0"/>
    <w:next w:val="style26"/>
    <w:pPr>
      <w:suppressLineNumbers/>
      <w:tabs>
        <w:tab w:leader="none" w:pos="4986" w:val="center"/>
        <w:tab w:leader="none" w:pos="9972" w:val="right"/>
      </w:tabs>
    </w:pPr>
    <w:rPr/>
  </w:style>
  <w:style w:styleId="style27" w:type="paragraph">
    <w:name w:val="Footer"/>
    <w:basedOn w:val="style0"/>
    <w:next w:val="style27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c.europa.eu/maritimeaffairs/policy/blue_growth/infographic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yperlink" Target="http://www.treefam.org/" TargetMode="External"/><Relationship Id="rId8" Type="http://schemas.openxmlformats.org/officeDocument/2006/relationships/hyperlink" Target="http://www.gencodegenes.org/" TargetMode="External"/><Relationship Id="rId9" Type="http://schemas.openxmlformats.org/officeDocument/2006/relationships/hyperlink" Target="http://www.ensembl.org/info/docs/tools/vep/index.html" TargetMode="External"/><Relationship Id="rId10" Type="http://schemas.openxmlformats.org/officeDocument/2006/relationships/hyperlink" Target="https://www.ebi.ac.uk/metagenomics/" TargetMode="External"/><Relationship Id="rId11" Type="http://schemas.openxmlformats.org/officeDocument/2006/relationships/hyperlink" Target="http://justcreative.com/wp-content/uploads/2009/07/wwflogo.gif" TargetMode="External"/><Relationship Id="rId12" Type="http://schemas.openxmlformats.org/officeDocument/2006/relationships/hyperlink" Target="http://www.nygenome.org/" TargetMode="External"/><Relationship Id="rId13" Type="http://schemas.openxmlformats.org/officeDocument/2006/relationships/hyperlink" Target="http://www.nygenome.org/" TargetMode="External"/><Relationship Id="rId14" Type="http://schemas.openxmlformats.org/officeDocument/2006/relationships/hyperlink" Target="http://jgi.doe.gov/" TargetMode="External"/><Relationship Id="rId15" Type="http://schemas.openxmlformats.org/officeDocument/2006/relationships/hyperlink" Target="http://jgi.doe.gov/" TargetMode="Externa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hyperlink" Target="https://cbse.soe.ucsc.edu/news/article/1780/picture/387" TargetMode="External"/><Relationship Id="rId22" Type="http://schemas.openxmlformats.org/officeDocument/2006/relationships/hyperlink" Target="http://www.ebi.ac.uk/eva/img/eva_logo.png" TargetMode="External"/><Relationship Id="rId23" Type="http://schemas.openxmlformats.org/officeDocument/2006/relationships/image" Target="media/image8.jpeg"/><Relationship Id="rId24" Type="http://schemas.openxmlformats.org/officeDocument/2006/relationships/hyperlink" Target="http://genome.wustl.edu/" TargetMode="External"/><Relationship Id="rId25" Type="http://schemas.openxmlformats.org/officeDocument/2006/relationships/hyperlink" Target="http://genome.wustl.edu/" TargetMode="External"/><Relationship Id="rId26" Type="http://schemas.openxmlformats.org/officeDocument/2006/relationships/hyperlink" Target="http://www.riken.jp/en/" TargetMode="External"/><Relationship Id="rId27" Type="http://schemas.openxmlformats.org/officeDocument/2006/relationships/hyperlink" Target="http://www.riken.jp/en/" TargetMode="External"/><Relationship Id="rId28" Type="http://schemas.openxmlformats.org/officeDocument/2006/relationships/hyperlink" Target="http://www.roslin.ed.ac.uk/" TargetMode="External"/><Relationship Id="rId29" Type="http://schemas.openxmlformats.org/officeDocument/2006/relationships/hyperlink" Target="http://www.roslin.ed.ac.uk/" TargetMode="External"/><Relationship Id="rId30" Type="http://schemas.openxmlformats.org/officeDocument/2006/relationships/hyperlink" Target="https://www.hgsc.bcm.edu/" TargetMode="External"/><Relationship Id="rId31" Type="http://schemas.openxmlformats.org/officeDocument/2006/relationships/hyperlink" Target="https://www.hgsc.bcm.edu/" TargetMode="External"/><Relationship Id="rId32" Type="http://schemas.openxmlformats.org/officeDocument/2006/relationships/image" Target="media/image9.jpeg"/><Relationship Id="rId33" Type="http://schemas.openxmlformats.org/officeDocument/2006/relationships/image" Target="media/image10.jpeg"/><Relationship Id="rId34" Type="http://schemas.openxmlformats.org/officeDocument/2006/relationships/image" Target="media/image11.jpeg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numbering" Target="numbering.xml"/><Relationship Id="rId38" Type="http://schemas.openxmlformats.org/officeDocument/2006/relationships/fontTable" Target="fontTable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bi.ac.uk/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2016-10-13T15:40:00.00Z</dcterms:created>
  <cp:lastModifiedBy>Mary Todd Bergman</cp:lastModifiedBy>
  <dcterms:modified xsi:type="dcterms:W3CDTF">2016-10-13T15:41:00.00Z</dcterms:modified>
  <cp:revision>2</cp:revision>
</cp:coreProperties>
</file>