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52"/>
          <w:szCs w:val="52"/>
        </w:rPr>
        <w:t xml:space="preserve">CpG Methylation ML Pipeline</w:t>
      </w:r>
    </w:p>
    <w:p>
      <w:pPr>
        <w:spacing w:after="80" w:before="0"/>
        <w:jc w:val="center"/>
      </w:pPr>
      <w:r>
        <w:rPr>
          <w:rFonts w:ascii="Arial" w:cs="Arial" w:eastAsia="Arial" w:hAnsi="Arial"/>
          <w:color w:val="2C5F8A"/>
          <w:sz w:val="30"/>
          <w:szCs w:val="30"/>
        </w:rPr>
        <w:t xml:space="preserve">Progress Report — Phase 1 Complete</w:t>
      </w:r>
    </w:p>
    <w:p>
      <w:pPr>
        <w:spacing w:after="400" w:before="0"/>
        <w:jc w:val="center"/>
      </w:pPr>
      <w:r>
        <w:rPr>
          <w:rFonts w:ascii="Arial" w:cs="Arial" w:eastAsia="Arial" w:hAnsi="Arial"/>
          <w:i/>
          <w:iCs/>
          <w:color w:val="888888"/>
          <w:sz w:val="22"/>
          <w:szCs w:val="22"/>
        </w:rPr>
        <w:t xml:space="preserve">May 2026  |  Ensi Habibi</w:t>
      </w:r>
    </w:p>
    <w:p>
      <w:pPr>
        <w:pStyle w:val="Heading1"/>
      </w:pPr>
      <w:r>
        <w:t xml:space="preserve">1. Project Overview</w:t>
      </w:r>
    </w:p>
    <w:p>
      <w:pPr>
        <w:spacing w:after="80" w:before="80"/>
      </w:pPr>
      <w:r>
        <w:rPr>
          <w:rFonts w:ascii="Arial" w:cs="Arial" w:eastAsia="Arial" w:hAnsi="Arial"/>
          <w:sz w:val="22"/>
          <w:szCs w:val="22"/>
        </w:rPr>
        <w:t xml:space="preserve">This report summarises the first phase of a machine learning pipeline developed to identify shared CpG methylation signatures across multiple early-life exposure cohorts in rhesus macaques. The analysis targets a specific genomic region (chr10:2432261–2443263 in rheMac, equivalent to chr22:49043919–49052385 in hg38) across nine whole-genome bisulfite sequencing (WGBS) datasets.</w:t>
      </w:r>
    </w:p>
    <w:p>
      <w:pPr>
        <w:spacing w:after="60" w:before="60"/>
      </w:pPr>
      <w:r>
        <w:t xml:space="preserve"/>
      </w:r>
    </w:p>
    <w:p>
      <w:pPr>
        <w:spacing w:after="80" w:before="80"/>
      </w:pPr>
      <w:r>
        <w:rPr>
          <w:rFonts w:ascii="Arial" w:cs="Arial" w:eastAsia="Arial" w:hAnsi="Arial"/>
          <w:sz w:val="22"/>
          <w:szCs w:val="22"/>
        </w:rPr>
        <w:t xml:space="preserve">The central scientific question is: do different types of early-life adversity — wildfire smoke exposure, maternal obesity, preconception stress, and circulating cfDNA changes — leave convergent methylation marks at this locus? Rather than analysing each cohort in isolation (underpowered, n = 11–21), the pipeline pools evidence across all nine cohorts simultaneously.</w:t>
      </w:r>
    </w:p>
    <w:p>
      <w:pPr>
        <w:spacing w:after="60" w:before="60"/>
      </w:pPr>
      <w:r>
        <w:t xml:space="preserve"/>
      </w:r>
    </w:p>
    <w:p>
      <w:pPr>
        <w:pStyle w:val="Heading1"/>
      </w:pPr>
      <w:r>
        <w:t xml:space="preserve">2. Datasets</w:t>
      </w:r>
    </w:p>
    <w:p>
      <w:pPr>
        <w:spacing w:after="80" w:before="80"/>
      </w:pPr>
      <w:r>
        <w:rPr>
          <w:rFonts w:ascii="Arial" w:cs="Arial" w:eastAsia="Arial" w:hAnsi="Arial"/>
          <w:sz w:val="22"/>
          <w:szCs w:val="22"/>
        </w:rPr>
        <w:t xml:space="preserve">Nine WGBS datasets were processed, covering four categories of early-life exposure: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1200"/>
        <w:gridCol w:w="2160"/>
      </w:tblGrid>
      <w:tr>
        <w:trPr>
          <w:tblHeader/>
        </w:trPr>
        <w:tc>
          <w:tcPr>
            <w:tcW w:type="dxa" w:w="2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Exposure</w:t>
            </w:r>
          </w:p>
        </w:tc>
        <w:tc>
          <w:tcPr>
            <w:tcW w:type="dxa" w:w="1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 (ctrl)</w:t>
            </w:r>
          </w:p>
        </w:tc>
        <w:tc>
          <w:tcPr>
            <w:tcW w:type="dxa" w:w="1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 (case)</w:t>
            </w:r>
          </w:p>
        </w:tc>
        <w:tc>
          <w:tcPr>
            <w:tcW w:type="dxa" w:w="2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Tissue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wildfire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Wildfire smoke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Nasal</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stress</w:t>
            </w:r>
          </w:p>
        </w:tc>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Preconception stress</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52</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24</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Brain (mixed)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obesity_hippocampus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Maternal obesity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Hippocampus</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obesity_hypothalamus</w:t>
            </w:r>
          </w:p>
        </w:tc>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Maternal obesity</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Hypothalamus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obesity_prefrontalcortex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Maternal obesity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Prefrontal cortex</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cfdna_GD45</w:t>
            </w:r>
          </w:p>
        </w:tc>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 (GD 45)</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Plasma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cfdna_GD90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cfDNA (GD 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cfdna_GD120</w:t>
            </w:r>
          </w:p>
        </w:tc>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 (GD 120)</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Plasma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cfdna_GD150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cfDNA (GD 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w:t>
            </w:r>
          </w:p>
        </w:tc>
      </w:tr>
    </w:tbl>
    <w:p>
      <w:pPr>
        <w:spacing w:after="60" w:before="60"/>
      </w:pPr>
      <w:r>
        <w:t xml:space="preserve"/>
      </w:r>
    </w:p>
    <w:p>
      <w:pPr>
        <w:pStyle w:val="Heading1"/>
      </w:pPr>
      <w:r>
        <w:t xml:space="preserve">3. Analysis Pipeline</w:t>
      </w:r>
    </w:p>
    <w:p>
      <w:pPr>
        <w:spacing w:after="80" w:before="80"/>
      </w:pPr>
      <w:r>
        <w:rPr>
          <w:rFonts w:ascii="Arial" w:cs="Arial" w:eastAsia="Arial" w:hAnsi="Arial"/>
          <w:sz w:val="22"/>
          <w:szCs w:val="22"/>
        </w:rPr>
        <w:t xml:space="preserve">The pipeline is implemented in four Jupyter notebooks using Python 3.10 with a pixi-managed environment.</w:t>
      </w:r>
    </w:p>
    <w:p>
      <w:pPr>
        <w:spacing w:after="60" w:before="60"/>
      </w:pPr>
      <w:r>
        <w:t xml:space="preserve"/>
      </w:r>
    </w:p>
    <w:p>
      <w:pPr>
        <w:pStyle w:val="Heading2"/>
      </w:pPr>
      <w:r>
        <w:t xml:space="preserve">Notebook 01 — Preprocessing</w:t>
      </w:r>
    </w:p>
    <w:p>
      <w:pPr>
        <w:pStyle w:val="ListParagraph"/>
        <w:numPr>
          <w:ilvl w:val="0"/>
          <w:numId w:val="2"/>
        </w:numPr>
        <w:spacing w:after="40" w:before="40"/>
      </w:pPr>
      <w:r>
        <w:rPr>
          <w:rFonts w:ascii="Arial" w:cs="Arial" w:eastAsia="Arial" w:hAnsi="Arial"/>
          <w:sz w:val="22"/>
          <w:szCs w:val="22"/>
        </w:rPr>
        <w:t xml:space="preserve">Reads raw Bismark TSV files for all nine datasets</w:t>
      </w:r>
    </w:p>
    <w:p>
      <w:pPr>
        <w:pStyle w:val="ListParagraph"/>
        <w:numPr>
          <w:ilvl w:val="0"/>
          <w:numId w:val="2"/>
        </w:numPr>
        <w:spacing w:after="40" w:before="40"/>
      </w:pPr>
      <w:r>
        <w:rPr>
          <w:rFonts w:ascii="Arial" w:cs="Arial" w:eastAsia="Arial" w:hAnsi="Arial"/>
          <w:sz w:val="22"/>
          <w:szCs w:val="22"/>
        </w:rPr>
        <w:t xml:space="preserve">Merges CpG strands (Bismark reports + and − strand separately at consecutive positions)</w:t>
      </w:r>
    </w:p>
    <w:p>
      <w:pPr>
        <w:pStyle w:val="ListParagraph"/>
        <w:numPr>
          <w:ilvl w:val="0"/>
          <w:numId w:val="2"/>
        </w:numPr>
        <w:spacing w:after="40" w:before="40"/>
      </w:pPr>
      <w:r>
        <w:rPr>
          <w:rFonts w:ascii="Arial" w:cs="Arial" w:eastAsia="Arial" w:hAnsi="Arial"/>
          <w:sz w:val="22"/>
          <w:szCs w:val="22"/>
        </w:rPr>
        <w:t xml:space="preserve">Computes beta values and filters CpGs with &gt;90% missing data across samples</w:t>
      </w:r>
    </w:p>
    <w:p>
      <w:pPr>
        <w:pStyle w:val="ListParagraph"/>
        <w:numPr>
          <w:ilvl w:val="0"/>
          <w:numId w:val="2"/>
        </w:numPr>
        <w:spacing w:after="40" w:before="40"/>
      </w:pPr>
      <w:r>
        <w:rPr>
          <w:rFonts w:ascii="Arial" w:cs="Arial" w:eastAsia="Arial" w:hAnsi="Arial"/>
          <w:sz w:val="22"/>
          <w:szCs w:val="22"/>
        </w:rPr>
        <w:t xml:space="preserve">Imputes missing values using per-CpG mean across samples (axis=1)</w:t>
      </w:r>
    </w:p>
    <w:p>
      <w:pPr>
        <w:pStyle w:val="ListParagraph"/>
        <w:numPr>
          <w:ilvl w:val="0"/>
          <w:numId w:val="2"/>
        </w:numPr>
        <w:spacing w:after="40" w:before="40"/>
      </w:pPr>
      <w:r>
        <w:rPr>
          <w:rFonts w:ascii="Arial" w:cs="Arial" w:eastAsia="Arial" w:hAnsi="Arial"/>
          <w:sz w:val="22"/>
          <w:szCs w:val="22"/>
        </w:rPr>
        <w:t xml:space="preserve">Splits the ~11 kb region into CpG island (cpgi) and gene body (genebody) sub-windows</w:t>
      </w:r>
    </w:p>
    <w:p>
      <w:pPr>
        <w:pStyle w:val="ListParagraph"/>
        <w:numPr>
          <w:ilvl w:val="0"/>
          <w:numId w:val="2"/>
        </w:numPr>
        <w:spacing w:after="40" w:before="40"/>
      </w:pPr>
      <w:r>
        <w:rPr>
          <w:rFonts w:ascii="Arial" w:cs="Arial" w:eastAsia="Arial" w:hAnsi="Arial"/>
          <w:sz w:val="22"/>
          <w:szCs w:val="22"/>
        </w:rPr>
        <w:t xml:space="preserve">Saves clean beta matrices as CSV files for all nine datasets</w:t>
      </w:r>
    </w:p>
    <w:p>
      <w:pPr>
        <w:spacing w:after="60" w:before="60"/>
      </w:pPr>
      <w:r>
        <w:t xml:space="preserve"/>
      </w:r>
    </w:p>
    <w:p>
      <w:pPr>
        <w:spacing w:after="80" w:before="80"/>
      </w:pPr>
      <w:r>
        <w:rPr>
          <w:rFonts w:ascii="Arial" w:cs="Arial" w:eastAsia="Arial" w:hAnsi="Arial"/>
          <w:color w:val="8B0000"/>
          <w:sz w:val="22"/>
          <w:szCs w:val="22"/>
        </w:rPr>
        <w:t xml:space="preserve">Key issue resolved: an imputation bug (axis=0 vs axis=1) was filling missing values with the sample's own mean rather than the per-CpG mean. This caused one sample (HJD032) to have identical beta values at all 42 CpGs, driving PC1 to explain 79% of variance. After correction PC1 dropped to 17.4%.</w:t>
      </w:r>
    </w:p>
    <w:p>
      <w:pPr>
        <w:spacing w:after="60" w:before="60"/>
      </w:pPr>
      <w:r>
        <w:t xml:space="preserve"/>
      </w:r>
    </w:p>
    <w:p>
      <w:pPr>
        <w:pStyle w:val="Heading2"/>
      </w:pPr>
      <w:r>
        <w:t xml:space="preserve">Notebook 02 — Per-Dataset ML</w:t>
      </w:r>
    </w:p>
    <w:p>
      <w:pPr>
        <w:pStyle w:val="ListParagraph"/>
        <w:numPr>
          <w:ilvl w:val="0"/>
          <w:numId w:val="2"/>
        </w:numPr>
        <w:spacing w:after="40" w:before="40"/>
      </w:pPr>
      <w:r>
        <w:rPr>
          <w:rFonts w:ascii="Arial" w:cs="Arial" w:eastAsia="Arial" w:hAnsi="Arial"/>
          <w:sz w:val="22"/>
          <w:szCs w:val="22"/>
        </w:rPr>
        <w:t xml:space="preserve">PCA, UMAP, hierarchical clustering, and ElasticNet logistic regression per dataset</w:t>
      </w:r>
    </w:p>
    <w:p>
      <w:pPr>
        <w:pStyle w:val="ListParagraph"/>
        <w:numPr>
          <w:ilvl w:val="0"/>
          <w:numId w:val="2"/>
        </w:numPr>
        <w:spacing w:after="40" w:before="40"/>
      </w:pPr>
      <w:r>
        <w:rPr>
          <w:rFonts w:ascii="Arial" w:cs="Arial" w:eastAsia="Arial" w:hAnsi="Arial"/>
          <w:sz w:val="22"/>
          <w:szCs w:val="22"/>
        </w:rPr>
        <w:t xml:space="preserve">LOOCV for n &lt; 30, 5-fold stratified CV for n ≥ 30</w:t>
      </w:r>
    </w:p>
    <w:p>
      <w:pPr>
        <w:pStyle w:val="ListParagraph"/>
        <w:numPr>
          <w:ilvl w:val="0"/>
          <w:numId w:val="2"/>
        </w:numPr>
        <w:spacing w:after="40" w:before="40"/>
      </w:pPr>
      <w:r>
        <w:rPr>
          <w:rFonts w:ascii="Arial" w:cs="Arial" w:eastAsia="Arial" w:hAnsi="Arial"/>
          <w:sz w:val="22"/>
          <w:szCs w:val="22"/>
        </w:rPr>
        <w:t xml:space="preserve">Results: AUC range 0.42–0.62 across all datasets and regions</w:t>
      </w:r>
    </w:p>
    <w:p>
      <w:pPr>
        <w:pStyle w:val="ListParagraph"/>
        <w:numPr>
          <w:ilvl w:val="0"/>
          <w:numId w:val="2"/>
        </w:numPr>
        <w:spacing w:after="40" w:before="40"/>
      </w:pPr>
      <w:r>
        <w:rPr>
          <w:rFonts w:ascii="Arial" w:cs="Arial" w:eastAsia="Arial" w:hAnsi="Arial"/>
          <w:sz w:val="22"/>
          <w:szCs w:val="22"/>
        </w:rPr>
        <w:t xml:space="preserve">No single cohort showed strong predictive performance — consistent with low power at n = 11–21</w:t>
      </w:r>
    </w:p>
    <w:p>
      <w:pPr>
        <w:spacing w:after="60" w:before="60"/>
      </w:pPr>
      <w:r>
        <w:t xml:space="preserve"/>
      </w:r>
    </w:p>
    <w:p>
      <w:pPr>
        <w:pStyle w:val="Heading2"/>
      </w:pPr>
      <w:r>
        <w:t xml:space="preserve">Notebook 03 — MOFA+ Multi-Dataset Integration</w:t>
      </w:r>
    </w:p>
    <w:p>
      <w:pPr>
        <w:pStyle w:val="ListParagraph"/>
        <w:numPr>
          <w:ilvl w:val="0"/>
          <w:numId w:val="2"/>
        </w:numPr>
        <w:spacing w:after="40" w:before="40"/>
      </w:pPr>
      <w:r>
        <w:rPr>
          <w:rFonts w:ascii="Arial" w:cs="Arial" w:eastAsia="Arial" w:hAnsi="Arial"/>
          <w:sz w:val="22"/>
          <w:szCs w:val="22"/>
        </w:rPr>
        <w:t xml:space="preserve">2 views (cpgi, genebody) × 9 groups (cohorts), 5 latent factors</w:t>
      </w:r>
    </w:p>
    <w:p>
      <w:pPr>
        <w:pStyle w:val="ListParagraph"/>
        <w:numPr>
          <w:ilvl w:val="0"/>
          <w:numId w:val="2"/>
        </w:numPr>
        <w:spacing w:after="40" w:before="40"/>
      </w:pPr>
      <w:r>
        <w:rPr>
          <w:rFonts w:ascii="Arial" w:cs="Arial" w:eastAsia="Arial" w:hAnsi="Arial"/>
          <w:sz w:val="22"/>
          <w:szCs w:val="22"/>
        </w:rPr>
        <w:t xml:space="preserve">All regularisation priors disabled (ARD, spike-and-slab) due to small per-group sample sizes</w:t>
      </w:r>
    </w:p>
    <w:p>
      <w:pPr>
        <w:pStyle w:val="ListParagraph"/>
        <w:numPr>
          <w:ilvl w:val="0"/>
          <w:numId w:val="2"/>
        </w:numPr>
        <w:spacing w:after="40" w:before="40"/>
      </w:pPr>
      <w:r>
        <w:rPr>
          <w:rFonts w:ascii="Arial" w:cs="Arial" w:eastAsia="Arial" w:hAnsi="Arial"/>
          <w:sz w:val="22"/>
          <w:szCs w:val="22"/>
        </w:rPr>
        <w:t xml:space="preserve">Factor 3 in the gene body explained variance in wildfire (5.0%) and cfdna_GD150 (5.3%) — the only factor appearing across two independent exposure types</w:t>
      </w:r>
    </w:p>
    <w:p>
      <w:pPr>
        <w:pStyle w:val="ListParagraph"/>
        <w:numPr>
          <w:ilvl w:val="0"/>
          <w:numId w:val="2"/>
        </w:numPr>
        <w:spacing w:after="40" w:before="40"/>
      </w:pPr>
      <w:r>
        <w:rPr>
          <w:rFonts w:ascii="Arial" w:cs="Arial" w:eastAsia="Arial" w:hAnsi="Arial"/>
          <w:sz w:val="22"/>
          <w:szCs w:val="22"/>
        </w:rPr>
        <w:t xml:space="preserve">No factor reached statistical significance after Bonferroni correction</w:t>
      </w:r>
    </w:p>
    <w:p>
      <w:pPr>
        <w:spacing w:after="60" w:before="60"/>
      </w:pPr>
      <w:r>
        <w:t xml:space="preserve"/>
      </w:r>
    </w:p>
    <w:p>
      <w:pPr>
        <w:pStyle w:val="Heading2"/>
      </w:pPr>
      <w:r>
        <w:t xml:space="preserve">Notebook 04 — Per-CpG Meta-Analysis</w:t>
      </w:r>
    </w:p>
    <w:p>
      <w:pPr>
        <w:pStyle w:val="ListParagraph"/>
        <w:numPr>
          <w:ilvl w:val="0"/>
          <w:numId w:val="2"/>
        </w:numPr>
        <w:spacing w:after="40" w:before="40"/>
      </w:pPr>
      <w:r>
        <w:rPr>
          <w:rFonts w:ascii="Arial" w:cs="Arial" w:eastAsia="Arial" w:hAnsi="Arial"/>
          <w:sz w:val="22"/>
          <w:szCs w:val="22"/>
        </w:rPr>
        <w:t xml:space="preserve">Mann-Whitney U test per CpG per dataset, signed Z-score conversion, Stouffer's meta-analysis weighted by √n</w:t>
      </w:r>
    </w:p>
    <w:p>
      <w:pPr>
        <w:pStyle w:val="ListParagraph"/>
        <w:numPr>
          <w:ilvl w:val="0"/>
          <w:numId w:val="2"/>
        </w:numPr>
        <w:spacing w:after="40" w:before="40"/>
      </w:pPr>
      <w:r>
        <w:rPr>
          <w:rFonts w:ascii="Arial" w:cs="Arial" w:eastAsia="Arial" w:hAnsi="Arial"/>
          <w:sz w:val="22"/>
          <w:szCs w:val="22"/>
        </w:rPr>
        <w:t xml:space="preserve">Benjamini-Hochberg FDR correction across all CpGs tested</w:t>
      </w:r>
    </w:p>
    <w:p>
      <w:pPr>
        <w:pStyle w:val="ListParagraph"/>
        <w:numPr>
          <w:ilvl w:val="0"/>
          <w:numId w:val="2"/>
        </w:numPr>
        <w:spacing w:after="40" w:before="40"/>
      </w:pPr>
      <w:r>
        <w:rPr>
          <w:rFonts w:ascii="Arial" w:cs="Arial" w:eastAsia="Arial" w:hAnsi="Arial"/>
          <w:sz w:val="22"/>
          <w:szCs w:val="22"/>
        </w:rPr>
        <w:t xml:space="preserve">CpG island: consistency scores 0.3–0.7, no FDR significance</w:t>
      </w:r>
    </w:p>
    <w:p>
      <w:pPr>
        <w:pStyle w:val="ListParagraph"/>
        <w:numPr>
          <w:ilvl w:val="0"/>
          <w:numId w:val="2"/>
        </w:numPr>
        <w:spacing w:after="40" w:before="40"/>
      </w:pPr>
      <w:r>
        <w:rPr>
          <w:rFonts w:ascii="Arial" w:cs="Arial" w:eastAsia="Arial" w:hAnsi="Arial"/>
          <w:sz w:val="22"/>
          <w:szCs w:val="22"/>
        </w:rPr>
        <w:t xml:space="preserve">Gene body: nominally significant combined p-values; consistency scores 0.56–1.0</w:t>
      </w:r>
    </w:p>
    <w:p>
      <w:pPr>
        <w:pStyle w:val="ListParagraph"/>
        <w:numPr>
          <w:ilvl w:val="0"/>
          <w:numId w:val="2"/>
        </w:numPr>
        <w:spacing w:after="40" w:before="40"/>
      </w:pPr>
      <w:r>
        <w:rPr>
          <w:rFonts w:ascii="Arial" w:cs="Arial" w:eastAsia="Arial" w:hAnsi="Arial"/>
          <w:sz w:val="22"/>
          <w:szCs w:val="22"/>
        </w:rPr>
        <w:t xml:space="preserve">No CpG survived FDR correction — consistent with small effect sizes and limited per-cohort power</w:t>
      </w:r>
    </w:p>
    <w:p>
      <w:pPr>
        <w:pStyle w:val="ListParagraph"/>
        <w:numPr>
          <w:ilvl w:val="0"/>
          <w:numId w:val="2"/>
        </w:numPr>
        <w:spacing w:after="40" w:before="40"/>
      </w:pPr>
      <w:r>
        <w:rPr>
          <w:rFonts w:ascii="Arial" w:cs="Arial" w:eastAsia="Arial" w:hAnsi="Arial"/>
          <w:sz w:val="22"/>
          <w:szCs w:val="22"/>
        </w:rPr>
        <w:t xml:space="preserve">MOFA+ Factor 3 top CpGs form a tight 74 bp cluster: chr10:2435505–2435579 (macaque). The hg38 coordinate previously listed (chr22:49,047,163–49,047,237) has been retracted — it was derived from a naive offset calculation that ignored the negative-strand block orientation. Correct coordinates require proper liftOver (see Section 4.2 correction).</w:t>
      </w:r>
    </w:p>
    <w:p>
      <w:pPr>
        <w:spacing w:after="60" w:before="60"/>
      </w:pPr>
      <w:r>
        <w:t xml:space="preserve"/>
      </w:r>
    </w:p>
    <w:p>
      <w:pPr>
        <w:pStyle w:val="Heading1"/>
      </w:pPr>
      <w:r>
        <w:t xml:space="preserve">4. Key Findings</w:t>
      </w:r>
    </w:p>
    <w:p>
      <w:pPr>
        <w:pStyle w:val="Heading2"/>
      </w:pPr>
      <w:r>
        <w:t xml:space="preserve">4.1 Statistical Evidence</w:t>
      </w:r>
    </w:p>
    <w:p>
      <w:pPr>
        <w:spacing w:after="80" w:before="80"/>
      </w:pPr>
      <w:r>
        <w:rPr>
          <w:rFonts w:ascii="Arial" w:cs="Arial" w:eastAsia="Arial" w:hAnsi="Arial"/>
          <w:sz w:val="22"/>
          <w:szCs w:val="22"/>
        </w:rPr>
        <w:t xml:space="preserve">Three converging lines of evidence point to the gene body sub-region as biologically relevant: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rPr>
          <w:tblHeader/>
        </w:trPr>
        <w:tc>
          <w:tcPr>
            <w:tcW w:type="dxa" w:w="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MOFA+ Factor 3 (genebody)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axis of CpG co-variation in wildfire and cfDNA cohorts independently</w:t>
            </w:r>
          </w:p>
        </w:tc>
      </w:tr>
      <w:tr>
        <w:tc>
          <w:tcPr>
            <w:tcW w:type="dxa" w:w="3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Nominally significant meta-analysis p-values (genebody)</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Stouffer's test detects a directional trend not attributable to chance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scores up to 1.0 (genebody)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CpGs show the same direction of change across all 9 cohorts</w:t>
            </w:r>
          </w:p>
        </w:tc>
      </w:tr>
    </w:tbl>
    <w:p>
      <w:pPr>
        <w:spacing w:after="60" w:before="60"/>
      </w:pPr>
      <w:r>
        <w:t xml:space="preserve"/>
      </w:r>
    </w:p>
    <w:p>
      <w:pPr>
        <w:pStyle w:val="Heading2"/>
      </w:pPr>
      <w:r>
        <w:t xml:space="preserve">4.2 Genomic Annotation of the 74 bp Hotspot</w:t>
      </w:r>
    </w:p>
    <w:p>
      <w:pPr>
        <w:spacing w:after="80" w:before="80"/>
      </w:pPr>
      <w:r>
        <w:rPr>
          <w:rFonts w:ascii="Arial" w:cs="Arial" w:eastAsia="Arial" w:hAnsi="Arial"/>
          <w:sz w:val="22"/>
          <w:szCs w:val="22"/>
        </w:rPr>
        <w:t xml:space="preserve">MOFA+ Factor 3 top CpG weights cluster within a 74 bp window. Eight of the ten highest-weight CpGs fall at chr10:2435505–2435579 (macaque). [CORRECTION: The hg38 coordinate chr22:49,047,165–49,047,235 previously reported here was calculated by adding the hotspot’s offset from the macaque region start to the human region start. This is incorrect because the block maps on the negative strand — macaque and human coordinates run in opposite directions. All UCSC Genome Browser annotations listed below were looked up at this wrong coordinate and are therefore unreliable. They are retained below for transparency but must not be interpreted as characterising the human equivalent of the hotspot. Correct hg38 coordinates require running UCSC liftOver with the rheMac10ToHg38.over.chain.gz chain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ENCODE4 cCRE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 bar — classified as an enhancer-like element (dELS/pELS)</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H3K27Ac (Layered)</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Strong signal at top of scale — active histone mark across multiple ENCODE cell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CpG Island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CpG island overlaps this 74 bp window</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PhyloP Conservation</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Mostly low or negative values — not broadly conserved across vertebrates; conserved in some mammals (dog, elephant) but not mouse or more distant species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Hi-C (Micro-C)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chromatin interaction peak spanning the region — consistent with active enhancer looping to target promoter</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ReMap density</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Density of 18 at the left edge of the window decreasing to 11–12 toward the right — indicating concentrated transcription factor binding at the 5' end of the hotspot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ReMap TFs identified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EZH2 (repressive PRC2 mark writer), SMC1/cohesin (chromatin loop organiser), JUN (AP-1 stress-responsive TF), ZFP36 (stress/inflammation), LYN (immune signalling)</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WGBS (multiple tissues)</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Region is unmethylated across neurons, cardiomyocytes, blood cells, lung, liver, and colon — consistent with constitutively open regulatory element under baseline conditions</w:t>
            </w:r>
          </w:p>
        </w:tc>
      </w:tr>
    </w:tbl>
    <w:p>
      <w:pPr>
        <w:spacing w:after="60" w:before="60"/>
      </w:pPr>
      <w:r>
        <w:t xml:space="preserve"/>
      </w:r>
    </w:p>
    <w:p>
      <w:pPr>
        <w:pStyle w:val="Heading2"/>
      </w:pPr>
      <w:r>
        <w:t xml:space="preserve">4.3 Direction of Methylation Change at the Hotspot</w:t>
      </w:r>
    </w:p>
    <w:p>
      <w:pPr>
        <w:spacing w:after="80" w:before="80"/>
      </w:pPr>
      <w:r>
        <w:rPr>
          <w:rFonts w:ascii="Arial" w:cs="Arial" w:eastAsia="Arial" w:hAnsi="Arial"/>
          <w:sz w:val="22"/>
          <w:szCs w:val="22"/>
        </w:rPr>
        <w:t xml:space="preserve">Per-cohort delta beta (case − control) was examined for all 8 hotspot CpGs across all 9 datasets: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Cohort</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(n=76)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Hypomethylated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CpGs show negative delta beta in cases</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obesity_prefrontalcortex</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Hypomethylated</w:t>
            </w:r>
          </w:p>
        </w:tc>
        <w:tc>
          <w:tcPr>
            <w:tcW w:type="dxa" w:w="47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7/8 CpGs show negative delta beta in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obesity_hippocampus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Hypomethylated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negative delta beta in cases</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cfdna_GD120</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Hypomethylated</w:t>
            </w:r>
          </w:p>
        </w:tc>
        <w:tc>
          <w:tcPr>
            <w:tcW w:type="dxa" w:w="47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Mostly negative delta beta in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wildfire, obesity_hypothalamus, cfdna_GD45, cfdna_GD90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consistent direction across CpGs</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cfdna_GD150</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Hypermethylated</w:t>
            </w:r>
          </w:p>
        </w:tc>
        <w:tc>
          <w:tcPr>
            <w:tcW w:type="dxa" w:w="47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All 8 CpGs show positive delta beta — opposite to all other cohorts</w:t>
            </w:r>
          </w:p>
        </w:tc>
      </w:tr>
    </w:tbl>
    <w:p>
      <w:pPr>
        <w:spacing w:after="60" w:before="60"/>
      </w:pPr>
      <w:r>
        <w:t xml:space="preserve"/>
      </w:r>
    </w:p>
    <w:p>
      <w:pPr>
        <w:spacing w:after="80" w:before="80"/>
      </w:pPr>
      <w:r>
        <w:rPr>
          <w:rFonts w:ascii="Arial" w:cs="Arial" w:eastAsia="Arial" w:hAnsi="Arial"/>
          <w:sz w:val="22"/>
          <w:szCs w:val="22"/>
        </w:rPr>
        <w:t xml:space="preserve">The predominant direction across most cohorts is hypomethylation in exposed animals. This indicates that early-life adversity is associated with loss of methylation at this enhancer element — consistent with increased chromatin accessibility and potentially elevated transcriptional activity of the target gene.</w:t>
      </w:r>
    </w:p>
    <w:p>
      <w:pPr>
        <w:spacing w:after="60" w:before="60"/>
      </w:pPr>
      <w:r>
        <w:t xml:space="preserve"/>
      </w:r>
    </w:p>
    <w:p>
      <w:pPr>
        <w:spacing w:after="80" w:before="80"/>
      </w:pPr>
      <w:r>
        <w:rPr>
          <w:rFonts w:ascii="Arial" w:cs="Arial" w:eastAsia="Arial" w:hAnsi="Arial"/>
          <w:sz w:val="22"/>
          <w:szCs w:val="22"/>
        </w:rPr>
        <w:t xml:space="preserve">The exception is cfdna_GD150, which shows consistent hypermethylation across all 8 hotspot CpGs. This directional reversal at late gestation (GD150) suggests a dynamic epigenetic response: early adversity may initially open this enhancer but by late gestation the regulatory response reverses, potentially representing a compensatory or developmental re-programming event.</w:t>
      </w:r>
    </w:p>
    <w:p>
      <w:pPr>
        <w:spacing w:after="60" w:before="60"/>
      </w:pPr>
      <w:r>
        <w:t xml:space="preserve"/>
      </w:r>
    </w:p>
    <w:p>
      <w:pPr>
        <w:spacing w:after="80" w:before="80"/>
      </w:pPr>
      <w:r>
        <w:rPr>
          <w:rFonts w:ascii="Arial" w:cs="Arial" w:eastAsia="Arial" w:hAnsi="Arial"/>
          <w:i/>
          <w:iCs/>
          <w:color w:val="1F3864"/>
          <w:sz w:val="22"/>
          <w:szCs w:val="22"/>
        </w:rPr>
        <w:t xml:space="preserve">Proposed conclusion (revised): "At a genomic hotspot in the macaque NHIP lncRNA gene body (chr10:2435505–2435579, rheMac10), which lies within a young macaque-lineage AluYRb3 SINE element, early-life adversity is predominantly associated with hypomethylation in exposed animals across stress, obesity, and early cfDNA timepoint cohorts. The late gestational cfDNA cohort (GD150) shows the opposite direction, suggesting a dynamic methylation response at this locus across gestation. Subsequent liftOver analysis (rheMac10ToHg38.over.chain.gz) confirmed that the Phase 1 hotspot (chr10:2,435,505–2,435,579) is entirely unmapped in hg38: the AluYRb3 SINE element is a macaque-lineage-specific insertion with no human sequence equivalent. The Phase 1 methylation signal is therefore inherently macaque-specific and cannot be directly annotated against human regulatory databases. These findings warrant replication in larger cohorts; Phase 2 comparative genomics results are reported in Section 10."</w:t>
      </w:r>
    </w:p>
    <w:p>
      <w:pPr>
        <w:spacing w:after="60" w:before="60"/>
      </w:pPr>
      <w:r>
        <w:t xml:space="preserve"/>
      </w:r>
    </w:p>
    <w:p>
      <w:pPr>
        <w:pStyle w:val="Heading1"/>
      </w:pPr>
      <w:r>
        <w:t xml:space="preserve">5. Technical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pixi (project-scoped conda + PyPI), Python 3.10</w:t>
            </w:r>
          </w:p>
        </w:tc>
      </w:tr>
      <w:tr>
        <w:tc>
          <w:tcPr>
            <w:tcW w:type="dxa" w:w="24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Key packages</w:t>
            </w:r>
          </w:p>
        </w:tc>
        <w:tc>
          <w:tcPr>
            <w:tcW w:type="dxa" w:w="6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scikit-learn, mofapy2, scipy, statsmodels, pandas, seaborn, umap-learn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 on remote HPC cluster</w:t>
            </w:r>
          </w:p>
        </w:tc>
      </w:tr>
      <w:tr>
        <w:tc>
          <w:tcPr>
            <w:tcW w:type="dxa" w:w="24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Git + GitHub (Ensiuc/CpG_Methylation_ML)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Bismark coverage TSV → beta matrix CSV (CpGs × samples)</w:t>
            </w:r>
          </w:p>
        </w:tc>
      </w:tr>
      <w:tr>
        <w:tc>
          <w:tcPr>
            <w:tcW w:type="dxa" w:w="24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Figures (PNG), tables (CSV), MOFA+ model (HDF5), progress report (DOCX)</w:t>
            </w:r>
          </w:p>
        </w:tc>
      </w:tr>
    </w:tbl>
    <w:p>
      <w:pPr>
        <w:spacing w:after="60" w:before="60"/>
      </w:pPr>
      <w:r>
        <w:t xml:space="preserve"/>
      </w:r>
    </w:p>
    <w:p>
      <w:pPr>
        <w:pStyle w:val="Heading1"/>
      </w:pPr>
      <w:r>
        <w:t xml:space="preserve">6. Phase 2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 in independent cohorts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hypomethylation at hotspot CpGs in new macaque or human datasets with larger n</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Gene expression integration</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Correlate hotspot methylation with RNA-seq — hypomethylation predicts increased expression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cfDNA longitudinal trajectory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methylation direction change across GD45/90/120/150 — GD150 reversal warrants formal trajectory analysis</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Genome-wide / DMR-wide expansion</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Apply the same pipeline across all DMRs, not just this locus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Pooled cross-cohort 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all samples (n ~ 130) for a higher-powered classifier excluding cfdna_GD150</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Enhancer functional validation</w:t>
            </w:r>
          </w:p>
        </w:tc>
        <w:tc>
          <w:tcPr>
            <w:tcW w:type="dxa" w:w="6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ATAC-seq or ChIP-seq at the hotspot to confirm chromatin accessibility changes in macaque tissue</w:t>
            </w:r>
          </w:p>
        </w:tc>
      </w:tr>
    </w:tbl>
    <w:p>
      <w:pPr>
        <w:spacing w:after="60" w:before="60"/>
      </w:pPr>
      <w:r>
        <w:t xml:space="preserve"/>
      </w:r>
    </w:p>
    <w:p>
      <w:pPr>
        <w:spacing w:after="60" w:before="60"/>
      </w:pPr>
      <w:r>
        <w:t xml:space="preserve"/>
      </w:r>
    </w:p>
    <w:p>
      <w:pPr>
        <w:pStyle w:val="Heading1"/>
      </w:pPr>
      <w:r>
        <w:t xml:space="preserve">7. Phase 2 Progress: Block Analysis Setup</w:t>
      </w:r>
    </w:p>
    <w:p>
      <w:pPr>
        <w:spacing w:after="120" w:before="60"/>
      </w:pPr>
      <w:r>
        <w:t xml:space="preserve">Following Phase 1 completion, Phase 2 was initiated to expand the analysis from the original ~11 kb region to a ~134 kb full genomic block. The central motivation is to let the data reveal structure across the broader locus rather than constraining analysis to pre-defined sub-windows.</w:t>
      </w:r>
    </w:p>
    <w:p>
      <w:pPr>
        <w:pStyle w:val="Heading2"/>
      </w:pPr>
      <w:r>
        <w:t xml:space="preserve">7.1 Expanded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val="clear" w:fill="2E75B6"/>
          </w:tcPr>
          <w:p>
            <w:r>
              <w:rPr>
                <w:b/>
                <w:color w:val="FFFFFF"/>
              </w:rPr>
              <w:t xml:space="preserve">Parameter</w:t>
            </w:r>
          </w:p>
        </w:tc>
        <w:tc>
          <w:tcPr>
            <w:tcW w:type="dxa" w:w="6560"/>
            <w:shd w:val="clear" w:fill="2E75B6"/>
          </w:tcPr>
          <w:p>
            <w:r>
              <w:rPr>
                <w:b/>
                <w:color w:val="FFFFFF"/>
              </w:rPr>
              <w:t xml:space="preserve">Value</w:t>
            </w:r>
          </w:p>
        </w:tc>
      </w:tr>
      <w:tr>
        <w:tc>
          <w:tcPr>
            <w:tcW w:type="dxa" w:w="2800"/>
            <w:shd w:val="clear" w:fill="D5E8F0"/>
          </w:tcPr>
          <w:p>
            <w:r>
              <w:rPr>
                <w:b/>
              </w:rPr>
              <w:t xml:space="preserve">Phase 1 region</w:t>
            </w:r>
          </w:p>
        </w:tc>
        <w:tc>
          <w:tcPr>
            <w:tcW w:type="dxa" w:w="6560"/>
          </w:tcPr>
          <w:p>
            <w:r>
              <w:t xml:space="preserve">chr10:2,432,261–2,443,263 (~11 kb, rheMac) — split into cpgi + genebody sub-windows</w:t>
            </w:r>
          </w:p>
        </w:tc>
      </w:tr>
      <w:tr>
        <w:tc>
          <w:tcPr>
            <w:tcW w:type="dxa" w:w="2800"/>
          </w:tcPr>
          <w:p>
            <w:r>
              <w:rPr>
                <w:b/>
              </w:rPr>
              <w:t xml:space="preserve">Phase 2 region</w:t>
            </w:r>
          </w:p>
        </w:tc>
        <w:tc>
          <w:tcPr>
            <w:tcW w:type="dxa" w:w="6560"/>
          </w:tcPr>
          <w:p>
            <w:r>
              <w:t xml:space="preserve">chr10:2,307,563–2,441,516 (~134 kb, rheMac) — full block, single analysis unit</w:t>
            </w:r>
          </w:p>
        </w:tc>
      </w:tr>
      <w:tr>
        <w:tc>
          <w:tcPr>
            <w:tcW w:type="dxa" w:w="2800"/>
            <w:shd w:val="clear" w:fill="D5E8F0"/>
          </w:tcPr>
          <w:p>
            <w:r>
              <w:rPr>
                <w:b/>
              </w:rPr>
              <w:t xml:space="preserve">Size increase</w:t>
            </w:r>
          </w:p>
        </w:tc>
        <w:tc>
          <w:tcPr>
            <w:tcW w:type="dxa" w:w="6560"/>
            <w:shd w:val="clear" w:fill="D5E8F0"/>
          </w:tcPr>
          <w:p>
            <w:r>
              <w:t xml:space="preserve">~12× larger</w:t>
            </w:r>
          </w:p>
        </w:tc>
      </w:tr>
      <w:tr>
        <w:tc>
          <w:tcPr>
            <w:tcW w:type="dxa" w:w="2800"/>
          </w:tcPr>
          <w:p>
            <w:r>
              <w:rPr>
                <w:b/>
              </w:rPr>
              <w:t xml:space="preserve">Sub-window split</w:t>
            </w:r>
          </w:p>
        </w:tc>
        <w:tc>
          <w:tcPr>
            <w:tcW w:type="dxa" w:w="6560"/>
          </w:tcPr>
          <w:p>
            <w:r>
              <w:t xml:space="preserve">None — entire block analysed as one unit</w:t>
            </w:r>
          </w:p>
        </w:tc>
      </w:tr>
    </w:tbl>
    <w:p>
      <w:pPr>
        <w:pStyle w:val="Heading2"/>
      </w:pPr>
      <w:r>
        <w:t xml:space="preserve">7.2 Pipeline Adaptation</w:t>
      </w:r>
    </w:p>
    <w:p>
      <w:pPr>
        <w:spacing w:after="80" w:before="60"/>
      </w:pPr>
      <w:r>
        <w:t xml:space="preserve">Four notebooks were adapted and placed in a new subdirectory (notebooks/block_analysis/) leaving the Phase 1 notebooks untouched. Outputs are written to separate data/processed/block_analysis/ and results/*/block_analysis/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val="clear" w:fill="2E75B6"/>
          </w:tcPr>
          <w:p>
            <w:r>
              <w:rPr>
                <w:b/>
                <w:color w:val="FFFFFF"/>
              </w:rPr>
              <w:t xml:space="preserve">Notebook</w:t>
            </w:r>
          </w:p>
        </w:tc>
        <w:tc>
          <w:tcPr>
            <w:tcW w:type="dxa" w:w="6160"/>
            <w:shd w:val="clear" w:fill="2E75B6"/>
          </w:tcPr>
          <w:p>
            <w:r>
              <w:rPr>
                <w:b/>
                <w:color w:val="FFFFFF"/>
              </w:rPr>
              <w:t xml:space="preserve">Key changes for block analysis</w:t>
            </w:r>
          </w:p>
        </w:tc>
      </w:tr>
      <w:tr>
        <w:tc>
          <w:tcPr>
            <w:tcW w:type="dxa" w:w="3200"/>
            <w:shd w:val="clear" w:fill="D5E8F0"/>
          </w:tcPr>
          <w:p>
            <w:r>
              <w:t xml:space="preserve">01_preprocess_wgbs.ipynb</w:t>
            </w:r>
          </w:p>
        </w:tc>
        <w:tc>
          <w:tcPr>
            <w:tcW w:type="dxa" w:w="6160"/>
            <w:shd w:val="clear" w:fill="D5E8F0"/>
          </w:tcPr>
          <w:p>
            <w:r>
              <w:t xml:space="preserve">New region + updated raw file paths/patterns; subset_window() removed; single _fullblock_methylation.csv output per dataset</w:t>
            </w:r>
          </w:p>
        </w:tc>
      </w:tr>
      <w:tr>
        <w:tc>
          <w:tcPr>
            <w:tcW w:type="dxa" w:w="3200"/>
          </w:tcPr>
          <w:p>
            <w:r>
              <w:t xml:space="preserve">02_ml_pipeline.ipynb</w:t>
            </w:r>
          </w:p>
        </w:tc>
        <w:tc>
          <w:tcPr>
            <w:tcW w:type="dxa" w:w="6160"/>
          </w:tcPr>
          <w:p>
            <w:r>
              <w:t xml:space="preserve">Loads fullblock matrices; results saved to block_analysis/ subdirectories</w:t>
            </w:r>
          </w:p>
        </w:tc>
      </w:tr>
      <w:tr>
        <w:tc>
          <w:tcPr>
            <w:tcW w:type="dxa" w:w="3200"/>
            <w:shd w:val="clear" w:fill="D5E8F0"/>
          </w:tcPr>
          <w:p>
            <w:r>
              <w:t xml:space="preserve">03_mofa.ipynb</w:t>
            </w:r>
          </w:p>
        </w:tc>
        <w:tc>
          <w:tcPr>
            <w:tcW w:type="dxa" w:w="6160"/>
            <w:shd w:val="clear" w:fill="D5E8F0"/>
          </w:tcPr>
          <w:p>
            <w:r>
              <w:t xml:space="preserve">1 view (fullblock) instead of 2 (cpgi + genebody); single-panel variance explained heatmap</w:t>
            </w:r>
          </w:p>
        </w:tc>
      </w:tr>
      <w:tr>
        <w:tc>
          <w:tcPr>
            <w:tcW w:type="dxa" w:w="3200"/>
          </w:tcPr>
          <w:p>
            <w:r>
              <w:t xml:space="preserve">04_meta_analysis.ipynb</w:t>
            </w:r>
          </w:p>
        </w:tc>
        <w:tc>
          <w:tcPr>
            <w:tcW w:type="dxa" w:w="6160"/>
          </w:tcPr>
          <w:p>
            <w:r>
              <w:t xml:space="preserve">Loads fullblock matrices; single-panel volcano plot; MOFA overlap uses fullblock weights</w:t>
            </w:r>
          </w:p>
        </w:tc>
      </w:tr>
    </w:tbl>
    <w:p>
      <w:pPr>
        <w:pStyle w:val="Heading2"/>
      </w:pPr>
      <w:r>
        <w:t xml:space="preserve">7.3 Raw File Format Changes</w:t>
      </w:r>
    </w:p>
    <w:p>
      <w:pPr>
        <w:spacing w:after="80" w:before="60"/>
      </w:pPr>
      <w:r>
        <w:t xml:space="preserve">The block analysis draws from the original full-genome Bismark coverage files rather than pre-extracted ROI TSVs, since the wider region requires re-extraction. All files share the same 6-column format (chrom, start, end, pct, meth, unmeth); only paths and filename patterns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shd w:val="clear" w:fill="2E75B6"/>
          </w:tcPr>
          <w:p>
            <w:r>
              <w:rPr>
                <w:b/>
                <w:color w:val="FFFFFF"/>
              </w:rPr>
              <w:t xml:space="preserve">Dataset</w:t>
            </w:r>
          </w:p>
        </w:tc>
        <w:tc>
          <w:tcPr>
            <w:tcW w:type="dxa" w:w="3200"/>
            <w:shd w:val="clear" w:fill="2E75B6"/>
          </w:tcPr>
          <w:p>
            <w:r>
              <w:rPr>
                <w:b/>
                <w:color w:val="FFFFFF"/>
              </w:rPr>
              <w:t xml:space="preserve">New file pattern</w:t>
            </w:r>
          </w:p>
        </w:tc>
        <w:tc>
          <w:tcPr>
            <w:tcW w:type="dxa" w:w="3760"/>
            <w:shd w:val="clear" w:fill="2E75B6"/>
          </w:tcPr>
          <w:p>
            <w:r>
              <w:rPr>
                <w:b/>
                <w:color w:val="FFFFFF"/>
              </w:rPr>
              <w:t xml:space="preserve">Parse mode</w:t>
            </w:r>
          </w:p>
        </w:tc>
      </w:tr>
      <w:tr>
        <w:tc>
          <w:tcPr>
            <w:tcW w:type="dxa" w:w="2400"/>
            <w:shd w:val="clear" w:fill="D5E8F0"/>
          </w:tcPr>
          <w:p>
            <w:r>
              <w:t xml:space="preserve">stress</w:t>
            </w:r>
          </w:p>
        </w:tc>
        <w:tc>
          <w:tcPr>
            <w:tcW w:type="dxa" w:w="3200"/>
            <w:shd w:val="clear" w:fill="D5E8F0"/>
          </w:tcPr>
          <w:p>
            <w:r>
              <w:t xml:space="preserve">*CpG_evidence.cov.gz.chr.txt.gz</w:t>
            </w:r>
          </w:p>
        </w:tc>
        <w:tc>
          <w:tcPr>
            <w:tcW w:type="dxa" w:w="3760"/>
            <w:shd w:val="clear" w:fill="D5E8F0"/>
          </w:tcPr>
          <w:p>
            <w:r>
              <w:t xml:space="preserve">roi1kb — split(‘_’, 1)[0]</w:t>
            </w:r>
          </w:p>
        </w:tc>
      </w:tr>
      <w:tr>
        <w:tc>
          <w:tcPr>
            <w:tcW w:type="dxa" w:w="2400"/>
          </w:tcPr>
          <w:p>
            <w:r>
              <w:t xml:space="preserve">wildfire</w:t>
            </w:r>
          </w:p>
        </w:tc>
        <w:tc>
          <w:tcPr>
            <w:tcW w:type="dxa" w:w="3200"/>
          </w:tcPr>
          <w:p>
            <w:r>
              <w:t xml:space="preserve">*.cov.gz</w:t>
            </w:r>
          </w:p>
        </w:tc>
        <w:tc>
          <w:tcPr>
            <w:tcW w:type="dxa" w:w="3760"/>
          </w:tcPr>
          <w:p>
            <w:r>
              <w:t xml:space="preserve">roi1kb — split(‘_’, 1)[0]</w:t>
            </w:r>
          </w:p>
        </w:tc>
      </w:tr>
      <w:tr>
        <w:tc>
          <w:tcPr>
            <w:tcW w:type="dxa" w:w="2400"/>
            <w:shd w:val="clear" w:fill="D5E8F0"/>
          </w:tcPr>
          <w:p>
            <w:r>
              <w:t xml:space="preserve">obesity ×3</w:t>
            </w:r>
          </w:p>
        </w:tc>
        <w:tc>
          <w:tcPr>
            <w:tcW w:type="dxa" w:w="3200"/>
            <w:shd w:val="clear" w:fill="D5E8F0"/>
          </w:tcPr>
          <w:p>
            <w:r>
              <w:t xml:space="preserve">*_evidence.cov.gz</w:t>
            </w:r>
          </w:p>
        </w:tc>
        <w:tc>
          <w:tcPr>
            <w:tcW w:type="dxa" w:w="3760"/>
            <w:shd w:val="clear" w:fill="D5E8F0"/>
          </w:tcPr>
          <w:p>
            <w:r>
              <w:t xml:space="preserve">brain — split(‘_’, 1)[0]</w:t>
            </w:r>
          </w:p>
        </w:tc>
      </w:tr>
      <w:tr>
        <w:tc>
          <w:tcPr>
            <w:tcW w:type="dxa" w:w="2400"/>
          </w:tcPr>
          <w:p>
            <w:r>
              <w:t xml:space="preserve">cfDNA ×4</w:t>
            </w:r>
          </w:p>
        </w:tc>
        <w:tc>
          <w:tcPr>
            <w:tcW w:type="dxa" w:w="3200"/>
          </w:tcPr>
          <w:p>
            <w:r>
              <w:t xml:space="preserve">*.roiBlock.tsv.gz</w:t>
            </w:r>
          </w:p>
        </w:tc>
        <w:tc>
          <w:tcPr>
            <w:tcW w:type="dxa" w:w="3760"/>
          </w:tcPr>
          <w:p>
            <w:r>
              <w:t xml:space="preserve">cfdna — strip .roiBlock.tsv.gz suffix</w:t>
            </w:r>
          </w:p>
        </w:tc>
      </w:tr>
    </w:tbl>
    <w:p>
      <w:pPr>
        <w:pStyle w:val="Heading2"/>
      </w:pPr>
      <w:r>
        <w:t xml:space="preserve">7.4 Current Status</w:t>
      </w:r>
    </w:p>
    <w:p>
      <w:pPr>
        <w:spacing w:after="80" w:before="60"/>
      </w:pPr>
      <w:r>
        <w:t xml:space="preserve">All four block analysis notebooks are complete and version-controlled on GitHub (Ensiuc/CpG_Methylation_ML, branch main). Preprocessing (notebook 01) is currently running on the HPC cluster. Subsequent steps (ML pipeline, MOFA+, meta-analysis) will follow once preprocessing outputs are verified.</w:t>
      </w:r>
    </w:p>
    <w:p>
      <w:pPr>
        <w:pStyle w:val="Heading1"/>
      </w:pPr>
      <w:r>
        <w:t xml:space="preserve">8. Incident Report: Git Recovery of Lost Block Analysis Notebooks</w:t>
      </w:r>
    </w:p>
    <w:p>
      <w:pPr>
        <w:pStyle w:val="Heading2"/>
      </w:pPr>
      <w:r>
        <w:t xml:space="preserve">8.1 What Happened</w:t>
      </w:r>
    </w:p>
    <w:p>
      <w:pPr>
        <w:spacing w:after="80" w:before="60"/>
      </w:pPr>
      <w:r>
        <w:t xml:space="preserve">During development of the block analysis pipeline on the UC Davis Hive HPC cluster, a git pull --rebase operation from GitHub overwrote the working directory with remote versions of the scripts. The block_analysis notebooks (02_ml_pipeline, 03_mofa, 04_meta_analysis across all datasets) had not yet been pushed to GitHub and appeared lost. Recovery was achieved entirely through git’s internal object database and Jupyter’s automatic checkpoint files.</w:t>
      </w:r>
    </w:p>
    <w:p>
      <w:pPr>
        <w:pStyle w:val="Heading2"/>
      </w:pPr>
      <w:r>
        <w:t xml:space="preserve">8.2 Recovery Steps</w:t>
      </w:r>
    </w:p>
    <w:p>
      <w:pPr>
        <w:pStyle w:val="Heading3"/>
      </w:pPr>
      <w:r>
        <w:t xml:space="preserve">Step 1 — Check for HPC Filesystem Snapshots</w:t>
      </w:r>
    </w:p>
    <w:p>
      <w:pPr>
        <w:spacing w:after="80" w:before="60"/>
      </w:pPr>
      <w:r>
        <w:t xml:space="preserve">Many HPC clusters maintain automatic rolling snapshots of home and project directories (common on Lustre/GPFS storage). These are the fastest recovery path when available.</w:t>
      </w:r>
    </w:p>
    <w:p>
      <w:pPr>
        <w:shd w:val="clear" w:fill="F0F0F0"/>
        <w:spacing w:after="40" w:before="40"/>
        <w:ind w:left="720"/>
      </w:pPr>
      <w:r>
        <w:rPr>
          <w:rFonts w:ascii="Courier New" w:hAnsi="Courier New"/>
          <w:sz w:val="20"/>
        </w:rPr>
        <w:t xml:space="preserve">ls ~/.snapshot/   # or /gpfs/.snapshots/ or /scratch/.snapshot/</w:t>
      </w:r>
    </w:p>
    <w:p>
      <w:pPr>
        <w:spacing w:after="80" w:before="60"/>
      </w:pPr>
      <w:r>
        <w:t xml:space="preserve">Result: No snapshots were available on this cluster. Proceeded to git-based recovery.</w:t>
      </w:r>
    </w:p>
    <w:p>
      <w:pPr>
        <w:pStyle w:val="Heading3"/>
      </w:pPr>
      <w:r>
        <w:t xml:space="preserve">Step 2 — Inspect the Git Reflog</w:t>
      </w:r>
    </w:p>
    <w:p>
      <w:pPr>
        <w:spacing w:after="80" w:before="60"/>
      </w:pPr>
      <w:r>
        <w:t xml:space="preserve">The reflog records every movement of HEAD, including local commits that were never pushed. It is local-only and expires after approximately 90 days.</w:t>
      </w:r>
    </w:p>
    <w:p>
      <w:pPr>
        <w:shd w:val="clear" w:fill="F0F0F0"/>
        <w:spacing w:after="40" w:before="40"/>
        <w:ind w:left="720"/>
      </w:pPr>
      <w:r>
        <w:rPr>
          <w:rFonts w:ascii="Courier New" w:hAnsi="Courier New"/>
          <w:sz w:val="20"/>
        </w:rPr>
        <w:t xml:space="preserve">git reflog --all</w:t>
      </w:r>
    </w:p>
    <w:p>
      <w:pPr>
        <w:spacing w:after="80" w:before="60"/>
      </w:pPr>
      <w:r>
        <w:t xml:space="preserve">Key finding: two dangling stash commits were visible in the output — entries automatically created by git during the rebase to snapshot the working directory state. The most important was commit 1e75d0f6 (“WIP on main: faa8c87 updated path to original cov.gz files to pull out the block region”), which captured the full working state just before the rebase.</w:t>
      </w:r>
    </w:p>
    <w:p>
      <w:pPr>
        <w:pStyle w:val="Heading3"/>
      </w:pPr>
      <w:r>
        <w:t xml:space="preserve">Step 3 — Search for Dangling Git Objects</w:t>
      </w:r>
    </w:p>
    <w:p>
      <w:pPr>
        <w:spacing w:after="80" w:before="60"/>
      </w:pPr>
      <w:r>
        <w:t xml:space="preserve">git fsck finds all objects in the git object database that are no longer referenced by any branch or tag. These “dangling” objects persist until git gc prunes them.</w:t>
      </w:r>
    </w:p>
    <w:p>
      <w:pPr>
        <w:shd w:val="clear" w:fill="F0F0F0"/>
        <w:spacing w:after="40" w:before="40"/>
        <w:ind w:left="720"/>
      </w:pPr>
      <w:r>
        <w:rPr>
          <w:rFonts w:ascii="Courier New" w:hAnsi="Courier New"/>
          <w:sz w:val="20"/>
        </w:rPr>
        <w:t xml:space="preserve">git fsck --lost-found 2&gt;/dev/null</w:t>
      </w:r>
    </w:p>
    <w:p>
      <w:pPr>
        <w:spacing w:after="80" w:before="60"/>
      </w:pPr>
      <w:r>
        <w:t xml:space="preserve">Result: Three dangling objects found — one blob and two dangling commits (the git stash WIP snapshots).</w:t>
      </w:r>
    </w:p>
    <w:p>
      <w:pPr>
        <w:pStyle w:val="Heading3"/>
      </w:pPr>
      <w:r>
        <w:t xml:space="preserve">Step 4 — List All Files Inside the Stash Commit</w:t>
      </w:r>
    </w:p>
    <w:p>
      <w:pPr>
        <w:spacing w:after="80" w:before="60"/>
      </w:pPr>
      <w:r>
        <w:t xml:space="preserve">A git stash commit is a merge commit with up to three parents: the base branch state (^1), the staged/index state (^2), and optionally untracked files (^3). All three were listed to find the missing notebooks:</w:t>
      </w:r>
    </w:p>
    <w:p>
      <w:pPr>
        <w:shd w:val="clear" w:fill="F0F0F0"/>
        <w:spacing w:after="40" w:before="40"/>
        <w:ind w:left="720"/>
      </w:pPr>
      <w:r>
        <w:rPr>
          <w:rFonts w:ascii="Courier New" w:hAnsi="Courier New"/>
          <w:sz w:val="20"/>
        </w:rPr>
        <w:t xml:space="preserve">git ls-tree -r 1e75d0f6f1f17dd56745459135157557b5c9bc29</w:t>
      </w:r>
    </w:p>
    <w:p>
      <w:pPr>
        <w:shd w:val="clear" w:fill="F0F0F0"/>
        <w:spacing w:after="40" w:before="40"/>
        <w:ind w:left="720"/>
      </w:pPr>
      <w:r>
        <w:rPr>
          <w:rFonts w:ascii="Courier New" w:hAnsi="Courier New"/>
          <w:sz w:val="20"/>
        </w:rPr>
        <w:t xml:space="preserve">git ls-tree -r 1e75d0f6f1f17dd56745459135157557b5c9bc29^2</w:t>
      </w:r>
    </w:p>
    <w:p>
      <w:pPr>
        <w:spacing w:after="80" w:before="60"/>
      </w:pPr>
      <w:r>
        <w:t xml:space="preserve">Result: All nine block_analysis/02_ml_pipeline_*.ipynb notebooks were present as git blob objects in the stash tree, along with pipeline/ml_pipeline.py.</w:t>
      </w:r>
    </w:p>
    <w:p>
      <w:pPr>
        <w:pStyle w:val="Heading3"/>
      </w:pPr>
      <w:r>
        <w:t xml:space="preserve">Step 5 — Restore Files from the Dangling Stash</w:t>
      </w:r>
    </w:p>
    <w:p>
      <w:pPr>
        <w:spacing w:after="80" w:before="60"/>
      </w:pPr>
      <w:r>
        <w:t xml:space="preserve">The entire block_analysis/ directory was checked out directly from the dangling stash commit hash without switching branches:</w:t>
      </w:r>
    </w:p>
    <w:p>
      <w:pPr>
        <w:shd w:val="clear" w:fill="F0F0F0"/>
        <w:spacing w:after="40" w:before="40"/>
        <w:ind w:left="720"/>
      </w:pPr>
      <w:r>
        <w:rPr>
          <w:rFonts w:ascii="Courier New" w:hAnsi="Courier New"/>
          <w:sz w:val="20"/>
        </w:rPr>
        <w:t xml:space="preserve">git checkout 1e75d0f6f1f17dd56745459135157557b5c9bc29 -- notebooks/block_analysis/</w:t>
      </w:r>
    </w:p>
    <w:p>
      <w:pPr>
        <w:shd w:val="clear" w:fill="F0F0F0"/>
        <w:spacing w:after="40" w:before="40"/>
        <w:ind w:left="720"/>
      </w:pPr>
      <w:r>
        <w:rPr>
          <w:rFonts w:ascii="Courier New" w:hAnsi="Courier New"/>
          <w:sz w:val="20"/>
        </w:rPr>
        <w:t xml:space="preserve">git checkout 1e75d0f6f1f17dd56745459135157557b5c9bc29 -- pipeline/ml_pipeline.py</w:t>
      </w:r>
    </w:p>
    <w:p>
      <w:pPr>
        <w:spacing w:after="80" w:before="60"/>
      </w:pPr>
      <w:r>
        <w:t xml:space="preserve">This restored 9 block_analysis notebooks and ml_pipeline.py without touching any other files. Because the checkout placed git in a detached HEAD state, the branch pointer was corrected before pushing:</w:t>
      </w:r>
    </w:p>
    <w:p>
      <w:pPr>
        <w:shd w:val="clear" w:fill="F0F0F0"/>
        <w:spacing w:after="40" w:before="40"/>
        <w:ind w:left="720"/>
      </w:pPr>
      <w:r>
        <w:rPr>
          <w:rFonts w:ascii="Courier New" w:hAnsi="Courier New"/>
          <w:sz w:val="20"/>
        </w:rPr>
        <w:t xml:space="preserve">git add notebooks/block_analysis/ pipeline/ml_pipeline.py</w:t>
      </w:r>
    </w:p>
    <w:p>
      <w:pPr>
        <w:shd w:val="clear" w:fill="F0F0F0"/>
        <w:spacing w:after="40" w:before="40"/>
        <w:ind w:left="720"/>
      </w:pPr>
      <w:r>
        <w:rPr>
          <w:rFonts w:ascii="Courier New" w:hAnsi="Courier New"/>
          <w:sz w:val="20"/>
        </w:rPr>
        <w:t xml:space="preserve">git commit -m "Restore block_analysis notebooks from dangling stash"</w:t>
      </w:r>
    </w:p>
    <w:p>
      <w:pPr>
        <w:shd w:val="clear" w:fill="F0F0F0"/>
        <w:spacing w:after="40" w:before="40"/>
        <w:ind w:left="720"/>
      </w:pPr>
      <w:r>
        <w:rPr>
          <w:rFonts w:ascii="Courier New" w:hAnsi="Courier New"/>
          <w:sz w:val="20"/>
        </w:rPr>
        <w:t xml:space="preserve">git checkout -B main   # move main branch pointer to current detached HEAD</w:t>
      </w:r>
    </w:p>
    <w:p>
      <w:pPr>
        <w:shd w:val="clear" w:fill="F0F0F0"/>
        <w:spacing w:after="40" w:before="40"/>
        <w:ind w:left="720"/>
      </w:pPr>
      <w:r>
        <w:rPr>
          <w:rFonts w:ascii="Courier New" w:hAnsi="Courier New"/>
          <w:sz w:val="20"/>
        </w:rPr>
        <w:t xml:space="preserve">git push origin main</w:t>
      </w:r>
    </w:p>
    <w:p>
      <w:pPr>
        <w:pStyle w:val="Heading3"/>
      </w:pPr>
      <w:r>
        <w:t xml:space="preserve">Step 6 — Recover 03_mofa and 04_meta_analysis from Jupyter Checkpoints</w:t>
      </w:r>
    </w:p>
    <w:p>
      <w:pPr>
        <w:spacing w:after="80" w:before="60"/>
      </w:pPr>
      <w:r>
        <w:t xml:space="preserve">The block_analysis versions of 03_mofa.ipynb and 04_meta_analysis.ipynb were present in the stash but as outdated (region analysis) copies — the block-specific versions had never been committed. Jupyter automatically saves checkpoint files every time a cell is executed, stored in hidden .ipynb_checkpoints/ folders next to each notebook.</w:t>
      </w:r>
    </w:p>
    <w:p>
      <w:pPr>
        <w:shd w:val="clear" w:fill="F0F0F0"/>
        <w:spacing w:after="40" w:before="40"/>
        <w:ind w:left="720"/>
      </w:pPr>
      <w:r>
        <w:rPr>
          <w:rFonts w:ascii="Courier New" w:hAnsi="Courier New"/>
          <w:sz w:val="20"/>
        </w:rPr>
        <w:t xml:space="preserve">ls notebooks/block_analysis/.ipynb_checkpoints/</w:t>
      </w:r>
    </w:p>
    <w:p>
      <w:pPr>
        <w:spacing w:after="80" w:before="60"/>
      </w:pPr>
      <w:r>
        <w:t xml:space="preserve">Both checkpoint files were present. They were copied over the stale versions and committed:</w:t>
      </w:r>
    </w:p>
    <w:p>
      <w:pPr>
        <w:shd w:val="clear" w:fill="F0F0F0"/>
        <w:spacing w:after="40" w:before="40"/>
        <w:ind w:left="720"/>
      </w:pPr>
      <w:r>
        <w:rPr>
          <w:rFonts w:ascii="Courier New" w:hAnsi="Courier New"/>
          <w:sz w:val="20"/>
        </w:rPr>
        <w:t xml:space="preserve">cp .ipynb_checkpoints/03_mofa-checkpoint.ipynb 03_mofa.ipynb</w:t>
      </w:r>
    </w:p>
    <w:p>
      <w:pPr>
        <w:shd w:val="clear" w:fill="F0F0F0"/>
        <w:spacing w:after="40" w:before="40"/>
        <w:ind w:left="720"/>
      </w:pPr>
      <w:r>
        <w:rPr>
          <w:rFonts w:ascii="Courier New" w:hAnsi="Courier New"/>
          <w:sz w:val="20"/>
        </w:rPr>
        <w:t xml:space="preserve">cp .ipynb_checkpoints/04_meta_analysis-checkpoint.ipynb 04_meta_analysis.ipynb</w:t>
      </w:r>
    </w:p>
    <w:p>
      <w:pPr>
        <w:shd w:val="clear" w:fill="F0F0F0"/>
        <w:spacing w:after="40" w:before="40"/>
        <w:ind w:left="720"/>
      </w:pPr>
      <w:r>
        <w:rPr>
          <w:rFonts w:ascii="Courier New" w:hAnsi="Courier New"/>
          <w:sz w:val="20"/>
        </w:rPr>
        <w:t xml:space="preserve">git add 03_mofa.ipynb 04_meta_analysis.ipynb &amp;&amp; git commit -m "Restore from Jupyter checkpoints" &amp;&amp; git push origin main</w:t>
      </w:r>
    </w:p>
    <w:p>
      <w:pPr>
        <w:pStyle w:val="Heading2"/>
      </w:pPr>
      <w:r>
        <w:t xml:space="preserve">8.3 Lessons Learned</w:t>
      </w:r>
    </w:p>
    <w:p>
      <w:pPr>
        <w:spacing w:after="80" w:before="60"/>
      </w:pPr>
      <w:r>
        <w:t xml:space="preserve">Commit frequently on the cluster. Even a local commit (not pushed) protects work in the git reflog and object database. A committed file is always recoverable within ~90 days; a loose uncommitted file is not. The recommended habit is to commit at the end of every working session on the cluster, even if the work is incomplete, using a message like “WIP: block analysis preprocessing draft”.</w:t>
      </w:r>
    </w:p>
    <w:p>
      <w:pPr>
        <w:spacing w:after="80" w:before="60"/>
      </w:pPr>
      <w:r>
        <w:t xml:space="preserve">Push before pulling. Always run git push before git pull or git pull --rebase when working across multiple machines (local and cluster). This ensures the remote always holds the most recent version before any sync operation.</w:t>
      </w:r>
    </w:p>
    <w:p>
      <w:pPr>
        <w:spacing w:after="80" w:before="60"/>
      </w:pPr>
      <w:r>
        <w:t xml:space="preserve">Jupyter checkpoints are a safety net. The .ipynb_checkpoints/ directory is created automatically by Jupyter every time a cell is executed. For notebooks that have been run but not committed, checkpoints may be the only copy of recent work. These should not be added to .gitignore.</w:t>
      </w:r>
    </w:p>
    <w:p>
      <w:pPr>
        <w:pStyle w:val="Heading1"/>
      </w:pPr>
      <w:r>
        <w:t xml:space="preserve">9. Phase 2 Block Analysis Results</w:t>
      </w:r>
    </w:p>
    <w:p>
      <w:pPr>
        <w:spacing w:after="80" w:before="60"/>
      </w:pPr>
      <w:r>
        <w:t xml:space="preserve">Phase 2 block analysis notebooks (03_mofa.ipynb and 04_meta_analysis.ipynb) were run on the HPC cluster over the full 134 kb block (chr10:2,307,563–2,441,516, rheMac10; 2,766 CpGs after coverage filter). Unlike Phase 1, which analysed a 12 kb sub-region with two views (CpGI + genebody), Phase 2 treats the entire block as a single view (“fullblock”) across all 9 cohorts.</w:t>
      </w:r>
    </w:p>
    <w:p>
      <w:pPr>
        <w:spacing w:after="60" w:before="60"/>
      </w:pPr>
      <w:r>
        <w:t xml:space="preserve"/>
      </w:r>
    </w:p>
    <w:p>
      <w:pPr>
        <w:pStyle w:val="Heading2"/>
      </w:pPr>
      <w:r>
        <w:t xml:space="preserve">9.1 MOFA+ Multi-Dataset Integration (Block)</w:t>
      </w:r>
    </w:p>
    <w:p>
      <w:pPr>
        <w:spacing w:after="80" w:before="60"/>
      </w:pPr>
      <w:r>
        <w:t xml:space="preserve">MOFA+ converged in 146 iterations (5 factors, 9 groups, 1 view). MOFA+ converged in 146 iterations (5 factors, 9 groups, 1 view). Factor 1 is the dominant factor, explaining 2.6–5.3% variance in tissue cohorts (wildfire 5.3%, obesity groups 3.0–3.9%, stress 2.6%) but only 0.1–0.9% in cfDNA cohorts, indicating shared methylation variation across exposure types and tissues. Its top CpGs are distributed across chr10:2,354,038–2,416,040 (a 62 kb band in the middle of the block), with no concentration near the Phase 1 hotspot. Factor 2 shows secondary brain-tissue enrichment, with highest VE in obesity_hippocampus (2.78%) and wildfire (1.74%), and negligible signal in cfDNA cohorts. Factor 3 is highly specific to cfdna_GD120 (5.52% variance explained) and Factor 4 to cfdna_GD150 (3.36%), capturing gestational-stage-specific cfDNA methylation dynamics. No factor-label association survived Bonferroni correction (45 tests; best p = 0.035, F1 in obesity_prefrontalcortex).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900"/>
        <w:gridCol w:w="2700"/>
        <w:gridCol w:w="2000"/>
      </w:tblGrid>
      <w:tr>
        <w:tc>
          <w:tcPr>
            <w:tcW w:w="156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Factor</w:t>
            </w:r>
          </w:p>
        </w:tc>
        <w:tc>
          <w:tcPr>
            <w:tcW w:w="22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Dominant cohort(s)</w:t>
            </w:r>
          </w:p>
        </w:tc>
        <w:tc>
          <w:tcPr>
            <w:tcW w:w="9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VE%</w:t>
            </w:r>
          </w:p>
        </w:tc>
        <w:tc>
          <w:tcPr>
            <w:tcW w:w="27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Top CpG region</w:t>
            </w:r>
          </w:p>
        </w:tc>
        <w:tc>
          <w:tcPr>
            <w:tcW w:w="20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Interpretation</w:t>
            </w:r>
          </w:p>
        </w:tc>
      </w:tr>
      <w:tr>
        <w:tc>
          <w:tcPr>
            <w:tcW w:w="15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F1</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All 9 (2.6–5.3%)</w:t>
            </w:r>
          </w:p>
        </w:tc>
        <w:tc>
          <w:tcPr>
            <w:tcW w:w="9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2.6–5.3</w:t>
            </w:r>
          </w:p>
        </w:tc>
        <w:tc>
          <w:tcPr>
            <w:tcW w:w="27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chr10:2,354,038–2,416,040</w:t>
            </w:r>
          </w:p>
        </w:tc>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Shared block-wide variation</w:t>
            </w:r>
          </w:p>
        </w:tc>
      </w:tr>
      <w:tr>
        <w:tc>
          <w:tcPr>
            <w:tcW w:w="1560" w:type="dxa"/>
            <w:shd w:val="clear" w:color="auto" w:fill="FFFFFF"/>
          </w:tcPr>
          <w:p>
            <w:pPr>
              <w:spacing w:after="60" w:before="60"/>
            </w:pPr>
            <w:r>
              <w:t xml:space="preserve">F2</w:t>
            </w:r>
          </w:p>
        </w:tc>
        <w:tc>
          <w:tcPr>
            <w:tcW w:w="2200" w:type="dxa"/>
            <w:shd w:val="clear" w:color="auto" w:fill="FFFFFF"/>
          </w:tcPr>
          <w:p>
            <w:pPr>
              <w:spacing w:after="60" w:before="60"/>
            </w:pPr>
            <w:r>
              <w:t xml:space="preserve">obesity_hippocampus, wildfire</w:t>
            </w:r>
          </w:p>
        </w:tc>
        <w:tc>
          <w:tcPr>
            <w:tcW w:w="900" w:type="dxa"/>
            <w:shd w:val="clear" w:color="auto" w:fill="FFFFFF"/>
          </w:tcPr>
          <w:p>
            <w:pPr>
              <w:spacing w:after="60" w:before="60"/>
            </w:pPr>
            <w:r>
              <w:t xml:space="preserve">1.4–2.8</w:t>
            </w:r>
          </w:p>
        </w:tc>
        <w:tc>
          <w:tcPr>
            <w:tcW w:w="2700" w:type="dxa"/>
            <w:shd w:val="clear" w:color="auto" w:fill="FFFFFF"/>
          </w:tcPr>
          <w:p>
            <w:pPr>
              <w:spacing w:after="60" w:before="60"/>
            </w:pPr>
            <w:r>
              <w:t xml:space="preserve">Distributed</w:t>
            </w:r>
          </w:p>
        </w:tc>
        <w:tc>
          <w:tcPr>
            <w:tcW w:w="2000" w:type="dxa"/>
            <w:shd w:val="clear" w:color="auto" w:fill="FFFFFF"/>
          </w:tcPr>
          <w:p>
            <w:pPr>
              <w:spacing w:after="60" w:before="60"/>
            </w:pPr>
            <w:r>
              <w:t xml:space="preserve">Brain/tissue enriched</w:t>
            </w:r>
          </w:p>
        </w:tc>
      </w:tr>
      <w:tr>
        <w:tc>
          <w:tcPr>
            <w:tcW w:w="15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F3</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cfdna_GD120</w:t>
            </w:r>
          </w:p>
        </w:tc>
        <w:tc>
          <w:tcPr>
            <w:tcW w:w="9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5.52</w:t>
            </w:r>
          </w:p>
        </w:tc>
        <w:tc>
          <w:tcPr>
            <w:tcW w:w="27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Distributed</w:t>
            </w:r>
          </w:p>
        </w:tc>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Mid-gestation cfDNA specific</w:t>
            </w:r>
          </w:p>
        </w:tc>
      </w:tr>
      <w:tr>
        <w:tc>
          <w:tcPr>
            <w:tcW w:w="15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F4</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cfdna_GD150</w:t>
            </w:r>
          </w:p>
        </w:tc>
        <w:tc>
          <w:tcPr>
            <w:tcW w:w="9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3.36</w:t>
            </w:r>
          </w:p>
        </w:tc>
        <w:tc>
          <w:tcPr>
            <w:tcW w:w="27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Distributed</w:t>
            </w:r>
          </w:p>
        </w:tc>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Late-gestation cfDNA specific</w:t>
            </w:r>
          </w:p>
        </w:tc>
      </w:tr>
    </w:tbl>
    <w:p>
      <w:pPr>
        <w:spacing w:after="60" w:before="60"/>
      </w:pPr>
      <w:r>
        <w:t xml:space="preserve"/>
      </w:r>
    </w:p>
    <w:p>
      <w:pPr>
        <w:pStyle w:val="Heading2"/>
      </w:pPr>
      <w:r>
        <w:t xml:space="preserve">9.2 Per-CpG Meta-Analysis (Block)</w:t>
      </w:r>
    </w:p>
    <w:p>
      <w:pPr>
        <w:spacing w:after="80" w:before="60"/>
      </w:pPr>
      <w:r>
        <w:t xml:space="preserve">5,585 unique CpGs were tested by Stouffer meta-analysis across all 9 cohorts. Zero CpGs reached FDR significance (all FDR ≈ 0.99), consistent with the modest effect sizes expected in an observational epigenomics study of this sample size. The top hit by combined Z-score is chr10:2,320,821 (Z = 3.47, p = 0.0005, Δβ = 0.183, consistency = 1.00 across all 9 datasets). This position is 13 kb from the block start, entirely outside the Phase 1 analysis window. The top 10 meta CpGs span chr10:2,320,821–2,417,571 (96.8 kb). There is zero overlap between the top MOFA+ Factor 1 CpGs and the top meta-analysis CpGs, indicating the two methods capture complementary aspects of methylation variation.</w:t>
      </w:r>
    </w:p>
    <w:p>
      <w:pPr>
        <w:spacing w:after="60" w:before="60"/>
      </w:pPr>
      <w:r>
        <w:t xml:space="preserve"/>
      </w:r>
    </w:p>
    <w:p>
      <w:pPr>
        <w:pStyle w:val="Heading1"/>
      </w:pPr>
      <w:r>
        <w:t xml:space="preserve">10. Comparative Genomics and Cross-Species Annotation</w:t>
      </w:r>
    </w:p>
    <w:p>
      <w:pPr>
        <w:spacing w:after="80" w:before="60"/>
      </w:pPr>
      <w:r>
        <w:t xml:space="preserve">Comparative genomics analysis was performed in notebook 05_comparative_genomics.ipynb to establish the human equivalent of the macaque block and to annotate MOFA+ and meta-analysis CpGs against human regulatory databases. All coordinate mapping used proper UCSC liftOver (rheMac10ToHg38.over.chain.gz) rather than arithmetic offset, correcting the coordinate error identified in the Phase 1 report.</w:t>
      </w:r>
    </w:p>
    <w:p>
      <w:pPr>
        <w:spacing w:after="60" w:before="60"/>
      </w:pPr>
      <w:r>
        <w:t xml:space="preserve"/>
      </w:r>
    </w:p>
    <w:p>
      <w:pPr>
        <w:pStyle w:val="Heading2"/>
      </w:pPr>
      <w:r>
        <w:t xml:space="preserve">10.1 Block Synteny</w:t>
      </w:r>
    </w:p>
    <w:p>
      <w:pPr>
        <w:spacing w:after="80" w:before="60"/>
      </w:pPr>
      <w:r>
        <w:t xml:space="preserve">The 134 kb macaque block (chr10:2,307,563–2,441,516, rheMac10) is syntenic to chr22:49,044,669–49,162,642 in hg38, on the negative strand. The negative strand orientation means macaque and human coordinates run in opposite directions: positions near the start of the macaque block map to the end of the human locus and vice versa. Both the macaque and human loci contain the NHIP lncRNA (macaque: LOC107000703; human transcripts uc340ege.1, uc340egd.1).</w:t>
      </w:r>
    </w:p>
    <w:p>
      <w:pPr>
        <w:spacing w:after="60" w:before="60"/>
      </w:pPr>
      <w:r>
        <w:t xml:space="preserve"/>
      </w:r>
    </w:p>
    <w:p>
      <w:pPr>
        <w:pStyle w:val="Heading2"/>
      </w:pPr>
      <w:r>
        <w:t xml:space="preserve">10.2 LiftOver Results</w:t>
      </w:r>
    </w:p>
    <w:p>
      <w:pPr>
        <w:spacing w:after="80" w:before="60"/>
      </w:pPr>
      <w:r>
        <w:t xml:space="preserve">2,784 CpG positions were submitted to liftOver. 2,236 (80.3%) mapped successfully, all to chr22 (hg38 range: 49,043,944–49,162,643). 548 positions (19.7%) were unmapped, concentrated in the AluYRb3 SINE region.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c>
          <w:tcPr>
            <w:tcW w:w="20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Region</w:t>
            </w:r>
          </w:p>
        </w:tc>
        <w:tc>
          <w:tcPr>
            <w:tcW w:w="22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Macaque (rheMac10)</w:t>
            </w:r>
          </w:p>
        </w:tc>
        <w:tc>
          <w:tcPr>
            <w:tcW w:w="216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Human (hg38)</w:t>
            </w:r>
          </w:p>
        </w:tc>
        <w:tc>
          <w:tcPr>
            <w:tcW w:w="3000" w:type="dxa"/>
            <w:tcBorders>
              <w:top w:val="single" w:color="auto" w:sz="4"/>
              <w:left w:val="single" w:color="auto" w:sz="4"/>
              <w:bottom w:val="single" w:color="auto" w:sz="4"/>
              <w:right w:val="single" w:color="auto" w:sz="4"/>
              <w:insideH w:val="single" w:color="auto" w:sz="4"/>
              <w:insideV w:val="single" w:color="auto" w:sz="4"/>
            </w:tcBorders>
            <w:shd w:val="clear" w:color="auto" w:fill="D5E8F0"/>
          </w:tcPr>
          <w:p>
            <w:pPr>
              <w:spacing w:after="60" w:before="60"/>
            </w:pPr>
            <w:r>
              <w:rPr>
                <w:b/>
                <w:bCs/>
              </w:rPr>
              <w:t xml:space="preserve">Status</w:t>
            </w:r>
          </w:p>
        </w:tc>
      </w:tr>
      <w:tr>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Phase 1 hotspot</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chr10:2,435,505–2,435,579</w:t>
            </w:r>
          </w:p>
        </w:tc>
        <w:tc>
          <w:tcPr>
            <w:tcW w:w="21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w:t>
            </w:r>
          </w:p>
        </w:tc>
        <w:tc>
          <w:tcPr>
            <w:tcW w:w="3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UNMAPPED — AluYRb3 macaque-specific</w:t>
            </w:r>
          </w:p>
        </w:tc>
      </w:tr>
      <w:tr>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Phase 2 meta top hit</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chr10:2,320,821</w:t>
            </w:r>
          </w:p>
        </w:tc>
        <w:tc>
          <w:tcPr>
            <w:tcW w:w="21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chr22:49,150,733</w:t>
            </w:r>
          </w:p>
        </w:tc>
        <w:tc>
          <w:tcPr>
            <w:tcW w:w="3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Mapped; dELS cCRE (ENCODE4)</w:t>
            </w:r>
          </w:p>
        </w:tc>
      </w:tr>
      <w:tr>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Block start</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chr10:2,307,563</w:t>
            </w:r>
          </w:p>
        </w:tc>
        <w:tc>
          <w:tcPr>
            <w:tcW w:w="21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chr22:∼49,162,643</w:t>
            </w:r>
          </w:p>
        </w:tc>
        <w:tc>
          <w:tcPr>
            <w:tcW w:w="3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Mapped</w:t>
            </w:r>
          </w:p>
        </w:tc>
      </w:tr>
      <w:tr>
        <w:tc>
          <w:tcPr>
            <w:tcW w:w="2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Block end</w:t>
            </w:r>
          </w:p>
        </w:tc>
        <w:tc>
          <w:tcPr>
            <w:tcW w:w="22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chr10:2,441,516</w:t>
            </w:r>
          </w:p>
        </w:tc>
        <w:tc>
          <w:tcPr>
            <w:tcW w:w="216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chr22:∼49,043,944</w:t>
            </w:r>
          </w:p>
        </w:tc>
        <w:tc>
          <w:tcPr>
            <w:tcW w:w="3000" w:type="dxa"/>
            <w:tcBorders>
              <w:top w:val="single" w:color="auto" w:sz="4"/>
              <w:left w:val="single" w:color="auto" w:sz="4"/>
              <w:bottom w:val="single" w:color="auto" w:sz="4"/>
              <w:right w:val="single" w:color="auto" w:sz="4"/>
              <w:insideH w:val="single" w:color="auto" w:sz="4"/>
              <w:insideV w:val="single" w:color="auto" w:sz="4"/>
            </w:tcBorders>
          </w:tcPr>
          <w:p>
            <w:pPr>
              <w:spacing w:after="60" w:before="60"/>
            </w:pPr>
            <w:r>
              <w:rPr/>
              <w:t xml:space="preserve">Mapped</w:t>
            </w:r>
          </w:p>
        </w:tc>
      </w:tr>
    </w:tbl>
    <w:p>
      <w:pPr>
        <w:spacing w:after="60" w:before="60"/>
      </w:pPr>
      <w:r>
        <w:t xml:space="preserve"/>
      </w:r>
    </w:p>
    <w:p>
      <w:pPr>
        <w:pStyle w:val="Heading2"/>
      </w:pPr>
      <w:r>
        <w:t xml:space="preserve">10.3 Phase 1 Hotspot: Macaque-Specific</w:t>
      </w:r>
    </w:p>
    <w:p>
      <w:pPr>
        <w:spacing w:after="80" w:before="60"/>
      </w:pPr>
      <w:r>
        <w:t xml:space="preserve">The Phase 1 hotspot (74 bp, chr10:2,435,505–2,435,579) falls entirely within an AluYRb3 SINE element (chr10:2,435,501–2,435,798, 2.4% diverged, macaque-lineage specific). LiftOver confirms this element has no human sequence equivalent: all 8 hotspot CpGs are unmapped. This means the Phase 1 methylation signal, while reproducible across cohorts, is inherently macaque-specific and has no direct human regulatory counterpart. It may reflect epigenetic regulation of the SINE element itself, or read-through effects on the NHIP lncRNA, but cannot be interpreted via human ENCODE or ChIP-seq databases.</w:t>
      </w:r>
    </w:p>
    <w:p>
      <w:pPr>
        <w:spacing w:after="60" w:before="60"/>
      </w:pPr>
      <w:r>
        <w:t xml:space="preserve"/>
      </w:r>
    </w:p>
    <w:p>
      <w:pPr>
        <w:pStyle w:val="Heading2"/>
      </w:pPr>
      <w:r>
        <w:t xml:space="preserve">10.4 Phase 2 Top Hit: Intronic Enhancer in NHIP</w:t>
      </w:r>
    </w:p>
    <w:p>
      <w:pPr>
        <w:spacing w:after="80" w:before="60"/>
      </w:pPr>
      <w:r>
        <w:t xml:space="preserve">The Phase 2 meta-analysis top hit (chr10:2,320,821; Z = 3.47, Δβ = 0.183, consistency = 1.00 across all 9 cohorts) maps to chr22:49,150,733 in hg38 by liftOver. This position falls inside the NHIP lncRNA gene body (transcripts uc340ege.1 chr22:49,147,460–49,152,323 and uc340egd.1 chr22:49,147,461–49,156,815) and overlaps directly with an ENCODE4 distal enhancer-like element (dELS cCRE: chr22:49,150,729–49,151,073, 4 bp offset). Six dELS cCREs are clustered within ±2 kb of this position, indicating a regulatory-dense zone. A dELS element is defined by open chromatin (DNase hypersensitivity) and H3K27Ac signal more than 2 kb from any annotated TSS, consistent with an active intronic enhancer. Unlike the Phase 1 hotspot, this finding is directly annotatable in humans and represents a potentially translatable result.</w:t>
      </w:r>
    </w:p>
    <w:p>
      <w:pPr>
        <w:spacing w:after="60" w:before="60"/>
      </w:pPr>
      <w:r>
        <w:t xml:space="preserve"/>
      </w:r>
    </w:p>
    <w:p>
      <w:pPr>
        <w:pStyle w:val="Heading2"/>
      </w:pPr>
      <w:r>
        <w:t xml:space="preserve">10.5 Updated Proposed Conclusion</w:t>
      </w:r>
    </w:p>
    <w:p>
      <w:pPr>
        <w:spacing w:after="80" w:before="60"/>
      </w:pPr>
      <w:r>
        <w:t xml:space="preserve">Phase 1: Early-life adversity is associated with hypomethylation at a 74 bp hotspot (chr10:2,435,505–2,435,579, rheMac10) in the macaque NHIP lncRNA, lying within a young macaque-lineage AluYRb3 SINE element. This signal is macaque-specific (unmapped by liftOver) and cannot be annotated in human regulatory databases. The late-gestational cfDNA cohort (GD150) shows hypermethylation, suggesting a dynamic response across gestation.</w:t>
      </w:r>
    </w:p>
    <w:p>
      <w:pPr>
        <w:spacing w:after="60" w:before="60"/>
      </w:pPr>
      <w:r>
        <w:t xml:space="preserve"/>
      </w:r>
    </w:p>
    <w:p>
      <w:pPr>
        <w:spacing w:after="80" w:before="60"/>
      </w:pPr>
      <w:r>
        <w:t xml:space="preserve">Phase 2: Across the full 134 kb block, methylation variation is distributed rather than focal. The most consistent signal (9/9 cohorts concordant, Δβ = 0.183) maps to chr22:49,150,733 (hg38) — an intronic dELS enhancer within NHIP. This position is conserved in humans and directly amenable to regulatory annotation, making it the primary candidate for follow-up functional studies.</w:t>
      </w:r>
    </w:p>
    <w:p>
      <w:pPr>
        <w:spacing w:after="60" w:before="60"/>
      </w:pPr>
      <w:r>
        <w:t xml:space="preserve"/>
      </w:r>
    </w:p>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WGBS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 Genome Bisulfite Sequencing — detects DNA methylation genome-wide</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Beta value</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Methylation fraction: meth / (meth + unmeth), range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beta (Δβ)</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beta(case) − mean beta(control); negative = hypomethylated in exposed animals</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Gene body</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Coding region of a gene; methylation here positively correlates with expression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ENCODE4 cCRE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cis-regulatory element; classified by chromatin state (enhancer, promoter, CTCF-only)</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H3K27Ac</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Histone mark at active enhancers and promoters; strong signal = regulatory activity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Hi-C / Micro-C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Chromatin conformation capture — detects DNA looping between enhancers and promoters</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ReMap density</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Number of independent ChIP-seq experiments showing TF binding at a given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 / AP-1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Stress-responsive transcription factor; binding is blocked by CpG methylation</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EZH2</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PRC2 complex methyltransferase; writes repressive H3K27me3 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PhyloP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score; positive = conserved, negative = accelerated evolution</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MOFA+</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Multi-Omics Factor Analysis v2 — finds shared latent factors across multiple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Stouffer's Z</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Meta-analysis combining signed Z-scores weighted by sample size</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FDR</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False Discovery Rate — Benjamini-Hochberg correction for multiple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score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cohorts showing the same direction of delta beta for a given CpG</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dELS / pELS</w:t>
            </w:r>
          </w:p>
        </w:tc>
        <w:tc>
          <w:tcPr>
            <w:tcW w:type="dxa" w:w="7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rFonts w:ascii="Arial" w:cs="Arial" w:eastAsia="Arial" w:hAnsi="Arial"/>
                <w:sz w:val="20"/>
                <w:szCs w:val="20"/>
              </w:rPr>
              <w:t xml:space="preserve">Distal / Proximal Enhancer-Like Sequence — ENCODE cCRE enhancer classifications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tabs>
        <w:tab w:val="right" w:pos="9360"/>
      </w:tabs>
    </w:pPr>
    <w:r>
      <w:rPr>
        <w:rFonts w:ascii="Arial" w:cs="Arial" w:eastAsia="Arial" w:hAnsi="Arial"/>
        <w:color w:val="2C5F8A"/>
        <w:sz w:val="18"/>
        <w:szCs w:val="18"/>
      </w:rPr>
      <w:t xml:space="preserve">CpG Methylation ML Pipeline — Progress Report</w:t>
    </w:r>
    <w:r>
      <w:rPr>
        <w:rFonts w:ascii="Arial" w:cs="Arial" w:eastAsia="Arial" w:hAnsi="Arial"/>
        <w:color w:val="888888"/>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2026-05-20T22:09:39.523Z</dcterms:created>
  <dcterms:modified xsi:type="dcterms:W3CDTF">2026-05-20T22:09:39.524Z</dcterms:modified>
</cp:coreProperties>
</file>

<file path=docProps/custom.xml><?xml version="1.0" encoding="utf-8"?>
<Properties xmlns="http://schemas.openxmlformats.org/officeDocument/2006/custom-properties" xmlns:vt="http://schemas.openxmlformats.org/officeDocument/2006/docPropsVTypes"/>
</file>