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F4E79"/>
          <w:sz w:val="44"/>
          <w:szCs w:val="44"/>
        </w:rPr>
        <w:t xml:space="preserve">ML Tools — Learning Schedule</w:t>
      </w:r>
    </w:p>
    <w:p>
      <w:pPr>
        <w:spacing w:after="60" w:before="0"/>
        <w:jc w:val="center"/>
      </w:pPr>
      <w:r>
        <w:rPr>
          <w:rFonts w:ascii="Arial" w:cs="Arial" w:eastAsia="Arial" w:hAnsi="Arial"/>
          <w:i/>
          <w:iCs/>
          <w:color w:val="666666"/>
          <w:sz w:val="22"/>
          <w:szCs w:val="22"/>
        </w:rPr>
        <w:t xml:space="preserve">CpG Methylation Project  •  30–45 min/day  •  4 weeks</w:t>
      </w:r>
    </w:p>
    <w:p>
      <w:pPr>
        <w:spacing w:after="240" w:before="0"/>
        <w:jc w:val="center"/>
      </w:pPr>
      <w:r>
        <w:rPr>
          <w:rFonts w:ascii="Arial" w:cs="Arial" w:eastAsia="Arial" w:hAnsi="Arial"/>
          <w:color w:val="888888"/>
          <w:sz w:val="20"/>
          <w:szCs w:val="20"/>
        </w:rPr>
        <w:t xml:space="preserve">Ordered from most familiar to most complex — each week builds on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r>
              <w:rPr>
                <w:rFonts w:ascii="Arial" w:cs="Arial" w:eastAsia="Arial" w:hAnsi="Arial"/>
                <w:b/>
                <w:bCs/>
                <w:color w:val="1F4E79"/>
                <w:sz w:val="20"/>
                <w:szCs w:val="20"/>
              </w:rPr>
              <w:t xml:space="preserve">📅  Daily Commitment</w:t>
            </w:r>
          </w:p>
          <w:p>
            <w:pPr>
              <w:spacing w:before="40"/>
            </w:pPr>
            <w:r>
              <w:rPr>
                <w:rFonts w:ascii="Arial" w:cs="Arial" w:eastAsia="Arial" w:hAnsi="Arial"/>
                <w:color w:val="444444"/>
                <w:sz w:val="18"/>
                <w:szCs w:val="18"/>
              </w:rPr>
              <w:t xml:space="preserve">30–45 min focused reading. Not a race — understanding matters more than speed.</w:t>
            </w:r>
          </w:p>
        </w:tc>
        <w:tc>
          <w:tcPr>
            <w:tcW w:type="dxa" w:w="22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2E7D32"/>
                <w:sz w:val="20"/>
                <w:szCs w:val="20"/>
              </w:rPr>
              <w:t xml:space="preserve">📌  Focus Question</w:t>
            </w:r>
          </w:p>
          <w:p>
            <w:pPr>
              <w:spacing w:before="40"/>
            </w:pPr>
            <w:r>
              <w:rPr>
                <w:rFonts w:ascii="Arial" w:cs="Arial" w:eastAsia="Arial" w:hAnsi="Arial"/>
                <w:color w:val="444444"/>
                <w:sz w:val="18"/>
                <w:szCs w:val="18"/>
              </w:rPr>
              <w:t xml:space="preserve">After each session, ask: how does this apply to MY data? The blue column helps.</w:t>
            </w:r>
          </w:p>
        </w:tc>
        <w:tc>
          <w:tcPr>
            <w:tcW w:type="dxa" w:w="220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r>
              <w:rPr>
                <w:rFonts w:ascii="Arial" w:cs="Arial" w:eastAsia="Arial" w:hAnsi="Arial"/>
                <w:b/>
                <w:bCs/>
                <w:color w:val="E65100"/>
                <w:sz w:val="20"/>
                <w:szCs w:val="20"/>
              </w:rPr>
              <w:t xml:space="preserve">🔁  Weekends</w:t>
            </w:r>
          </w:p>
          <w:p>
            <w:pPr>
              <w:spacing w:before="40"/>
            </w:pPr>
            <w:r>
              <w:rPr>
                <w:rFonts w:ascii="Arial" w:cs="Arial" w:eastAsia="Arial" w:hAnsi="Arial"/>
                <w:color w:val="444444"/>
                <w:sz w:val="18"/>
                <w:szCs w:val="18"/>
              </w:rPr>
              <w:t xml:space="preserve">Hands-on practice. Run example code, sketch diagrams, look at toy datasets.</w:t>
            </w:r>
          </w:p>
        </w:tc>
        <w:tc>
          <w:tcPr>
            <w:tcW w:type="dxa" w:w="2760"/>
            <w:tcBorders>
              <w:top w:val="none" w:color="FFFFFF" w:sz="0"/>
              <w:left w:val="none" w:color="FFFFFF" w:sz="0"/>
              <w:bottom w:val="none" w:color="FFFFFF" w:sz="0"/>
              <w:right w:val="none" w:color="FFFFFF" w:sz="0"/>
            </w:tcBorders>
            <w:shd w:fill="F3E5F5" w:val="clear"/>
            <w:tcMar>
              <w:top w:type="dxa" w:w="120"/>
              <w:left w:type="dxa" w:w="160"/>
              <w:bottom w:type="dxa" w:w="120"/>
              <w:right w:type="dxa" w:w="160"/>
            </w:tcMar>
          </w:tcPr>
          <w:p>
            <w:r>
              <w:rPr>
                <w:rFonts w:ascii="Arial" w:cs="Arial" w:eastAsia="Arial" w:hAnsi="Arial"/>
                <w:b/>
                <w:bCs/>
                <w:color w:val="6A1B9A"/>
                <w:sz w:val="20"/>
                <w:szCs w:val="20"/>
              </w:rPr>
              <w:t xml:space="preserve">✅  End Goal</w:t>
            </w:r>
          </w:p>
          <w:p>
            <w:pPr>
              <w:spacing w:before="40"/>
            </w:pPr>
            <w:r>
              <w:rPr>
                <w:rFonts w:ascii="Arial" w:cs="Arial" w:eastAsia="Arial" w:hAnsi="Arial"/>
                <w:color w:val="444444"/>
                <w:sz w:val="18"/>
                <w:szCs w:val="18"/>
              </w:rPr>
              <w:t xml:space="preserve">By Week 4 you can explain every tool choice in your pipeline to a collaborator or reviewer.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WEEK 1  </w:t>
            </w:r>
            <w:r>
              <w:rPr>
                <w:rFonts w:ascii="Arial" w:cs="Arial" w:eastAsia="Arial" w:hAnsi="Arial"/>
                <w:color w:val="FFFFFF"/>
                <w:sz w:val="24"/>
                <w:szCs w:val="24"/>
              </w:rPr>
              <w:t xml:space="preserve">Unsupervised Methods — Seeing Structure in Your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Resources (30–45 min)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 to Your Data</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w:t>
            </w:r>
          </w:p>
          <w:p>
            <w:r>
              <w:rPr>
                <w:rFonts w:ascii="Arial" w:cs="Arial" w:eastAsia="Arial" w:hAnsi="Arial"/>
                <w:color w:val="DDDDDD"/>
                <w:sz w:val="17"/>
                <w:szCs w:val="17"/>
              </w:rPr>
              <w:t xml:space="preserve">Mon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PCA — Intuition</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PCA Step-by-Step (YouTube)</w:t>
            </w:r>
          </w:p>
          <w:p>
            <w:pPr>
              <w:spacing w:after="30" w:before="30"/>
            </w:pPr>
            <w:r>
              <w:rPr>
                <w:rFonts w:ascii="Arial" w:cs="Arial" w:eastAsia="Arial" w:hAnsi="Arial"/>
                <w:color w:val="444444"/>
                <w:sz w:val="18"/>
                <w:szCs w:val="18"/>
              </w:rPr>
              <w:t xml:space="preserve">• Watch full video, pause on loading plots</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Why do samples cluster the way they do in the 7–8kb region?</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2</w:t>
            </w:r>
          </w:p>
          <w:p>
            <w:r>
              <w:rPr>
                <w:rFonts w:ascii="Arial" w:cs="Arial" w:eastAsia="Arial" w:hAnsi="Arial"/>
                <w:color w:val="DDDDDD"/>
                <w:sz w:val="17"/>
                <w:szCs w:val="17"/>
              </w:rPr>
              <w:t xml:space="preserve">Tue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PCA — Loadings &amp; Scree Plot</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sklearn PCA docs — Explained Variance section</w:t>
            </w:r>
          </w:p>
          <w:p>
            <w:pPr>
              <w:spacing w:after="30" w:before="30"/>
            </w:pPr>
            <w:r>
              <w:rPr>
                <w:rFonts w:ascii="Arial" w:cs="Arial" w:eastAsia="Arial" w:hAnsi="Arial"/>
                <w:color w:val="444444"/>
                <w:sz w:val="18"/>
                <w:szCs w:val="18"/>
              </w:rPr>
              <w:t xml:space="preserve">• StatQuest: PCA in Python (notebook)</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Which CpGs will likely drive PC1? CpGI vs gene body?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3</w:t>
            </w:r>
          </w:p>
          <w:p>
            <w:r>
              <w:rPr>
                <w:rFonts w:ascii="Arial" w:cs="Arial" w:eastAsia="Arial" w:hAnsi="Arial"/>
                <w:color w:val="DDDDDD"/>
                <w:sz w:val="17"/>
                <w:szCs w:val="17"/>
              </w:rPr>
              <w:t xml:space="preserve">Wed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UMAP — Intuition</w:t>
            </w:r>
          </w:p>
          <w:p>
            <w:pPr>
              <w:spacing w:before="40"/>
            </w:pPr>
            <w:r>
              <w:rPr>
                <w:rFonts w:ascii="Arial" w:cs="Arial" w:eastAsia="Arial" w:hAnsi="Arial"/>
                <w:color w:val="666666"/>
                <w:sz w:val="18"/>
                <w:szCs w:val="18"/>
              </w:rPr>
              <w:t xml:space="preserve">⏱ 30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pair-code.github.io/understanding-umap (interactive)</w:t>
            </w:r>
          </w:p>
          <w:p>
            <w:pPr>
              <w:spacing w:after="30" w:before="30"/>
            </w:pPr>
            <w:r>
              <w:rPr>
                <w:rFonts w:ascii="Arial" w:cs="Arial" w:eastAsia="Arial" w:hAnsi="Arial"/>
                <w:color w:val="444444"/>
                <w:sz w:val="18"/>
                <w:szCs w:val="18"/>
              </w:rPr>
              <w:t xml:space="preserve">• Play with n_neighbors slider</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Will UMAP reveal sub-clusters within exposed group (e.g., brain regions)?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4</w:t>
            </w:r>
          </w:p>
          <w:p>
            <w:r>
              <w:rPr>
                <w:rFonts w:ascii="Arial" w:cs="Arial" w:eastAsia="Arial" w:hAnsi="Arial"/>
                <w:color w:val="DDDDDD"/>
                <w:sz w:val="17"/>
                <w:szCs w:val="17"/>
              </w:rPr>
              <w:t xml:space="preserve">Thu</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UMAP — Parameters &amp; Limits</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UMAP docs: Basic UMAP Parameters page</w:t>
            </w:r>
          </w:p>
          <w:p>
            <w:pPr>
              <w:spacing w:after="30" w:before="30"/>
            </w:pPr>
            <w:r>
              <w:rPr>
                <w:rFonts w:ascii="Arial" w:cs="Arial" w:eastAsia="Arial" w:hAnsi="Arial"/>
                <w:color w:val="444444"/>
                <w:sz w:val="18"/>
                <w:szCs w:val="18"/>
              </w:rPr>
              <w:t xml:space="preserve">• McInnes 2018 paper — abstract + Fig 1 only</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Why UMAP is unreliable for obesity (n=13) — what does n_neighbors=5 mean at n=13?</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5</w:t>
            </w:r>
          </w:p>
          <w:p>
            <w:r>
              <w:rPr>
                <w:rFonts w:ascii="Arial" w:cs="Arial" w:eastAsia="Arial" w:hAnsi="Arial"/>
                <w:color w:val="DDDDDD"/>
                <w:sz w:val="17"/>
                <w:szCs w:val="17"/>
              </w:rPr>
              <w:t xml:space="preserve">Fri</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Hierarchical Clustering Heatmap</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seaborn clustermap docs + gallery examples</w:t>
            </w:r>
          </w:p>
          <w:p>
            <w:pPr>
              <w:spacing w:after="30" w:before="30"/>
            </w:pPr>
            <w:r>
              <w:rPr>
                <w:rFonts w:ascii="Arial" w:cs="Arial" w:eastAsia="Arial" w:hAnsi="Arial"/>
                <w:color w:val="444444"/>
                <w:sz w:val="18"/>
                <w:szCs w:val="18"/>
              </w:rPr>
              <w:t xml:space="preserve">• scipy linkage methods: ward vs complete</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What spatial pattern in the 7–8kb region would you hope to see in the heatmap?</w:t>
            </w:r>
          </w:p>
        </w:tc>
      </w:tr>
      <w:tr>
        <w:tc>
          <w:tcPr>
            <w:tcW w:type="dxa" w:w="9360"/>
            <w:gridSpan w:val="4"/>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9A84C"/>
                <w:sz w:val="20"/>
                <w:szCs w:val="20"/>
              </w:rPr>
              <w:t xml:space="preserve">Weekend  </w:t>
            </w:r>
            <w:r>
              <w:rPr>
                <w:rFonts w:ascii="Arial" w:cs="Arial" w:eastAsia="Arial" w:hAnsi="Arial"/>
                <w:i/>
                <w:iCs/>
                <w:color w:val="555500"/>
                <w:sz w:val="19"/>
                <w:szCs w:val="19"/>
              </w:rPr>
              <w:t xml:space="preserve">Practical: Run PCA on a public methylation dataset (e.g., GEO GSE series) or generate a 20-sample toy dataset. Look at the scree plot and loadings. Sketch what you'd expect from your wildfire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WEEK 2  </w:t>
            </w:r>
            <w:r>
              <w:rPr>
                <w:rFonts w:ascii="Arial" w:cs="Arial" w:eastAsia="Arial" w:hAnsi="Arial"/>
                <w:color w:val="FFFFFF"/>
                <w:sz w:val="24"/>
                <w:szCs w:val="24"/>
              </w:rPr>
              <w:t xml:space="preserve">Supervised Classification — Which CpGs Discriminate Exposed from Control?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Resources (30–45 min)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 to Your Data</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6</w:t>
            </w:r>
          </w:p>
          <w:p>
            <w:r>
              <w:rPr>
                <w:rFonts w:ascii="Arial" w:cs="Arial" w:eastAsia="Arial" w:hAnsi="Arial"/>
                <w:color w:val="DDDDDD"/>
                <w:sz w:val="17"/>
                <w:szCs w:val="17"/>
              </w:rPr>
              <w:t xml:space="preserve">Mon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Regularization — Why It Matters for Small N</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Regularization Part 1 — Ridge (YouTube)</w:t>
            </w:r>
          </w:p>
          <w:p>
            <w:pPr>
              <w:spacing w:after="30" w:before="30"/>
            </w:pPr>
            <w:r>
              <w:rPr>
                <w:rFonts w:ascii="Arial" w:cs="Arial" w:eastAsia="Arial" w:hAnsi="Arial"/>
                <w:color w:val="444444"/>
                <w:sz w:val="18"/>
                <w:szCs w:val="18"/>
              </w:rPr>
              <w:t xml:space="preserve">• Focus on the bias-variance tradeoff</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You have n=13 (obesity) and ~200 CpGs — why ordinary regression would fail completely.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7</w:t>
            </w:r>
          </w:p>
          <w:p>
            <w:r>
              <w:rPr>
                <w:rFonts w:ascii="Arial" w:cs="Arial" w:eastAsia="Arial" w:hAnsi="Arial"/>
                <w:color w:val="DDDDDD"/>
                <w:sz w:val="17"/>
                <w:szCs w:val="17"/>
              </w:rPr>
              <w:t xml:space="preserve">Tue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LASSO vs ElasticNet</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LASSO Regression (YouTube)</w:t>
            </w:r>
          </w:p>
          <w:p>
            <w:pPr>
              <w:spacing w:after="30" w:before="30"/>
            </w:pPr>
            <w:r>
              <w:rPr>
                <w:rFonts w:ascii="Arial" w:cs="Arial" w:eastAsia="Arial" w:hAnsi="Arial"/>
                <w:color w:val="444444"/>
                <w:sz w:val="18"/>
                <w:szCs w:val="18"/>
              </w:rPr>
              <w:t xml:space="preserve">• Zou &amp; Hastie 2005 — read abstract + intro only</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Nearby CpGs are correlated — LASSO would arbitrarily drop one. ElasticNet keeps both.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8</w:t>
            </w:r>
          </w:p>
          <w:p>
            <w:r>
              <w:rPr>
                <w:rFonts w:ascii="Arial" w:cs="Arial" w:eastAsia="Arial" w:hAnsi="Arial"/>
                <w:color w:val="DDDDDD"/>
                <w:sz w:val="17"/>
                <w:szCs w:val="17"/>
              </w:rPr>
              <w:t xml:space="preserve">Wed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Cross-Validation — LOOCV vs K-Fold</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Cross Validation (YouTube)</w:t>
            </w:r>
          </w:p>
          <w:p>
            <w:pPr>
              <w:spacing w:after="30" w:before="30"/>
            </w:pPr>
            <w:r>
              <w:rPr>
                <w:rFonts w:ascii="Arial" w:cs="Arial" w:eastAsia="Arial" w:hAnsi="Arial"/>
                <w:color w:val="444444"/>
                <w:sz w:val="18"/>
                <w:szCs w:val="18"/>
              </w:rPr>
              <w:t xml:space="preserve">• sklearn CV docs — StratifiedKFold + LeaveOneOut</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Why you use LOOCV for wildfire (n=22) and 5-fold only for stress (n=70).</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9</w:t>
            </w:r>
          </w:p>
          <w:p>
            <w:r>
              <w:rPr>
                <w:rFonts w:ascii="Arial" w:cs="Arial" w:eastAsia="Arial" w:hAnsi="Arial"/>
                <w:color w:val="DDDDDD"/>
                <w:sz w:val="17"/>
                <w:szCs w:val="17"/>
              </w:rPr>
              <w:t xml:space="preserve">Thu</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ElasticNet in Practice</w:t>
            </w:r>
          </w:p>
          <w:p>
            <w:pPr>
              <w:spacing w:before="40"/>
            </w:pPr>
            <w:r>
              <w:rPr>
                <w:rFonts w:ascii="Arial" w:cs="Arial" w:eastAsia="Arial" w:hAnsi="Arial"/>
                <w:color w:val="666666"/>
                <w:sz w:val="18"/>
                <w:szCs w:val="18"/>
              </w:rPr>
              <w:t xml:space="preserve">⏱ 45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sklearn LogisticRegression with elasticnet penalty — full example</w:t>
            </w:r>
          </w:p>
          <w:p>
            <w:pPr>
              <w:spacing w:after="30" w:before="30"/>
            </w:pPr>
            <w:r>
              <w:rPr>
                <w:rFonts w:ascii="Arial" w:cs="Arial" w:eastAsia="Arial" w:hAnsi="Arial"/>
                <w:color w:val="444444"/>
                <w:sz w:val="18"/>
                <w:szCs w:val="18"/>
              </w:rPr>
              <w:t xml:space="preserve">• How to read the coefficient output</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Non-zero coefficients = candidate CpGs. What would a biologically meaningful result look like?</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10</w:t>
            </w:r>
          </w:p>
          <w:p>
            <w:r>
              <w:rPr>
                <w:rFonts w:ascii="Arial" w:cs="Arial" w:eastAsia="Arial" w:hAnsi="Arial"/>
                <w:color w:val="DDDDDD"/>
                <w:sz w:val="17"/>
                <w:szCs w:val="17"/>
              </w:rPr>
              <w:t xml:space="preserve">Fri</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Random Forest — When &amp; Why</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Random Forests Part 1 (YouTube)</w:t>
            </w:r>
          </w:p>
          <w:p>
            <w:pPr>
              <w:spacing w:after="30" w:before="30"/>
            </w:pPr>
            <w:r>
              <w:rPr>
                <w:rFonts w:ascii="Arial" w:cs="Arial" w:eastAsia="Arial" w:hAnsi="Arial"/>
                <w:color w:val="444444"/>
                <w:sz w:val="18"/>
                <w:szCs w:val="18"/>
              </w:rPr>
              <w:t xml:space="preserve">• sklearn RF docs — feature_importances_ section</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Why RF is only valid for your stress cohort (n≈70). What OOB error tells you.</w:t>
            </w:r>
          </w:p>
        </w:tc>
      </w:tr>
      <w:tr>
        <w:tc>
          <w:tcPr>
            <w:tcW w:type="dxa" w:w="9360"/>
            <w:gridSpan w:val="4"/>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9A84C"/>
                <w:sz w:val="20"/>
                <w:szCs w:val="20"/>
              </w:rPr>
              <w:t xml:space="preserve">Weekend  </w:t>
            </w:r>
            <w:r>
              <w:rPr>
                <w:rFonts w:ascii="Arial" w:cs="Arial" w:eastAsia="Arial" w:hAnsi="Arial"/>
                <w:i/>
                <w:iCs/>
                <w:color w:val="555500"/>
                <w:sz w:val="19"/>
                <w:szCs w:val="19"/>
              </w:rPr>
              <w:t xml:space="preserve">Practical: Run ElasticNet on the sklearn wine or breast cancer dataset (binary, small N). Examine which features get zero coefficients. Read the output as if the features were CpGs.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WEEK 3  </w:t>
            </w:r>
            <w:r>
              <w:rPr>
                <w:rFonts w:ascii="Arial" w:cs="Arial" w:eastAsia="Arial" w:hAnsi="Arial"/>
                <w:color w:val="FFFFFF"/>
                <w:sz w:val="24"/>
                <w:szCs w:val="24"/>
              </w:rPr>
              <w:t xml:space="preserve">MOFA+ — Finding Shared Signatures Across All Datasets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Resources (30–45 min)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 to Your Data</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11</w:t>
            </w:r>
          </w:p>
          <w:p>
            <w:r>
              <w:rPr>
                <w:rFonts w:ascii="Arial" w:cs="Arial" w:eastAsia="Arial" w:hAnsi="Arial"/>
                <w:color w:val="DDDDDD"/>
                <w:sz w:val="17"/>
                <w:szCs w:val="17"/>
              </w:rPr>
              <w:t xml:space="preserve">Mon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Factor Analysis — Core Concept</w:t>
            </w:r>
          </w:p>
          <w:p>
            <w:pPr>
              <w:spacing w:before="40"/>
            </w:pPr>
            <w:r>
              <w:rPr>
                <w:rFonts w:ascii="Arial" w:cs="Arial" w:eastAsia="Arial" w:hAnsi="Arial"/>
                <w:color w:val="666666"/>
                <w:sz w:val="18"/>
                <w:szCs w:val="18"/>
              </w:rPr>
              <w:t xml:space="preserve">⏱ 30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StatQuest: PCA vs Factor Analysis (YouTube)</w:t>
            </w:r>
          </w:p>
          <w:p>
            <w:pPr>
              <w:spacing w:after="30" w:before="30"/>
            </w:pPr>
            <w:r>
              <w:rPr>
                <w:rFonts w:ascii="Arial" w:cs="Arial" w:eastAsia="Arial" w:hAnsi="Arial"/>
                <w:color w:val="444444"/>
                <w:sz w:val="18"/>
                <w:szCs w:val="18"/>
              </w:rPr>
              <w:t xml:space="preserve">• Think of factors as 'hidden biological programs'</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A shared factor across wildfire + obesity + stress would mean a common stress response CpG signature.</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12</w:t>
            </w:r>
          </w:p>
          <w:p>
            <w:r>
              <w:rPr>
                <w:rFonts w:ascii="Arial" w:cs="Arial" w:eastAsia="Arial" w:hAnsi="Arial"/>
                <w:color w:val="DDDDDD"/>
                <w:sz w:val="17"/>
                <w:szCs w:val="17"/>
              </w:rPr>
              <w:t xml:space="preserve">Tue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MOFA+ Paper — Intro &amp; Concept</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Argelaguet et al. 2020 Genome Biology — read: abstract, intro, Fig 1</w:t>
            </w:r>
          </w:p>
          <w:p>
            <w:pPr>
              <w:spacing w:after="30" w:before="30"/>
            </w:pPr>
            <w:r>
              <w:rPr>
                <w:rFonts w:ascii="Arial" w:cs="Arial" w:eastAsia="Arial" w:hAnsi="Arial"/>
                <w:color w:val="444444"/>
                <w:sz w:val="18"/>
                <w:szCs w:val="18"/>
              </w:rPr>
              <w:t xml:space="preserve">• Skip the math section on first read</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Multi-group mode = each dataset is a group. Shared factors = your biological question.</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13</w:t>
            </w:r>
          </w:p>
          <w:p>
            <w:r>
              <w:rPr>
                <w:rFonts w:ascii="Arial" w:cs="Arial" w:eastAsia="Arial" w:hAnsi="Arial"/>
                <w:color w:val="DDDDDD"/>
                <w:sz w:val="17"/>
                <w:szCs w:val="17"/>
              </w:rPr>
              <w:t xml:space="preserve">Wed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MOFA+ Tutorial — Walk Through</w:t>
            </w:r>
          </w:p>
          <w:p>
            <w:pPr>
              <w:spacing w:before="40"/>
            </w:pPr>
            <w:r>
              <w:rPr>
                <w:rFonts w:ascii="Arial" w:cs="Arial" w:eastAsia="Arial" w:hAnsi="Arial"/>
                <w:color w:val="666666"/>
                <w:sz w:val="18"/>
                <w:szCs w:val="18"/>
              </w:rPr>
              <w:t xml:space="preserve">⏱ 45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biofam.github.io/MOFA2/tutorials.html — Getting Started vignette</w:t>
            </w:r>
          </w:p>
          <w:p>
            <w:pPr>
              <w:spacing w:after="30" w:before="30"/>
            </w:pPr>
            <w:r>
              <w:rPr>
                <w:rFonts w:ascii="Arial" w:cs="Arial" w:eastAsia="Arial" w:hAnsi="Arial"/>
                <w:color w:val="444444"/>
                <w:sz w:val="18"/>
                <w:szCs w:val="18"/>
              </w:rPr>
              <w:t xml:space="preserve">• Focus on: loading data, running, plotting factors</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How would you structure your 4 datasets (obesity, wildfire, stress, cfDNA) as groups?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14</w:t>
            </w:r>
          </w:p>
          <w:p>
            <w:r>
              <w:rPr>
                <w:rFonts w:ascii="Arial" w:cs="Arial" w:eastAsia="Arial" w:hAnsi="Arial"/>
                <w:color w:val="DDDDDD"/>
                <w:sz w:val="17"/>
                <w:szCs w:val="17"/>
              </w:rPr>
              <w:t xml:space="preserve">Thu</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MOFA+ Multi-Group Mode</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MOFA2 multi-group tutorial (Bioconductor)</w:t>
            </w:r>
          </w:p>
          <w:p>
            <w:pPr>
              <w:spacing w:after="30" w:before="30"/>
            </w:pPr>
            <w:r>
              <w:rPr>
                <w:rFonts w:ascii="Arial" w:cs="Arial" w:eastAsia="Arial" w:hAnsi="Arial"/>
                <w:color w:val="444444"/>
                <w:sz w:val="18"/>
                <w:szCs w:val="18"/>
              </w:rPr>
              <w:t xml:space="preserve">• mofapy2 GitHub — Python examples</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Factor loadings on CpGs = the biological output. High loading = that CpG drives the factor.</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15</w:t>
            </w:r>
          </w:p>
          <w:p>
            <w:r>
              <w:rPr>
                <w:rFonts w:ascii="Arial" w:cs="Arial" w:eastAsia="Arial" w:hAnsi="Arial"/>
                <w:color w:val="DDDDDD"/>
                <w:sz w:val="17"/>
                <w:szCs w:val="17"/>
              </w:rPr>
              <w:t xml:space="preserve">Fri</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A1A1A"/>
                <w:sz w:val="20"/>
                <w:szCs w:val="20"/>
              </w:rPr>
              <w:t xml:space="preserve">Meta-Analysis as Validation</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Borenstein et al. 2009 — Chapter 1 only (free PDF)</w:t>
            </w:r>
          </w:p>
          <w:p>
            <w:pPr>
              <w:spacing w:after="30" w:before="30"/>
            </w:pPr>
            <w:r>
              <w:rPr>
                <w:rFonts w:ascii="Arial" w:cs="Arial" w:eastAsia="Arial" w:hAnsi="Arial"/>
                <w:color w:val="444444"/>
                <w:sz w:val="18"/>
                <w:szCs w:val="18"/>
              </w:rPr>
              <w:t xml:space="preserve">• statsmodels meta-analysis brief overview</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CpGs significant in meta-analysis + high MOFA+ loading = strongest candidates for follow-up.</w:t>
            </w:r>
          </w:p>
        </w:tc>
      </w:tr>
      <w:tr>
        <w:tc>
          <w:tcPr>
            <w:tcW w:type="dxa" w:w="9360"/>
            <w:gridSpan w:val="4"/>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9A84C"/>
                <w:sz w:val="20"/>
                <w:szCs w:val="20"/>
              </w:rPr>
              <w:t xml:space="preserve">Weekend  </w:t>
            </w:r>
            <w:r>
              <w:rPr>
                <w:rFonts w:ascii="Arial" w:cs="Arial" w:eastAsia="Arial" w:hAnsi="Arial"/>
                <w:i/>
                <w:iCs/>
                <w:color w:val="555500"/>
                <w:sz w:val="19"/>
                <w:szCs w:val="19"/>
              </w:rPr>
              <w:t xml:space="preserve">Practical: Run MOFA+ on the CLL example from the MOFA2 tutorial (R or Python). Identify which factor explains the most variance. Look at the top feature weights. This is exactly what you will do with your methylation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WEEK 4  </w:t>
            </w:r>
            <w:r>
              <w:rPr>
                <w:rFonts w:ascii="Arial" w:cs="Arial" w:eastAsia="Arial" w:hAnsi="Arial"/>
                <w:color w:val="FFFFFF"/>
                <w:sz w:val="24"/>
                <w:szCs w:val="24"/>
              </w:rPr>
              <w:t xml:space="preserve">Integration — Connecting Everything to Your Pipeline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Resources (30–45 min)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 to Your Data</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16</w:t>
            </w:r>
          </w:p>
          <w:p>
            <w:r>
              <w:rPr>
                <w:rFonts w:ascii="Arial" w:cs="Arial" w:eastAsia="Arial" w:hAnsi="Arial"/>
                <w:color w:val="DDDDDD"/>
                <w:sz w:val="17"/>
                <w:szCs w:val="17"/>
              </w:rPr>
              <w:t xml:space="preserve">Mon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Coverage Filtering for Methylation</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Bismark docs — coverage thresholds section</w:t>
            </w:r>
          </w:p>
          <w:p>
            <w:pPr>
              <w:spacing w:after="30" w:before="30"/>
            </w:pPr>
            <w:r>
              <w:rPr>
                <w:rFonts w:ascii="Arial" w:cs="Arial" w:eastAsia="Arial" w:hAnsi="Arial"/>
                <w:color w:val="444444"/>
                <w:sz w:val="18"/>
                <w:szCs w:val="18"/>
              </w:rPr>
              <w:t xml:space="preserve">• Review your pipeline: preprocessing step in ml_pipeline.py</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Minimum 5–10× per CpG per sample. Check how many CpGs survive in each of your 4 datasets.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17</w:t>
            </w:r>
          </w:p>
          <w:p>
            <w:r>
              <w:rPr>
                <w:rFonts w:ascii="Arial" w:cs="Arial" w:eastAsia="Arial" w:hAnsi="Arial"/>
                <w:color w:val="DDDDDD"/>
                <w:sz w:val="17"/>
                <w:szCs w:val="17"/>
              </w:rPr>
              <w:t xml:space="preserve">Tue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Shared CpGs &amp; Missing Data Strategy</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MOFA+ docs: handling missing data</w:t>
            </w:r>
          </w:p>
          <w:p>
            <w:pPr>
              <w:spacing w:after="30" w:before="30"/>
            </w:pPr>
            <w:r>
              <w:rPr>
                <w:rFonts w:ascii="Arial" w:cs="Arial" w:eastAsia="Arial" w:hAnsi="Arial"/>
                <w:color w:val="444444"/>
                <w:sz w:val="18"/>
                <w:szCs w:val="18"/>
              </w:rPr>
              <w:t xml:space="preserve">• Re-read MOFA+ paper Fig 2 — missing blocks</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MOFA+ handles missing CpGs across datasets. Plan your intersection vs union strategy.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18</w:t>
            </w:r>
          </w:p>
          <w:p>
            <w:r>
              <w:rPr>
                <w:rFonts w:ascii="Arial" w:cs="Arial" w:eastAsia="Arial" w:hAnsi="Arial"/>
                <w:color w:val="DDDDDD"/>
                <w:sz w:val="17"/>
                <w:szCs w:val="17"/>
              </w:rPr>
              <w:t xml:space="preserve">Wed</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Review the Full Pipeline Logic</w:t>
            </w:r>
          </w:p>
          <w:p>
            <w:pPr>
              <w:spacing w:before="40"/>
            </w:pPr>
            <w:r>
              <w:rPr>
                <w:rFonts w:ascii="Arial" w:cs="Arial" w:eastAsia="Arial" w:hAnsi="Arial"/>
                <w:color w:val="666666"/>
                <w:sz w:val="18"/>
                <w:szCs w:val="18"/>
              </w:rPr>
              <w:t xml:space="preserve">⏱ 40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Read pipeline/ml_pipeline.py end to end</w:t>
            </w:r>
          </w:p>
          <w:p>
            <w:pPr>
              <w:spacing w:after="30" w:before="30"/>
            </w:pPr>
            <w:r>
              <w:rPr>
                <w:rFonts w:ascii="Arial" w:cs="Arial" w:eastAsia="Arial" w:hAnsi="Arial"/>
                <w:color w:val="444444"/>
                <w:sz w:val="18"/>
                <w:szCs w:val="18"/>
              </w:rPr>
              <w:t xml:space="preserve">• Read docs/ml_tools_overview.md rationale section</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Can you explain why each tool was chosen? Could you defend this to a reviewer?</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19</w:t>
            </w:r>
          </w:p>
          <w:p>
            <w:r>
              <w:rPr>
                <w:rFonts w:ascii="Arial" w:cs="Arial" w:eastAsia="Arial" w:hAnsi="Arial"/>
                <w:color w:val="DDDDDD"/>
                <w:sz w:val="17"/>
                <w:szCs w:val="17"/>
              </w:rPr>
              <w:t xml:space="preserve">Thu</w:t>
            </w:r>
          </w:p>
        </w:tc>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A1A1A"/>
                <w:sz w:val="20"/>
                <w:szCs w:val="20"/>
              </w:rPr>
              <w:t xml:space="preserve">Interpreting Results — What to Look For</w:t>
            </w:r>
          </w:p>
          <w:p>
            <w:pPr>
              <w:spacing w:before="40"/>
            </w:pPr>
            <w:r>
              <w:rPr>
                <w:rFonts w:ascii="Arial" w:cs="Arial" w:eastAsia="Arial" w:hAnsi="Arial"/>
                <w:color w:val="666666"/>
                <w:sz w:val="18"/>
                <w:szCs w:val="18"/>
              </w:rPr>
              <w:t xml:space="preserve">⏱ 35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MOFA+ vignette: downstream analysis section</w:t>
            </w:r>
          </w:p>
          <w:p>
            <w:pPr>
              <w:spacing w:after="30" w:before="30"/>
            </w:pPr>
            <w:r>
              <w:rPr>
                <w:rFonts w:ascii="Arial" w:cs="Arial" w:eastAsia="Arial" w:hAnsi="Arial"/>
                <w:color w:val="444444"/>
                <w:sz w:val="18"/>
                <w:szCs w:val="18"/>
              </w:rPr>
              <w:t xml:space="preserve">• ElasticNet: how to report AUC + key CpGs in a paper</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Shared MOFA factor + consistent ElasticNet CpG + meta-analysis p&lt;0.05 = publication-ready finding.</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20</w:t>
            </w:r>
          </w:p>
          <w:p>
            <w:r>
              <w:rPr>
                <w:rFonts w:ascii="Arial" w:cs="Arial" w:eastAsia="Arial" w:hAnsi="Arial"/>
                <w:color w:val="DDDDDD"/>
                <w:sz w:val="17"/>
                <w:szCs w:val="17"/>
              </w:rPr>
              <w:t xml:space="preserve">Fri</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Review &amp; Fill Gaps</w:t>
            </w:r>
          </w:p>
          <w:p>
            <w:pPr>
              <w:spacing w:before="40"/>
            </w:pPr>
            <w:r>
              <w:rPr>
                <w:rFonts w:ascii="Arial" w:cs="Arial" w:eastAsia="Arial" w:hAnsi="Arial"/>
                <w:color w:val="666666"/>
                <w:sz w:val="18"/>
                <w:szCs w:val="18"/>
              </w:rPr>
              <w:t xml:space="preserve">⏱ 45 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444444"/>
                <w:sz w:val="18"/>
                <w:szCs w:val="18"/>
              </w:rPr>
              <w:t xml:space="preserve">• Revisit any day that felt unclear</w:t>
            </w:r>
          </w:p>
          <w:p>
            <w:pPr>
              <w:spacing w:after="30" w:before="30"/>
            </w:pPr>
            <w:r>
              <w:rPr>
                <w:rFonts w:ascii="Arial" w:cs="Arial" w:eastAsia="Arial" w:hAnsi="Arial"/>
                <w:color w:val="444444"/>
                <w:sz w:val="18"/>
                <w:szCs w:val="18"/>
              </w:rPr>
              <w:t xml:space="preserve">• Write a 1-paragraph methods summary as if for a paper</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1F4E79"/>
                <w:sz w:val="18"/>
                <w:szCs w:val="18"/>
              </w:rPr>
              <w:t xml:space="preserve">If you can write the methods paragraph, you understand the tools well enough to run them.</w:t>
            </w:r>
          </w:p>
        </w:tc>
      </w:tr>
      <w:tr>
        <w:tc>
          <w:tcPr>
            <w:tcW w:type="dxa" w:w="9360"/>
            <w:gridSpan w:val="4"/>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9A84C"/>
                <w:sz w:val="20"/>
                <w:szCs w:val="20"/>
              </w:rPr>
              <w:t xml:space="preserve">Weekend  </w:t>
            </w:r>
            <w:r>
              <w:rPr>
                <w:rFonts w:ascii="Arial" w:cs="Arial" w:eastAsia="Arial" w:hAnsi="Arial"/>
                <w:i/>
                <w:iCs/>
                <w:color w:val="555500"/>
                <w:sz w:val="19"/>
                <w:szCs w:val="19"/>
              </w:rPr>
              <w:t xml:space="preserve">Final practical: Open your actual data (or a subset). Run PCA. Does the first PC separate exposed from control? That single question will tell you whether the ML pipeline is worth proceeding with — and after 4 weeks, you will know exactly what the answer means.</w:t>
            </w:r>
          </w:p>
        </w:tc>
      </w:tr>
    </w:tbl>
    <w:p>
      <w:pPr>
        <w:spacing w:after="80" w:before="80"/>
      </w:pPr>
      <w:r>
        <w:t xml:space="preserve"/>
      </w:r>
    </w:p>
    <w:p>
      <w:pPr>
        <w:pBdr>
          <w:bottom w:val="single" w:color="CCCCCC" w:sz="4" w:space="1"/>
        </w:pBdr>
        <w:spacing w:after="120" w:before="120"/>
      </w:pPr>
      <w:r>
        <w:t xml:space="preserve"/>
      </w:r>
    </w:p>
    <w:p>
      <w:pPr>
        <w:pStyle w:val="Heading2"/>
        <w:spacing w:after="100" w:before="280"/>
      </w:pPr>
      <w:r>
        <w:rPr>
          <w:rFonts w:ascii="Arial" w:cs="Arial" w:eastAsia="Arial" w:hAnsi="Arial"/>
          <w:b/>
          <w:bCs/>
          <w:color w:val="2E75B6"/>
          <w:sz w:val="26"/>
          <w:szCs w:val="26"/>
        </w:rPr>
        <w:t xml:space="preserve">Quick Resource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Video / Tutorial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Paper / Docs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 to Competence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StatQuest — PCA Step-by-Step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sklearn PCA docs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Days 1–2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UMAP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pair-code.github.io/understanding-umap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McInnes 2018 (arXiv:1802.03426)</w:t>
            </w:r>
          </w:p>
        </w:tc>
        <w:tc>
          <w:tcPr>
            <w:tcW w:type="dxa" w:w="236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tcPr>
          <w:p>
            <w:r>
              <w:rPr>
                <w:rFonts w:ascii="Arial" w:cs="Arial" w:eastAsia="Arial" w:hAnsi="Arial"/>
                <w:b/>
                <w:bCs/>
                <w:color w:val="1F4E79"/>
                <w:sz w:val="18"/>
                <w:szCs w:val="18"/>
              </w:rPr>
              <w:t xml:space="preserve">Days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Hierarchical Clustering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seaborn clustermap gallery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scipy.cluster.hierarchy docs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Day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ElasticNet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StatQuest — LASSO + Regularization series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Zou &amp; Hastie 2005 (JRSS-B)</w:t>
            </w:r>
          </w:p>
        </w:tc>
        <w:tc>
          <w:tcPr>
            <w:tcW w:type="dxa" w:w="236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tcPr>
          <w:p>
            <w:r>
              <w:rPr>
                <w:rFonts w:ascii="Arial" w:cs="Arial" w:eastAsia="Arial" w:hAnsi="Arial"/>
                <w:b/>
                <w:bCs/>
                <w:color w:val="1F4E79"/>
                <w:sz w:val="18"/>
                <w:szCs w:val="18"/>
              </w:rPr>
              <w:t xml:space="preserve">Days 6–9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Random Forest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StatQuest — Random Forests Part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Breiman 2001 (Machine Learning)</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Day 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MOFA+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biofam.github.io/MOFA2/tutorials.html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Argelaguet 2020 (Genome Biology)</w:t>
            </w:r>
          </w:p>
        </w:tc>
        <w:tc>
          <w:tcPr>
            <w:tcW w:type="dxa" w:w="236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tcPr>
          <w:p>
            <w:r>
              <w:rPr>
                <w:rFonts w:ascii="Arial" w:cs="Arial" w:eastAsia="Arial" w:hAnsi="Arial"/>
                <w:b/>
                <w:bCs/>
                <w:color w:val="1F4E79"/>
                <w:sz w:val="18"/>
                <w:szCs w:val="18"/>
              </w:rPr>
              <w:t xml:space="preserve">Days 11–14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Meta-analysis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Cochrane Handbook Chapter 9 (free)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Borenstein et al. 2009 textbook</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Day 15</w:t>
            </w:r>
          </w:p>
        </w:tc>
      </w:tr>
    </w:tbl>
    <w:p>
      <w:pPr>
        <w:spacing w:after="80" w:before="80"/>
      </w:pPr>
      <w:r>
        <w:t xml:space="preserve"/>
      </w:r>
    </w:p>
    <w:p>
      <w:pPr>
        <w:pBdr>
          <w:bottom w:val="single" w:color="CCCCCC" w:sz="4" w:space="1"/>
        </w:pBdr>
        <w:spacing w:after="120" w:before="120"/>
      </w:pPr>
      <w:r>
        <w:t xml:space="preserve"/>
      </w:r>
    </w:p>
    <w:p>
      <w:pPr>
        <w:spacing w:before="80"/>
        <w:jc w:val="center"/>
      </w:pPr>
      <w:r>
        <w:rPr>
          <w:rFonts w:ascii="Arial" w:cs="Arial" w:eastAsia="Arial" w:hAnsi="Arial"/>
          <w:i/>
          <w:iCs/>
          <w:color w:val="888888"/>
          <w:sz w:val="18"/>
          <w:szCs w:val="18"/>
        </w:rPr>
        <w:t xml:space="preserve">The goal is not to become an ML expert — it is to understand your tools well enough to trust, defend, and correctly interpret your results.</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7"/>
        <w:szCs w:val="17"/>
      </w:rPr>
      <w:t xml:space="preserve">30–45 min/day  •  4 weeks  •  github.com/Ensiuc/CpG_Methylation_ML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ML Learning Schedule — CpG Methylation Project</w:t>
    </w:r>
    <w:r>
      <w:rPr>
        <w:rFonts w:ascii="Arial" w:cs="Arial" w:eastAsia="Arial" w:hAnsi="Arial"/>
        <w:color w:val="999999"/>
        <w:sz w:val="18"/>
        <w:szCs w:val="18"/>
      </w:rPr>
      <w:t xml:space="preserve">    |    Ensieh Habibi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2026-05-06T16:25:39.682Z</dcterms:created>
  <dcterms:modified xsi:type="dcterms:W3CDTF">2026-05-06T16:25:39.682Z</dcterms:modified>
</cp:coreProperties>
</file>

<file path=docProps/custom.xml><?xml version="1.0" encoding="utf-8"?>
<Properties xmlns="http://schemas.openxmlformats.org/officeDocument/2006/custom-properties" xmlns:vt="http://schemas.openxmlformats.org/officeDocument/2006/docPropsVTypes"/>
</file>