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CpG Methylation ML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5F8A"/>
          <w:sz w:val="30"/>
          <w:szCs w:val="30"/>
        </w:rPr>
        <w:t xml:space="preserve">Progress Report — Phase 1 Complete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May 2026  |  Ensi Habibi</w:t>
      </w:r>
    </w:p>
    <w:p>
      <w:pPr>
        <w:pStyle w:val="Heading1"/>
      </w:pPr>
      <w: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summarises the first phase of a machine learning pipeline developed to identify shared CpG methylation signatures across multiple early-life exposure cohorts in rhesus macaques. The analysis targets a specific genomic region (chr10:2432261–2443263 in rheMac, equivalent to chr22:49043919–49052385 in hg38) across nine whole-genome bisulfite sequencing (WGBS) datasets.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central scientific question is: do different types of early-life adversity — wildfire smoke exposure, maternal obesity, preconception stress, and circulating cfDNA changes — leave convergent methylation marks at this locus? Rather than analysing each cohort in isolation (underpowered, n = 11–21), the pipeline pools evidence across all nine cohorts simultaneously.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Datasets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Nine WGBS datasets were processed, covering four categories of early-life exposure: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1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(ctrl)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(case)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Tissue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 smoke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Preconception 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(mixed)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obesity_hippocampus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obesity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Hippocampus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obesity_hypothalamus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obesity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Hypothalamus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obesity_prefrontalcortex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obesity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Prefrontal cortex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 (GD 45)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 (GD 90)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 (GD 120)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 (GD 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Analysis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 implemented in four Jupyter notebooks using Python 3.10 with a pixi-managed environment.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Notebook 01 —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raw Bismark TSV files for all nine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Merges CpG strands (Bismark reports + and − strand separately at consecutive positions)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Computes beta values and filters CpGs with &gt;90% missing data across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Imputes missing values using per-CpG mean across samples (axis=1)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Splits the ~11 kb region into CpG island (cpgi) and gene body (genebody) sub-windows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clean beta matrices as CSV files for all nine datasets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B0000"/>
          <w:sz w:val="22"/>
          <w:szCs w:val="22"/>
        </w:rPr>
        <w:t xml:space="preserve">Key issue resolved: an imputation bug (axis=0 vs axis=1) was filling missing values with the sample's own mean rather than the per-CpG mean. This caused one sample (HJD032) to have identical beta values at all 42 CpGs, driving PC1 to explain 79% of variance. After correction PC1 dropped to 17.4%.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Notebook 02 — Per-Dataset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PCA, UMAP, hierarchical clustering, and ElasticNet logistic regression per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LOOCV for n &lt; 30, 5-fold stratified CV for n ≥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Results: AUC range 0.42–0.62 across all datasets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cohort showed strong predictive performance — consistent with low power at n = 11–21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Notebook 03 — MOFA+ Multi-Dataset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views (cpgi, genebody) × 9 groups (cohorts), 5 latent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regularisation priors disabled (ARD, spike-and-slab) due to small per-group sample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Factor 3 in the gene body explained variance in wildfire (5.0%) and cfdna_GD150 (5.3%) — the only factor appearing across two independent exposure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factor reached statistical significance after Bonferroni correction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Notebook 04 — Per-CpG Meta-Analysis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Mann-Whitney U test per CpG per dataset, signed Z-score conversion, Stouffer's meta-analysis weighted by √n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Benjamini-Hochberg FDR correction across all CpGs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CpG island: consistency scores 0.3–0.7, no FDR significance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 body: nominally significant combined p-values; consistency scores 0.56–1.0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CpG survived FDR correction — consistent with small effect sizes and limited per-cohort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MOFA+ Factor 3 top CpGs form a tight 74 bp cluster: chr10:2435505–2435579 (macaque) / chr22:49,047,163–49,047,237 (hg38)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Key Findings</w:t>
      </w:r>
    </w:p>
    <w:p>
      <w:pPr>
        <w:pStyle w:val="Heading2"/>
      </w:pPr>
      <w:r>
        <w:t xml:space="preserve">4.1 Statistical Evidence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converging lines of evidence point to the gene body sub-region as biologically relevant: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65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MOFA+ Factor 3 (genebody)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axis of CpG co-variation in wildfire and cfDNA cohorts independently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Nominally significant meta-analysis p-values (genebody)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Stouffer's test detects a directional trend not attributable to chance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scores up to 1.0 (genebody)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CpGs show the same direction of change across all 9 cohorts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Genomic Annotation of the 74 bp Hotspot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MOFA+ Factor 3 top CpG weights cluster within a 74 bp window. Eight of the ten highest-weight CpGs fall at chr10:2435505–2435579 (macaque) / chr22:49,047,165–49,047,235 (hg38). Inspection of this window in the UCSC Genome Browser (hg38) revealed: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ENCODE4 cCRE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bar — classified as an enhancer-like element (dELS/pELS)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H3K27Ac (Layered)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signal at top of scale — active histone mark across multiple ENCODE cell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CpG Island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CpG island overlaps this 74 bp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PhyloP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low or negative values — not broadly conserved across vertebrates; conserved in some mammals (dog, elephant) but not mouse or more distant species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Hi-C (Micro-C)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chromatin interaction peak spanning the region — consistent with active enhancer looping to target promoter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ReMap density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Density of 18 at the left edge of the window decreasing to 11–12 toward the right — indicating concentrated transcription factor binding at the 5' end of the hotspot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ReMap TFs identified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EZH2 (repressive PRC2 mark writer), SMC1/cohesin (chromatin loop organiser), JUN (AP-1 stress-responsive TF), ZFP36 (stress/inflammation), LYN (immune signalling)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WGBS (multiple tissues)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is unmethylated across neurons, cardiomyocytes, blood cells, lung, liver, and colon — consistent with constitutively open regulatory element under baseline conditions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4.3 Direction of Methylation Change at the Hotspot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Per-cohort delta beta (case − control) was examined for all 8 hotspot CpGs across all 9 datasets: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(n=76)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Hypomethylated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6/8 CpGs show negative delta beta in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obesity_prefrontalcortex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Hypomethylated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7/8 CpGs show negative delta beta in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obesity_hippocampus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Hypomethylated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negative delta beta in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Hypomethylated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negative delta beta in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wildfire, obesity_hypothalamus, cfdna_GD45, cfdna_GD90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consistent direction across CpGs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cfdna_GD150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Hypermethylated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CpGs show positive delta beta — opposite to all other cohorts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predominant direction across most cohorts is hypomethylation in exposed animals. This indicates that early-life adversity is associated with loss of methylation at this enhancer element — consistent with increased chromatin accessibility and potentially elevated transcriptional activity of the target gene.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exception is cfdna_GD150, which shows consistent hypermethylation across all 8 hotspot CpGs. This directional reversal at late gestation (GD150) suggests a dynamic epigenetic response: early adversity may initially open this enhancer but by late gestation the regulatory response reverses, potentially representing a compensatory or developmental re-programming event.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Proposed conclusion: "At a confirmed ENCODE4 enhancer element (chr10:2435505–2435579 in rheMac; chr22:49,047,165–49,047,235 in hg38) bound by the stress-responsive AP-1 transcription factor JUN and marked by H3K27Ac, early-life adversity is predominantly associated with hypomethylation in exposed animals across stress, obesity, and early cfDNA timepoint cohorts. The late gestational cfDNA cohort (GD150) shows the opposite direction, suggesting a dynamic methylation response at this locus across gestation. These findings warrant replication in larger cohorts with matched gene expression data."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Technical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pixi (project-scoped conda + PyPI), Python 3.10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packages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mofapy2, scipy, statsmodels, pandas, seaborn, umap-learn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on remote HPC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 (Ensiuc/CpG_Methylation_ML)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Bismark coverage TSV → beta matrix CSV (CpGs × samples)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 (PNG), tables (CSV), MOFA+ model (HDF5), progress report (DOCX)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Phase 2 Directions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 in independent cohorts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hypomethylation at hotspot CpGs in new macaque or human datasets with larger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expression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hotspot methylation with RNA-seq — hypomethylation predicts increased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cfDNA longitudinal trajectory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methylation direction change across GD45/90/120/150 — GD150 reversal warrants formal trajectory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Genome-wide / DMR-wide expansion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same pipeline across all DMRs, not just this locus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Pooled cross-cohort 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all samples (n ~ 130) for a higher-powered classifier excluding cfdna_GD150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Enhancer functional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ATAC-seq or ChIP-seq at the hotspot to confirm chromatin accessibility changes in macaque tissue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Genome Bisulfite Sequencing — detects DNA methylation genome-wide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Methylation fraction: meth / (meth + unmeth), range 0–1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beta (Δβ)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beta(case) − mean beta(control); negative = hypomethylated in exposed animals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region of a gene; methylation here positively correlates with expression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ENCODE4 cCRE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cis-regulatory element; classified by chromatin state (enhancer, promoter, CTCF-only)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H3K27Ac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Histone mark at active enhancers and promoters; strong signal = regulatory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Hi-C / Micro-C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Chromatin conformation capture — detects DNA looping between enhancers and promoters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ReMap density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independent ChIP-seq experiments showing TF binding at a given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/ AP-1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Stress-responsive transcription factor; binding is blocked by CpG methylation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EZH2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PRC2 complex methyltransferase; writes repressive H3K27me3 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 score; positive = conserved, negative = accelerated evolution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MOFA+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Multi-Omics Factor Analysis v2 — finds shared latent factors across multiple 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Stouffer's Z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Meta-analysis combining signed Z-scores weighted by sample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Discovery Rate — Benjamini-Hochberg correction for multiple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cohorts showing the same direction of delta beta for a given CpG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dELS / pELS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Distal / Proximal Enhancer-Like Sequence — ENCODE cCRE enhancer classifications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  <w:tabs>
        <w:tab w:val="right" w:pos="9360"/>
      </w:tabs>
    </w:pPr>
    <w:r>
      <w:rPr>
        <w:rFonts w:ascii="Arial" w:cs="Arial" w:eastAsia="Arial" w:hAnsi="Arial"/>
        <w:color w:val="2C5F8A"/>
        <w:sz w:val="18"/>
        <w:szCs w:val="18"/>
      </w:rPr>
      <w:t xml:space="preserve">CpG Methylation ML Pipeline — Progress Report</w:t>
    </w:r>
    <w:r>
      <w:rPr>
        <w:rFonts w:ascii="Arial" w:cs="Arial" w:eastAsia="Arial" w:hAnsi="Arial"/>
        <w:color w:val="888888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2026-05-20T22:09:39.523Z</dcterms:created>
  <dcterms:modified xsi:type="dcterms:W3CDTF">2026-05-20T22:09:39.524Z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