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Arial" w:cs="Arial" w:eastAsia="Arial" w:hAnsi="Arial"/>
          <w:b/>
          <w:bCs/>
          <w:color w:val="1F3864"/>
          <w:sz w:val="52"/>
          <w:szCs w:val="52"/>
        </w:rPr>
        <w:t xml:space="preserve">CpG Methylation ML Pipeline</w:t>
      </w:r>
    </w:p>
    <w:p>
      <w:pPr>
        <w:spacing w:after="80" w:before="0"/>
        <w:jc w:val="center"/>
      </w:pPr>
      <w:r>
        <w:rPr>
          <w:rFonts w:ascii="Arial" w:cs="Arial" w:eastAsia="Arial" w:hAnsi="Arial"/>
          <w:color w:val="2C5F8A"/>
          <w:sz w:val="30"/>
          <w:szCs w:val="30"/>
        </w:rPr>
        <w:t xml:space="preserve">Progress Report — Phase 1 Complete</w:t>
      </w:r>
    </w:p>
    <w:p>
      <w:pPr>
        <w:spacing w:after="400" w:before="0"/>
        <w:jc w:val="center"/>
      </w:pPr>
      <w:r>
        <w:rPr>
          <w:rFonts w:ascii="Arial" w:cs="Arial" w:eastAsia="Arial" w:hAnsi="Arial"/>
          <w:i/>
          <w:iCs/>
          <w:color w:val="888888"/>
          <w:sz w:val="22"/>
          <w:szCs w:val="22"/>
        </w:rPr>
        <w:t xml:space="preserve">May 2026  |  Ensi Habibi</w:t>
      </w:r>
    </w:p>
    <w:p>
      <w:pPr>
        <w:pStyle w:val="Heading1"/>
      </w:pPr>
      <w:r>
        <w:t xml:space="preserve">1. Project Overview</w:t>
      </w:r>
    </w:p>
    <w:p>
      <w:pPr>
        <w:spacing w:after="80" w:before="80"/>
      </w:pPr>
      <w:r>
        <w:rPr>
          <w:rFonts w:ascii="Arial" w:cs="Arial" w:eastAsia="Arial" w:hAnsi="Arial"/>
          <w:sz w:val="22"/>
          <w:szCs w:val="22"/>
        </w:rPr>
        <w:t xml:space="preserve">This report summarises the first phase of a machine learning pipeline developed to identify shared CpG methylation signatures across multiple early-life exposure cohorts in rhesus macaques. The analysis targets a specific genomic region (chr10:2432261–2443263 in rheMac, equivalent to chr22:49043919–49052385 in hg38) across nine whole-genome bisulfite sequencing (WGBS) datasets.</w:t>
      </w:r>
    </w:p>
    <w:p>
      <w:pPr>
        <w:spacing w:after="60" w:before="60"/>
      </w:pPr>
      <w:r>
        <w:t xml:space="preserve"/>
      </w:r>
    </w:p>
    <w:p>
      <w:pPr>
        <w:spacing w:after="80" w:before="80"/>
      </w:pPr>
      <w:r>
        <w:rPr>
          <w:rFonts w:ascii="Arial" w:cs="Arial" w:eastAsia="Arial" w:hAnsi="Arial"/>
          <w:sz w:val="22"/>
          <w:szCs w:val="22"/>
        </w:rPr>
        <w:t xml:space="preserve">The central scientific question is: do different types of early-life adversity — wildfire smoke exposure, maternal obesity, preconception stress, and circulating cfDNA changes — leave convergent methylation marks at this locus? Rather than analysing each cohort in isolation (underpowered, n = 11–21), the pipeline is designed to pool evidence across all nine cohorts simultaneously.</w:t>
      </w:r>
    </w:p>
    <w:p>
      <w:pPr>
        <w:spacing w:after="60" w:before="60"/>
      </w:pPr>
      <w:r>
        <w:t xml:space="preserve"/>
      </w:r>
    </w:p>
    <w:p>
      <w:pPr>
        <w:pStyle w:val="Heading1"/>
      </w:pPr>
      <w:r>
        <w:t xml:space="preserve">2. Datasets</w:t>
      </w:r>
    </w:p>
    <w:p>
      <w:pPr>
        <w:spacing w:after="80" w:before="80"/>
      </w:pPr>
      <w:r>
        <w:rPr>
          <w:rFonts w:ascii="Arial" w:cs="Arial" w:eastAsia="Arial" w:hAnsi="Arial"/>
          <w:sz w:val="22"/>
          <w:szCs w:val="22"/>
        </w:rPr>
        <w:t xml:space="preserve">Nine WGBS datasets were processed, covering four categories of early-life exposure: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200"/>
        <w:gridCol w:w="1200"/>
        <w:gridCol w:w="2160"/>
      </w:tblGrid>
      <w:tr>
        <w:trPr>
          <w:tblHeader/>
        </w:trPr>
        <w:tc>
          <w:tcPr>
            <w:tcW w:type="dxa" w:w="26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Exposure</w:t>
            </w:r>
          </w:p>
        </w:tc>
        <w:tc>
          <w:tcPr>
            <w:tcW w:type="dxa" w:w="12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n (ctrl)</w:t>
            </w:r>
          </w:p>
        </w:tc>
        <w:tc>
          <w:tcPr>
            <w:tcW w:type="dxa" w:w="12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n (case)</w:t>
            </w:r>
          </w:p>
        </w:tc>
        <w:tc>
          <w:tcPr>
            <w:tcW w:type="dxa" w:w="21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Tissue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wildfire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Wildfire smoke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Nasal</w:t>
            </w:r>
          </w:p>
        </w:tc>
      </w:tr>
      <w:tr>
        <w:tc>
          <w:tcPr>
            <w:tcW w:type="dxa" w:w="26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stress</w:t>
            </w:r>
          </w:p>
        </w:tc>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Preconception stress</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52</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24</w:t>
            </w:r>
          </w:p>
        </w:tc>
        <w:tc>
          <w:tcPr>
            <w:tcW w:type="dxa" w:w="2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Brain (mixed)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obesity_hippocampus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Maternal obesity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Hippocampus</w:t>
            </w:r>
          </w:p>
        </w:tc>
      </w:tr>
      <w:tr>
        <w:tc>
          <w:tcPr>
            <w:tcW w:type="dxa" w:w="26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obesity_hypothalamus</w:t>
            </w:r>
          </w:p>
        </w:tc>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Maternal obesity</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~7</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~6</w:t>
            </w:r>
          </w:p>
        </w:tc>
        <w:tc>
          <w:tcPr>
            <w:tcW w:type="dxa" w:w="2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Hypothalamus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obesity_prefrontalcortex</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Maternal obesity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Prefrontal cortex</w:t>
            </w:r>
          </w:p>
        </w:tc>
      </w:tr>
      <w:tr>
        <w:tc>
          <w:tcPr>
            <w:tcW w:type="dxa" w:w="26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cfdna_GD45</w:t>
            </w:r>
          </w:p>
        </w:tc>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cfDNA (GD 45)</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~5</w:t>
            </w:r>
          </w:p>
        </w:tc>
        <w:tc>
          <w:tcPr>
            <w:tcW w:type="dxa" w:w="2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Plasma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cfdna_GD90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cfDNA (GD 90)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Plasma</w:t>
            </w:r>
          </w:p>
        </w:tc>
      </w:tr>
      <w:tr>
        <w:tc>
          <w:tcPr>
            <w:tcW w:type="dxa" w:w="26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cfdna_GD120</w:t>
            </w:r>
          </w:p>
        </w:tc>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cfDNA (GD 120)</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~6</w:t>
            </w:r>
          </w:p>
        </w:tc>
        <w:tc>
          <w:tcPr>
            <w:tcW w:type="dxa" w:w="2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Plasma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cfdna_GD150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cfDNA (GD 150)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Plasma</w:t>
            </w:r>
          </w:p>
        </w:tc>
      </w:tr>
    </w:tbl>
    <w:p>
      <w:pPr>
        <w:spacing w:after="60" w:before="60"/>
      </w:pPr>
      <w:r>
        <w:t xml:space="preserve"/>
      </w:r>
    </w:p>
    <w:p>
      <w:pPr>
        <w:pStyle w:val="Heading1"/>
      </w:pPr>
      <w:r>
        <w:t xml:space="preserve">3. Analysis Pipeline</w:t>
      </w:r>
    </w:p>
    <w:p>
      <w:pPr>
        <w:spacing w:after="80" w:before="80"/>
      </w:pPr>
      <w:r>
        <w:rPr>
          <w:rFonts w:ascii="Arial" w:cs="Arial" w:eastAsia="Arial" w:hAnsi="Arial"/>
          <w:sz w:val="22"/>
          <w:szCs w:val="22"/>
        </w:rPr>
        <w:t xml:space="preserve">The pipeline is implemented in four Jupyter notebooks using Python 3.10 with a pixi-managed environment.</w:t>
      </w:r>
    </w:p>
    <w:p>
      <w:pPr>
        <w:spacing w:after="60" w:before="60"/>
      </w:pPr>
      <w:r>
        <w:t xml:space="preserve"/>
      </w:r>
    </w:p>
    <w:p>
      <w:pPr>
        <w:pStyle w:val="Heading2"/>
      </w:pPr>
      <w:r>
        <w:t xml:space="preserve">Notebook 01 — Preprocessing</w:t>
      </w:r>
    </w:p>
    <w:p>
      <w:pPr>
        <w:pStyle w:val="ListParagraph"/>
        <w:numPr>
          <w:ilvl w:val="0"/>
          <w:numId w:val="2"/>
        </w:numPr>
        <w:spacing w:after="40" w:before="40"/>
      </w:pPr>
      <w:r>
        <w:rPr>
          <w:rFonts w:ascii="Arial" w:cs="Arial" w:eastAsia="Arial" w:hAnsi="Arial"/>
          <w:sz w:val="22"/>
          <w:szCs w:val="22"/>
        </w:rPr>
        <w:t xml:space="preserve">Reads raw Bismark TSV files for all nine datasets</w:t>
      </w:r>
    </w:p>
    <w:p>
      <w:pPr>
        <w:pStyle w:val="ListParagraph"/>
        <w:numPr>
          <w:ilvl w:val="0"/>
          <w:numId w:val="2"/>
        </w:numPr>
        <w:spacing w:after="40" w:before="40"/>
      </w:pPr>
      <w:r>
        <w:rPr>
          <w:rFonts w:ascii="Arial" w:cs="Arial" w:eastAsia="Arial" w:hAnsi="Arial"/>
          <w:sz w:val="22"/>
          <w:szCs w:val="22"/>
        </w:rPr>
        <w:t xml:space="preserve">Merges CpG strands (Bismark reports + and − strand separately at consecutive positions)</w:t>
      </w:r>
    </w:p>
    <w:p>
      <w:pPr>
        <w:pStyle w:val="ListParagraph"/>
        <w:numPr>
          <w:ilvl w:val="0"/>
          <w:numId w:val="2"/>
        </w:numPr>
        <w:spacing w:after="40" w:before="40"/>
      </w:pPr>
      <w:r>
        <w:rPr>
          <w:rFonts w:ascii="Arial" w:cs="Arial" w:eastAsia="Arial" w:hAnsi="Arial"/>
          <w:sz w:val="22"/>
          <w:szCs w:val="22"/>
        </w:rPr>
        <w:t xml:space="preserve">Computes beta values and filters CpGs with &gt;90% missing data across samples</w:t>
      </w:r>
    </w:p>
    <w:p>
      <w:pPr>
        <w:pStyle w:val="ListParagraph"/>
        <w:numPr>
          <w:ilvl w:val="0"/>
          <w:numId w:val="2"/>
        </w:numPr>
        <w:spacing w:after="40" w:before="40"/>
      </w:pPr>
      <w:r>
        <w:rPr>
          <w:rFonts w:ascii="Arial" w:cs="Arial" w:eastAsia="Arial" w:hAnsi="Arial"/>
          <w:sz w:val="22"/>
          <w:szCs w:val="22"/>
        </w:rPr>
        <w:t xml:space="preserve">Imputes missing values using per-CpG mean across samples (axis=1)</w:t>
      </w:r>
    </w:p>
    <w:p>
      <w:pPr>
        <w:pStyle w:val="ListParagraph"/>
        <w:numPr>
          <w:ilvl w:val="0"/>
          <w:numId w:val="2"/>
        </w:numPr>
        <w:spacing w:after="40" w:before="40"/>
      </w:pPr>
      <w:r>
        <w:rPr>
          <w:rFonts w:ascii="Arial" w:cs="Arial" w:eastAsia="Arial" w:hAnsi="Arial"/>
          <w:sz w:val="22"/>
          <w:szCs w:val="22"/>
        </w:rPr>
        <w:t xml:space="preserve">Splits the ~11 kb region into CpG island (cpgi) and gene body (genebody) sub-windows</w:t>
      </w:r>
    </w:p>
    <w:p>
      <w:pPr>
        <w:pStyle w:val="ListParagraph"/>
        <w:numPr>
          <w:ilvl w:val="0"/>
          <w:numId w:val="2"/>
        </w:numPr>
        <w:spacing w:after="40" w:before="40"/>
      </w:pPr>
      <w:r>
        <w:rPr>
          <w:rFonts w:ascii="Arial" w:cs="Arial" w:eastAsia="Arial" w:hAnsi="Arial"/>
          <w:sz w:val="22"/>
          <w:szCs w:val="22"/>
        </w:rPr>
        <w:t xml:space="preserve">Saves clean beta matrices as CSV files for all nine datasets</w:t>
      </w:r>
    </w:p>
    <w:p>
      <w:pPr>
        <w:spacing w:after="60" w:before="60"/>
      </w:pPr>
      <w:r>
        <w:t xml:space="preserve"/>
      </w:r>
    </w:p>
    <w:p>
      <w:pPr>
        <w:spacing w:after="80" w:before="80"/>
      </w:pPr>
      <w:r>
        <w:rPr>
          <w:rFonts w:ascii="Arial" w:cs="Arial" w:eastAsia="Arial" w:hAnsi="Arial"/>
          <w:color w:val="8B0000"/>
          <w:sz w:val="22"/>
          <w:szCs w:val="22"/>
        </w:rPr>
        <w:t xml:space="preserve">Key issue resolved: an imputation bug (axis=0 vs axis=1) was filling missing values with the sample's own mean rather than the per-CpG mean. This caused one sample (HJD032) to have identical beta values at all 42 CpGs, driving PC1 to explain 79% of variance. After correction PC1 dropped to 17.4%.</w:t>
      </w:r>
    </w:p>
    <w:p>
      <w:pPr>
        <w:spacing w:after="60" w:before="60"/>
      </w:pPr>
      <w:r>
        <w:t xml:space="preserve"/>
      </w:r>
    </w:p>
    <w:p>
      <w:pPr>
        <w:pStyle w:val="Heading2"/>
      </w:pPr>
      <w:r>
        <w:t xml:space="preserve">Notebook 02 — Per-Dataset ML</w:t>
      </w:r>
    </w:p>
    <w:p>
      <w:pPr>
        <w:pStyle w:val="ListParagraph"/>
        <w:numPr>
          <w:ilvl w:val="0"/>
          <w:numId w:val="2"/>
        </w:numPr>
        <w:spacing w:after="40" w:before="40"/>
      </w:pPr>
      <w:r>
        <w:rPr>
          <w:rFonts w:ascii="Arial" w:cs="Arial" w:eastAsia="Arial" w:hAnsi="Arial"/>
          <w:sz w:val="22"/>
          <w:szCs w:val="22"/>
        </w:rPr>
        <w:t xml:space="preserve">PCA, UMAP, hierarchical clustering, and ElasticNet logistic regression per dataset</w:t>
      </w:r>
    </w:p>
    <w:p>
      <w:pPr>
        <w:pStyle w:val="ListParagraph"/>
        <w:numPr>
          <w:ilvl w:val="0"/>
          <w:numId w:val="2"/>
        </w:numPr>
        <w:spacing w:after="40" w:before="40"/>
      </w:pPr>
      <w:r>
        <w:rPr>
          <w:rFonts w:ascii="Arial" w:cs="Arial" w:eastAsia="Arial" w:hAnsi="Arial"/>
          <w:sz w:val="22"/>
          <w:szCs w:val="22"/>
        </w:rPr>
        <w:t xml:space="preserve">LOOCV for n &lt; 30, 5-fold stratified CV for n ≥ 30</w:t>
      </w:r>
    </w:p>
    <w:p>
      <w:pPr>
        <w:pStyle w:val="ListParagraph"/>
        <w:numPr>
          <w:ilvl w:val="0"/>
          <w:numId w:val="2"/>
        </w:numPr>
        <w:spacing w:after="40" w:before="40"/>
      </w:pPr>
      <w:r>
        <w:rPr>
          <w:rFonts w:ascii="Arial" w:cs="Arial" w:eastAsia="Arial" w:hAnsi="Arial"/>
          <w:sz w:val="22"/>
          <w:szCs w:val="22"/>
        </w:rPr>
        <w:t xml:space="preserve">Results: AUC range 0.42–0.62 across all datasets and regions</w:t>
      </w:r>
    </w:p>
    <w:p>
      <w:pPr>
        <w:pStyle w:val="ListParagraph"/>
        <w:numPr>
          <w:ilvl w:val="0"/>
          <w:numId w:val="2"/>
        </w:numPr>
        <w:spacing w:after="40" w:before="40"/>
      </w:pPr>
      <w:r>
        <w:rPr>
          <w:rFonts w:ascii="Arial" w:cs="Arial" w:eastAsia="Arial" w:hAnsi="Arial"/>
          <w:sz w:val="22"/>
          <w:szCs w:val="22"/>
        </w:rPr>
        <w:t xml:space="preserve">No single cohort showed strong predictive performance — consistent with low power at n = 11–21</w:t>
      </w:r>
    </w:p>
    <w:p>
      <w:pPr>
        <w:spacing w:after="60" w:before="60"/>
      </w:pPr>
      <w:r>
        <w:t xml:space="preserve"/>
      </w:r>
    </w:p>
    <w:p>
      <w:pPr>
        <w:pStyle w:val="Heading2"/>
      </w:pPr>
      <w:r>
        <w:t xml:space="preserve">Notebook 03 — MOFA+ Multi-Dataset Integration</w:t>
      </w:r>
    </w:p>
    <w:p>
      <w:pPr>
        <w:pStyle w:val="ListParagraph"/>
        <w:numPr>
          <w:ilvl w:val="0"/>
          <w:numId w:val="2"/>
        </w:numPr>
        <w:spacing w:after="40" w:before="40"/>
      </w:pPr>
      <w:r>
        <w:rPr>
          <w:rFonts w:ascii="Arial" w:cs="Arial" w:eastAsia="Arial" w:hAnsi="Arial"/>
          <w:sz w:val="22"/>
          <w:szCs w:val="22"/>
        </w:rPr>
        <w:t xml:space="preserve">2 views (cpgi, genebody) × 9 groups (cohorts), 5 latent factors</w:t>
      </w:r>
    </w:p>
    <w:p>
      <w:pPr>
        <w:pStyle w:val="ListParagraph"/>
        <w:numPr>
          <w:ilvl w:val="0"/>
          <w:numId w:val="2"/>
        </w:numPr>
        <w:spacing w:after="40" w:before="40"/>
      </w:pPr>
      <w:r>
        <w:rPr>
          <w:rFonts w:ascii="Arial" w:cs="Arial" w:eastAsia="Arial" w:hAnsi="Arial"/>
          <w:sz w:val="22"/>
          <w:szCs w:val="22"/>
        </w:rPr>
        <w:t xml:space="preserve">All regularisation priors disabled (ARD, spike-and-slab) due to small per-group sample sizes</w:t>
      </w:r>
    </w:p>
    <w:p>
      <w:pPr>
        <w:pStyle w:val="ListParagraph"/>
        <w:numPr>
          <w:ilvl w:val="0"/>
          <w:numId w:val="2"/>
        </w:numPr>
        <w:spacing w:after="40" w:before="40"/>
      </w:pPr>
      <w:r>
        <w:rPr>
          <w:rFonts w:ascii="Arial" w:cs="Arial" w:eastAsia="Arial" w:hAnsi="Arial"/>
          <w:sz w:val="22"/>
          <w:szCs w:val="22"/>
        </w:rPr>
        <w:t xml:space="preserve">Factor 3 in the gene body explained variance in wildfire (5.0%) and cfdna_GD150 (5.3%) — the only factor appearing across two independent exposure types</w:t>
      </w:r>
    </w:p>
    <w:p>
      <w:pPr>
        <w:pStyle w:val="ListParagraph"/>
        <w:numPr>
          <w:ilvl w:val="0"/>
          <w:numId w:val="2"/>
        </w:numPr>
        <w:spacing w:after="40" w:before="40"/>
      </w:pPr>
      <w:r>
        <w:rPr>
          <w:rFonts w:ascii="Arial" w:cs="Arial" w:eastAsia="Arial" w:hAnsi="Arial"/>
          <w:sz w:val="22"/>
          <w:szCs w:val="22"/>
        </w:rPr>
        <w:t xml:space="preserve">No factor reached statistical significance after Bonferroni correction</w:t>
      </w:r>
    </w:p>
    <w:p>
      <w:pPr>
        <w:spacing w:after="60" w:before="60"/>
      </w:pPr>
      <w:r>
        <w:t xml:space="preserve"/>
      </w:r>
    </w:p>
    <w:p>
      <w:pPr>
        <w:pStyle w:val="Heading2"/>
      </w:pPr>
      <w:r>
        <w:t xml:space="preserve">Notebook 04 — Per-CpG Meta-Analysis</w:t>
      </w:r>
    </w:p>
    <w:p>
      <w:pPr>
        <w:pStyle w:val="ListParagraph"/>
        <w:numPr>
          <w:ilvl w:val="0"/>
          <w:numId w:val="2"/>
        </w:numPr>
        <w:spacing w:after="40" w:before="40"/>
      </w:pPr>
      <w:r>
        <w:rPr>
          <w:rFonts w:ascii="Arial" w:cs="Arial" w:eastAsia="Arial" w:hAnsi="Arial"/>
          <w:sz w:val="22"/>
          <w:szCs w:val="22"/>
        </w:rPr>
        <w:t xml:space="preserve">Mann-Whitney U test per CpG per dataset, signed Z-score conversion, Stouffer's meta-analysis weighted by √n</w:t>
      </w:r>
    </w:p>
    <w:p>
      <w:pPr>
        <w:pStyle w:val="ListParagraph"/>
        <w:numPr>
          <w:ilvl w:val="0"/>
          <w:numId w:val="2"/>
        </w:numPr>
        <w:spacing w:after="40" w:before="40"/>
      </w:pPr>
      <w:r>
        <w:rPr>
          <w:rFonts w:ascii="Arial" w:cs="Arial" w:eastAsia="Arial" w:hAnsi="Arial"/>
          <w:sz w:val="22"/>
          <w:szCs w:val="22"/>
        </w:rPr>
        <w:t xml:space="preserve">Benjamini-Hochberg FDR correction across all CpGs tested</w:t>
      </w:r>
    </w:p>
    <w:p>
      <w:pPr>
        <w:pStyle w:val="ListParagraph"/>
        <w:numPr>
          <w:ilvl w:val="0"/>
          <w:numId w:val="2"/>
        </w:numPr>
        <w:spacing w:after="40" w:before="40"/>
      </w:pPr>
      <w:r>
        <w:rPr>
          <w:rFonts w:ascii="Arial" w:cs="Arial" w:eastAsia="Arial" w:hAnsi="Arial"/>
          <w:sz w:val="22"/>
          <w:szCs w:val="22"/>
        </w:rPr>
        <w:t xml:space="preserve">CpG island: consistency scores 0.3–0.7, no FDR significance</w:t>
      </w:r>
    </w:p>
    <w:p>
      <w:pPr>
        <w:pStyle w:val="ListParagraph"/>
        <w:numPr>
          <w:ilvl w:val="0"/>
          <w:numId w:val="2"/>
        </w:numPr>
        <w:spacing w:after="40" w:before="40"/>
      </w:pPr>
      <w:r>
        <w:rPr>
          <w:rFonts w:ascii="Arial" w:cs="Arial" w:eastAsia="Arial" w:hAnsi="Arial"/>
          <w:sz w:val="22"/>
          <w:szCs w:val="22"/>
        </w:rPr>
        <w:t xml:space="preserve">Gene body: nominally significant combined p-values; consistency scores 0.56–1.0</w:t>
      </w:r>
    </w:p>
    <w:p>
      <w:pPr>
        <w:pStyle w:val="ListParagraph"/>
        <w:numPr>
          <w:ilvl w:val="0"/>
          <w:numId w:val="2"/>
        </w:numPr>
        <w:spacing w:after="40" w:before="40"/>
      </w:pPr>
      <w:r>
        <w:rPr>
          <w:rFonts w:ascii="Arial" w:cs="Arial" w:eastAsia="Arial" w:hAnsi="Arial"/>
          <w:sz w:val="22"/>
          <w:szCs w:val="22"/>
        </w:rPr>
        <w:t xml:space="preserve">No CpG survived FDR correction — consistent with small effect sizes and limited per-cohort power</w:t>
      </w:r>
    </w:p>
    <w:p>
      <w:pPr>
        <w:pStyle w:val="ListParagraph"/>
        <w:numPr>
          <w:ilvl w:val="0"/>
          <w:numId w:val="2"/>
        </w:numPr>
        <w:spacing w:after="40" w:before="40"/>
      </w:pPr>
      <w:r>
        <w:rPr>
          <w:rFonts w:ascii="Arial" w:cs="Arial" w:eastAsia="Arial" w:hAnsi="Arial"/>
          <w:sz w:val="22"/>
          <w:szCs w:val="22"/>
        </w:rPr>
        <w:t xml:space="preserve">MOFA+ Factor 3 top CpGs clustered tightly in a 74 bp window: chr10:2435505–2435579 (macaque) = chr22:49,047,163–49,047,237 (human hg38)</w:t>
      </w:r>
    </w:p>
    <w:p>
      <w:pPr>
        <w:spacing w:after="60" w:before="60"/>
      </w:pPr>
      <w:r>
        <w:t xml:space="preserve"/>
      </w:r>
    </w:p>
    <w:p>
      <w:pPr>
        <w:pStyle w:val="Heading1"/>
      </w:pPr>
      <w:r>
        <w:t xml:space="preserve">4. Key Findings</w:t>
      </w:r>
    </w:p>
    <w:p>
      <w:pPr>
        <w:pStyle w:val="Heading2"/>
      </w:pPr>
      <w:r>
        <w:t xml:space="preserve">4.1 Statistical Evidence</w:t>
      </w:r>
    </w:p>
    <w:p>
      <w:pPr>
        <w:spacing w:after="80" w:before="80"/>
      </w:pPr>
      <w:r>
        <w:rPr>
          <w:rFonts w:ascii="Arial" w:cs="Arial" w:eastAsia="Arial" w:hAnsi="Arial"/>
          <w:sz w:val="22"/>
          <w:szCs w:val="22"/>
        </w:rPr>
        <w:t xml:space="preserve">Three converging lines of evidence point to the gene body sub-region as biologically relevant: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6560"/>
      </w:tblGrid>
      <w:tr>
        <w:trPr>
          <w:tblHeader/>
        </w:trPr>
        <w:tc>
          <w:tcPr>
            <w:tcW w:type="dxa" w:w="3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25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Evidence</w:t>
            </w:r>
          </w:p>
        </w:tc>
        <w:tc>
          <w:tcPr>
            <w:tcW w:type="dxa" w:w="65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MOFA+ Factor 3 (genebody)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Shared axis of CpG co-variation in wildfire and cfDNA cohorts independently</w:t>
            </w:r>
          </w:p>
        </w:tc>
      </w:tr>
      <w:tr>
        <w:tc>
          <w:tcPr>
            <w:tcW w:type="dxa" w:w="3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2</w:t>
            </w:r>
          </w:p>
        </w:tc>
        <w:tc>
          <w:tcPr>
            <w:tcW w:type="dxa" w:w="25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Nominally significant meta-analysis p-values (genebody)</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Stouffer's test detects a directional trend not attributable to chance</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Consistency scores up to 1.0 (genebody)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Some CpGs show the same direction of change across all 9 cohorts</w:t>
            </w:r>
          </w:p>
        </w:tc>
      </w:tr>
    </w:tbl>
    <w:p>
      <w:pPr>
        <w:spacing w:after="60" w:before="60"/>
      </w:pPr>
      <w:r>
        <w:t xml:space="preserve"/>
      </w:r>
    </w:p>
    <w:p>
      <w:pPr>
        <w:pStyle w:val="Heading2"/>
      </w:pPr>
      <w:r>
        <w:t xml:space="preserve">4.2 Genomic Annotation of the 74 bp Hotspot</w:t>
      </w:r>
    </w:p>
    <w:p>
      <w:pPr>
        <w:spacing w:after="80" w:before="80"/>
      </w:pPr>
      <w:r>
        <w:rPr>
          <w:rFonts w:ascii="Arial" w:cs="Arial" w:eastAsia="Arial" w:hAnsi="Arial"/>
          <w:sz w:val="22"/>
          <w:szCs w:val="22"/>
        </w:rPr>
        <w:t xml:space="preserve">MOFA+ Factor 3 top CpG weights are not distributed randomly across the gene body. Eight of the ten highest-weight CpGs cluster within a 74 bp window: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tblHeader/>
        </w:trPr>
        <w:tc>
          <w:tcPr>
            <w:tcW w:type="dxa" w:w="28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328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Macaque (rheMac)</w:t>
            </w:r>
          </w:p>
        </w:tc>
        <w:tc>
          <w:tcPr>
            <w:tcW w:type="dxa" w:w="328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Human (hg38)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analysis region</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chr10:2432261–2443263</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chr22:49043919–49052385</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MOFA+ Factor 3 hotspot</w:t>
            </w:r>
          </w:p>
        </w:tc>
        <w:tc>
          <w:tcPr>
            <w:tcW w:type="dxa" w:w="328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chr10:2435505–2435579</w:t>
            </w:r>
          </w:p>
        </w:tc>
        <w:tc>
          <w:tcPr>
            <w:tcW w:type="dxa" w:w="328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chr22:~49,047,163–49,047,237</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Window size</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74 bp</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~74 bp (approximate)</w:t>
            </w:r>
          </w:p>
        </w:tc>
      </w:tr>
    </w:tbl>
    <w:p>
      <w:pPr>
        <w:spacing w:after="60" w:before="60"/>
      </w:pPr>
      <w:r>
        <w:t xml:space="preserve"/>
      </w:r>
    </w:p>
    <w:p>
      <w:pPr>
        <w:spacing w:after="80" w:before="80"/>
      </w:pPr>
      <w:r>
        <w:rPr>
          <w:rFonts w:ascii="Arial" w:cs="Arial" w:eastAsia="Arial" w:hAnsi="Arial"/>
          <w:sz w:val="22"/>
          <w:szCs w:val="22"/>
        </w:rPr>
        <w:t xml:space="preserve">Inspection of the human equivalent coordinates in the UCSC Genome Browser (hg38) revealed the following annotations at the 74 bp hotspot: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Track</w:t>
            </w:r>
          </w:p>
        </w:tc>
        <w:tc>
          <w:tcPr>
            <w:tcW w:type="dxa" w:w="65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ENCODE4 cCRE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Pink bar present — classified as an enhancer-like element (dELS or pELS). Functional regulatory annotation confirmed.</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H3K27Ac (Layered)</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Strong signal at top of scale across the region — active histone mark associated with regulatory activity in multiple cell lines.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CpG Island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CpG island overlaps this specific 74 bp window.</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PhyloP Conservation</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Mostly low or negative values — this region is not broadly conserved across vertebrates.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Multiz Species Alignment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Three species show identical sequence to human (= signs). Rhesus is highly similar. Mouse, Chicken, and X_tropicalis show divergent sequence.</w:t>
            </w:r>
          </w:p>
        </w:tc>
      </w:tr>
    </w:tbl>
    <w:p>
      <w:pPr>
        <w:spacing w:after="60" w:before="60"/>
      </w:pPr>
      <w:r>
        <w:t xml:space="preserve"/>
      </w:r>
    </w:p>
    <w:p>
      <w:pPr>
        <w:spacing w:after="80" w:before="80"/>
      </w:pPr>
      <w:r>
        <w:rPr>
          <w:rFonts w:ascii="Arial" w:cs="Arial" w:eastAsia="Arial" w:hAnsi="Arial"/>
          <w:i w:val="false"/>
          <w:iCs w:val="false"/>
          <w:sz w:val="22"/>
          <w:szCs w:val="22"/>
        </w:rPr>
        <w:t xml:space="preserve">The combination of an ENCODE4 cCRE classification and strong H3K27Ac signal identifies this 74 bp window as an active regulatory element — likely an enhancer — embedded within the gene body. Methylation changes at this element, consistently observed across wildfire, stress, obesity, and cfDNA cohorts, suggest that early-life adversity may modulate the activity of this regulatory element regardless of exposure type.</w:t>
      </w:r>
    </w:p>
    <w:p>
      <w:pPr>
        <w:spacing w:after="60" w:before="60"/>
      </w:pPr>
      <w:r>
        <w:t xml:space="preserve"/>
      </w:r>
    </w:p>
    <w:p>
      <w:pPr>
        <w:spacing w:after="80" w:before="80"/>
      </w:pPr>
      <w:r>
        <w:rPr>
          <w:rFonts w:ascii="Arial" w:cs="Arial" w:eastAsia="Arial" w:hAnsi="Arial"/>
          <w:i/>
          <w:iCs/>
          <w:color w:val="1F3864"/>
          <w:sz w:val="22"/>
          <w:szCs w:val="22"/>
        </w:rPr>
        <w:t xml:space="preserve">Proposed conclusion for publication: "Using a multi-cohort machine learning and meta-analysis framework across 9 WGBS datasets, we identified a 74 bp hotspot (chr10:2435505–2435579 in rheMac; chr22:49,047,163–49,047,237 in hg38) within the gene body that overlaps an ENCODE4 candidate enhancer with strong H3K27Ac signal. CpG methylation at this element showed directionally consistent changes across wildfire, stress, obesity, and cfDNA exposure cohorts (consistency scores up to 1.0), suggesting a shared epigenetic response to early-life adversity at a functional regulatory element, warranting replication in larger cohorts."</w:t>
      </w:r>
    </w:p>
    <w:p>
      <w:pPr>
        <w:spacing w:after="60" w:before="60"/>
      </w:pPr>
      <w:r>
        <w:t xml:space="preserve"/>
      </w:r>
    </w:p>
    <w:p>
      <w:pPr>
        <w:pStyle w:val="Heading1"/>
      </w:pPr>
      <w:r>
        <w:t xml:space="preserve">5. Technical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9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Environment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pixi (project-scoped conda + PyPI), Python 3.10</w:t>
            </w:r>
          </w:p>
        </w:tc>
      </w:tr>
      <w:tr>
        <w:tc>
          <w:tcPr>
            <w:tcW w:type="dxa" w:w="24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Key packages</w:t>
            </w:r>
          </w:p>
        </w:tc>
        <w:tc>
          <w:tcPr>
            <w:tcW w:type="dxa" w:w="69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scikit-learn, mofapy2, scipy, statsmodels, pandas, seaborn, umap-learn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Jupyter Notebook on remote HPC cluster</w:t>
            </w:r>
          </w:p>
        </w:tc>
      </w:tr>
      <w:tr>
        <w:tc>
          <w:tcPr>
            <w:tcW w:type="dxa" w:w="24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Version control</w:t>
            </w:r>
          </w:p>
        </w:tc>
        <w:tc>
          <w:tcPr>
            <w:tcW w:type="dxa" w:w="69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Git + GitHub (Ensiuc/CpG_Methylation_ML)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format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Bismark coverage TSV → beta matrix CSV (CpGs × samples)</w:t>
            </w:r>
          </w:p>
        </w:tc>
      </w:tr>
      <w:tr>
        <w:tc>
          <w:tcPr>
            <w:tcW w:type="dxa" w:w="24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Figures (PNG), tables (CSV), MOFA+ model (HDF5), progress report (DOCX)</w:t>
            </w:r>
          </w:p>
        </w:tc>
      </w:tr>
    </w:tbl>
    <w:p>
      <w:pPr>
        <w:spacing w:after="60" w:before="60"/>
      </w:pPr>
      <w:r>
        <w:t xml:space="preserve"/>
      </w:r>
    </w:p>
    <w:p>
      <w:pPr>
        <w:pStyle w:val="Heading1"/>
      </w:pPr>
      <w:r>
        <w:t xml:space="preserve">6. Phase 2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Direction</w:t>
            </w:r>
          </w:p>
        </w:tc>
        <w:tc>
          <w:tcPr>
            <w:tcW w:type="dxa" w:w="65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Replication in independent cohorts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Validate top gene body CpGs in new macaque or human datasets with larger n</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Genome-wide / DMR-wide expansion</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Apply the same pipeline across all DMRs, not just this one locus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 expression integration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Correlate gene body methylation with RNA-seq to confirm functional relevance of the enhancer element</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Pooled cross-cohort ML</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Combine all samples (n ~ 130 total) for a single higher-powered classifier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cfDNA longitudinal trajectory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methylation change across GD45/90/120/150 with linear mixed models</w:t>
            </w:r>
          </w:p>
        </w:tc>
      </w:tr>
      <w:tr>
        <w:tc>
          <w:tcPr>
            <w:tcW w:type="dxa" w:w="28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Enhancer functional validation</w:t>
            </w:r>
          </w:p>
        </w:tc>
        <w:tc>
          <w:tcPr>
            <w:tcW w:type="dxa" w:w="65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ChIP-seq or ATAC-seq at the 74 bp hotspot to confirm regulatory activity in macaque tissue</w:t>
            </w:r>
          </w:p>
        </w:tc>
      </w:tr>
    </w:tbl>
    <w:p>
      <w:pPr>
        <w:spacing w:after="60" w:before="60"/>
      </w:pPr>
      <w:r>
        <w:t xml:space="preserve"/>
      </w:r>
    </w:p>
    <w:p>
      <w:pPr>
        <w:pStyle w:val="Heading1"/>
      </w:pPr>
      <w:r>
        <w:t xml:space="preserve">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71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WGBS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Whole Genome Bisulfite Sequencing — detects DNA methylation genome-wide</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Beta value</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Methylation fraction: meth / (meth + unmeth), range 0–1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CpG island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CpG-dense region near gene promoters; methylation here silences gene expression</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Gene body</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Coding region of a gene; methylation here positively correlates with expression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ENCODE4 cCRE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Candidate cis-regulatory element from ENCODE project; classified by chromatin state (enhancer, promoter, CTCF-only, etc.)</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H3K27Ac</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Histone mark associated with active enhancers and promoters; strong signal indicates regulatory activity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PhyloP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Conservation score across vertebrates; positive = conserved, negative = accelerated evolution</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dELS / pELS</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Distal / Proximal Enhancer-Like Sequence — ENCODE cCRE classifications for enhancer elements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LOOCV</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Leave-One-Out Cross-Validation — used when n &lt; 30</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ElasticNet</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Logistic regression with L1+L2 regularisation for high-dimensional feature selection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MOFA+</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Multi-Omics Factor Analysis v2 — finds shared latent factors across multiple datasets</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Stouffer's Z</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Meta-analysis method combining signed Z-scores weighted by sample size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Discovery Rate — Benjamini-Hochberg correction for multiple testing</w:t>
            </w:r>
          </w:p>
        </w:tc>
      </w:tr>
      <w:tr>
        <w:tc>
          <w:tcPr>
            <w:tcW w:type="dxa" w:w="220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Consistency score</w:t>
            </w:r>
          </w:p>
        </w:tc>
        <w:tc>
          <w:tcPr>
            <w:tcW w:type="dxa" w:w="7160"/>
            <w:tcBorders>
              <w:top w:val="single" w:color="CCCCCC" w:sz="1"/>
              <w:left w:val="single" w:color="CCCCCC" w:sz="1"/>
              <w:bottom w:val="single" w:color="CCCCCC" w:sz="1"/>
              <w:right w:val="single" w:color="CCCCCC" w:sz="1"/>
            </w:tcBorders>
            <w:shd w:fill="EEF4F9" w:val="clear"/>
            <w:tcMar>
              <w:top w:type="dxa" w:w="80"/>
              <w:left w:type="dxa" w:w="120"/>
              <w:bottom w:type="dxa" w:w="80"/>
              <w:right w:type="dxa" w:w="120"/>
            </w:tcMar>
          </w:tcPr>
          <w:p>
            <w:r>
              <w:rPr>
                <w:rFonts w:ascii="Arial" w:cs="Arial" w:eastAsia="Arial" w:hAnsi="Arial"/>
                <w:sz w:val="20"/>
                <w:szCs w:val="20"/>
              </w:rPr>
              <w:t xml:space="preserve">Fraction of cohorts showing the same direction of delta beta for a given CpG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Delta beta (Δβ)</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Mean beta(case) − mean beta(control); positive = hypermethylated in exposed animals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C5F8A" w:sz="6" w:space="1"/>
      </w:pBdr>
      <w:tabs>
        <w:tab w:val="right" w:pos="9360"/>
      </w:tabs>
    </w:pPr>
    <w:r>
      <w:rPr>
        <w:rFonts w:ascii="Arial" w:cs="Arial" w:eastAsia="Arial" w:hAnsi="Arial"/>
        <w:color w:val="2C5F8A"/>
        <w:sz w:val="18"/>
        <w:szCs w:val="18"/>
      </w:rPr>
      <w:t xml:space="preserve">CpG Methylation ML Pipeline — Progress Report</w:t>
    </w:r>
    <w:r>
      <w:rPr>
        <w:rFonts w:ascii="Arial" w:cs="Arial" w:eastAsia="Arial" w:hAnsi="Arial"/>
        <w:color w:val="888888"/>
        <w:sz w:val="18"/>
        <w:szCs w:val="18"/>
      </w:rPr>
      <w:t xml:space="preserve">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C5F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2026-05-20T19:41:43.256Z</dcterms:created>
  <dcterms:modified xsi:type="dcterms:W3CDTF">2026-05-20T19:41:43.256Z</dcterms:modified>
</cp:coreProperties>
</file>

<file path=docProps/custom.xml><?xml version="1.0" encoding="utf-8"?>
<Properties xmlns="http://schemas.openxmlformats.org/officeDocument/2006/custom-properties" xmlns:vt="http://schemas.openxmlformats.org/officeDocument/2006/docPropsVTypes"/>
</file>