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E-mailoverzicht — InspeXi Beheer</w:t>
      </w:r>
    </w:p>
    <w:p>
      <w:pPr>
        <w:jc w:val="center"/>
      </w:pPr>
      <w:r>
        <w:rPr>
          <w:color w:val="6B7280"/>
        </w:rPr>
        <w:t>Overzicht van alle e-mails die intern en extern verstuurd worden</w:t>
      </w:r>
    </w:p>
    <w:p/>
    <w:p>
      <w:r>
        <w:t>Dit document geeft een volledig overzicht van alle e-mails die het InspeXi platform verstuurt, onderverdeeld naar type, ontvanger, trigger en technische kenmerken.</w:t>
      </w:r>
    </w:p>
    <w:p/>
    <w:p>
      <w:pPr>
        <w:pStyle w:val="Heading1"/>
      </w:pPr>
      <w:r>
        <w:rPr>
          <w:color w:val="1E3A5F"/>
        </w:rPr>
        <w:t>1. Transactionele e-mails (systeem-triggered)</w:t>
      </w:r>
    </w:p>
    <w:p>
      <w:r>
        <w:t>Deze e-mails worden automatisch verstuurd door systeemacties, onafhankelijk van gebruikersvoorkeuren. De afzender is altijd het systeem-emailadres (RESEND_FROM_EMAIL uit .env).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E-mailtype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Ontvanger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Verstuurd wanneer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Afzender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Wachtwoord resetten</w:t>
            </w:r>
          </w:p>
        </w:tc>
        <w:tc>
          <w:tcPr>
            <w:tcW w:type="dxa" w:w="1728"/>
          </w:tcPr>
          <w:p>
            <w:r>
              <w:t>Gebruiker die reset aanvraagt</w:t>
            </w:r>
          </w:p>
        </w:tc>
        <w:tc>
          <w:tcPr>
            <w:tcW w:type="dxa" w:w="1728"/>
          </w:tcPr>
          <w:p>
            <w:r>
              <w:t>POST /auth/forgot-password</w:t>
            </w:r>
          </w:p>
        </w:tc>
        <w:tc>
          <w:tcPr>
            <w:tcW w:type="dxa" w:w="1728"/>
          </w:tcPr>
          <w:p>
            <w:r>
              <w:t>Systeem (RESEND_FROM_EMAIL)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E-mailadres bevestigen</w:t>
            </w:r>
          </w:p>
        </w:tc>
        <w:tc>
          <w:tcPr>
            <w:tcW w:type="dxa" w:w="1728"/>
          </w:tcPr>
          <w:p>
            <w:r>
              <w:t>Nieuwe gebruiker</w:t>
            </w:r>
          </w:p>
        </w:tc>
        <w:tc>
          <w:tcPr>
            <w:tcW w:type="dxa" w:w="1728"/>
          </w:tcPr>
          <w:p>
            <w:r>
              <w:t>Na registratie (verify-email flow)</w:t>
            </w:r>
          </w:p>
        </w:tc>
        <w:tc>
          <w:tcPr>
            <w:tcW w:type="dxa" w:w="1728"/>
          </w:tcPr>
          <w:p>
            <w:r>
              <w:t>Systeem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Uitnodiging</w:t>
            </w:r>
          </w:p>
        </w:tc>
        <w:tc>
          <w:tcPr>
            <w:tcW w:type="dxa" w:w="1728"/>
          </w:tcPr>
          <w:p>
            <w:r>
              <w:t>Uitgenodigde medewerker</w:t>
            </w:r>
          </w:p>
        </w:tc>
        <w:tc>
          <w:tcPr>
            <w:tcW w:type="dxa" w:w="1728"/>
          </w:tcPr>
          <w:p>
            <w:r>
              <w:t>Admin nodigt gebruiker uit via /users/invite</w:t>
            </w:r>
          </w:p>
        </w:tc>
        <w:tc>
          <w:tcPr>
            <w:tcW w:type="dxa" w:w="1728"/>
          </w:tcPr>
          <w:p>
            <w:r>
              <w:t>Systeem, met organisatienaam in subject</w:t>
            </w:r>
          </w:p>
        </w:tc>
      </w:tr>
    </w:tbl>
    <w:p/>
    <w:p>
      <w:pPr>
        <w:ind w:left="288" w:right="288"/>
        <w:shd w:fill="FFF9E6" w:val="clear"/>
      </w:pPr>
      <w:r>
        <w:rPr>
          <w:color w:val="4B5563"/>
          <w:sz w:val="20"/>
        </w:rPr>
        <w:t>⚠ Foutafhandeling: fouten worden gelogd maar niet gegooid — de gebruiker merkt niets bij een mislukte verstuur-poging.</w:t>
      </w:r>
    </w:p>
    <w:p/>
    <w:p>
      <w:pPr>
        <w:pStyle w:val="Heading1"/>
      </w:pPr>
      <w:r>
        <w:rPr>
          <w:color w:val="1E3A5F"/>
        </w:rPr>
        <w:t>2. Offerte-e-mails (user-triggered)</w:t>
      </w:r>
    </w:p>
    <w:p>
      <w:r>
        <w:t>Deze e-mails worden verstuurd door een bewuste actie van een medewerker. De afzender is configureerbaar per organisatie via senderName en senderEmail in de organisatie-instellingen.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E-mailtype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Ontvanger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Verstuurd wanneer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Bijzonderheden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Offerte naar klant</w:t>
            </w:r>
          </w:p>
        </w:tc>
        <w:tc>
          <w:tcPr>
            <w:tcW w:type="dxa" w:w="1728"/>
          </w:tcPr>
          <w:p>
            <w:r>
              <w:t>Klant (extern)</w:t>
            </w:r>
          </w:p>
        </w:tc>
        <w:tc>
          <w:tcPr>
            <w:tcW w:type="dxa" w:w="1728"/>
          </w:tcPr>
          <w:p>
            <w:r>
              <w:t>Medewerker klikt "Versturen" in portal</w:t>
            </w:r>
          </w:p>
        </w:tc>
        <w:tc>
          <w:tcPr>
            <w:tcW w:type="dxa" w:w="1728"/>
          </w:tcPr>
          <w:p>
            <w:r>
              <w:t>Aanpasbaar subject/body, CC-optie mogelijk, bevat unieke weblink naar klantportaal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Antwoord op klantvraag</w:t>
            </w:r>
          </w:p>
        </w:tc>
        <w:tc>
          <w:tcPr>
            <w:tcW w:type="dxa" w:w="1728"/>
          </w:tcPr>
          <w:p>
            <w:r>
              <w:t>Klant (extern)</w:t>
            </w:r>
          </w:p>
        </w:tc>
        <w:tc>
          <w:tcPr>
            <w:tcW w:type="dxa" w:w="1728"/>
          </w:tcPr>
          <w:p>
            <w:r>
              <w:t>Medewerker beantwoordt Q&amp;A op offerte</w:t>
            </w:r>
          </w:p>
        </w:tc>
        <w:tc>
          <w:tcPr>
            <w:tcW w:type="dxa" w:w="1728"/>
          </w:tcPr>
          <w:p>
            <w:r>
              <w:t>Fire-and-forget, fouten worden genegeerd, bevat link terug naar offerte</w:t>
            </w:r>
          </w:p>
        </w:tc>
      </w:tr>
    </w:tbl>
    <w:p/>
    <w:p>
      <w:pPr>
        <w:ind w:left="288" w:right="288"/>
        <w:shd w:fill="FFF9E6" w:val="clear"/>
      </w:pPr>
      <w:r>
        <w:rPr>
          <w:color w:val="4B5563"/>
          <w:sz w:val="20"/>
        </w:rPr>
        <w:t>⚠ Foutafhandeling #4 (offerte versturen): fout wordt wél gegooid — gebruiker krijgt een foutmelding in de UI als versturen mislukt.</w:t>
      </w:r>
    </w:p>
    <w:p/>
    <w:p>
      <w:pPr>
        <w:pStyle w:val="Heading1"/>
      </w:pPr>
      <w:r>
        <w:rPr>
          <w:color w:val="1E3A5F"/>
        </w:rPr>
        <w:t>3. Contact-e-mail (user-triggered)</w:t>
      </w:r>
    </w:p>
    <w:p>
      <w:r>
        <w:t>Medewerkers kunnen vanuit de relatiekaart een vrije e-mail sturen naar een contactpersoon. De e-mail wordt opgeslagen in de contactgeschiedenis.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E-mailtype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Ontvanger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Verstuurd wanneer</w:t>
            </w:r>
          </w:p>
        </w:tc>
        <w:tc>
          <w:tcPr>
            <w:tcW w:type="dxa" w:w="1728"/>
            <w:shd w:fill="D0E4F5" w:color="auto" w:val="clear"/>
          </w:tcPr>
          <w:p>
            <w:r>
              <w:rPr>
                <w:b/>
              </w:rPr>
              <w:t>Bijzonderheden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Vrije e-mail naar relatie</w:t>
            </w:r>
          </w:p>
        </w:tc>
        <w:tc>
          <w:tcPr>
            <w:tcW w:type="dxa" w:w="1728"/>
          </w:tcPr>
          <w:p>
            <w:r>
              <w:t>Contactpersoon (extern)</w:t>
            </w:r>
          </w:p>
        </w:tc>
        <w:tc>
          <w:tcPr>
            <w:tcW w:type="dxa" w:w="1728"/>
          </w:tcPr>
          <w:p>
            <w:r>
              <w:t>Medewerker stuurt e-mail via relatiekaart</w:t>
            </w:r>
          </w:p>
        </w:tc>
        <w:tc>
          <w:tcPr>
            <w:tcW w:type="dxa" w:w="1728"/>
          </w:tcPr>
          <w:p>
            <w:r>
              <w:t>Vrij HTML-body, Resend-ID opgeslagen in database (tbv open-tracking), org afzender-config</w:t>
            </w:r>
          </w:p>
        </w:tc>
      </w:tr>
    </w:tbl>
    <w:p/>
    <w:p>
      <w:pPr>
        <w:ind w:left="288" w:right="288"/>
        <w:shd w:fill="FFF9E6" w:val="clear"/>
      </w:pPr>
      <w:r>
        <w:rPr>
          <w:color w:val="4B5563"/>
          <w:sz w:val="20"/>
        </w:rPr>
        <w:t>⚠ Foutafhandeling: fout wordt gegooid als BadRequestException — gebruiker krijgt foutmelding "E-mail versturen mislukt".</w:t>
      </w:r>
    </w:p>
    <w:p/>
    <w:p>
      <w:pPr>
        <w:pStyle w:val="Heading1"/>
      </w:pPr>
      <w:r>
        <w:rPr>
          <w:color w:val="1E3A5F"/>
        </w:rPr>
        <w:t>4. Notificatie-e-mails (intern, event-triggered)</w:t>
      </w:r>
    </w:p>
    <w:p>
      <w:r>
        <w:t>Notificatie-e-mails worden verstuurd na specifieke events in het platform. Ze worden alleen verstuurd als de gebruiker channelEmail = true heeft in zijn notificatievoorkeuren. Alle notificatie-e-mails bevatten een afmeldlink in de footer.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Notificatietype</w:t>
            </w:r>
          </w:p>
        </w:tc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Ontvanger(s)</w:t>
            </w:r>
          </w:p>
        </w:tc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Offerte ter goedkeuring</w:t>
            </w:r>
          </w:p>
        </w:tc>
        <w:tc>
          <w:tcPr>
            <w:tcW w:type="dxa" w:w="2160"/>
          </w:tcPr>
          <w:p>
            <w:r>
              <w:t>Alle MANAGER + ORG_ADMIN van de org</w:t>
            </w:r>
          </w:p>
        </w:tc>
        <w:tc>
          <w:tcPr>
            <w:tcW w:type="dxa" w:w="2160"/>
          </w:tcPr>
          <w:p>
            <w:r>
              <w:t>Backoffice dient offerte in ter goedkeuring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Offerte goedgekeurd</w:t>
            </w:r>
          </w:p>
        </w:tc>
        <w:tc>
          <w:tcPr>
            <w:tcW w:type="dxa" w:w="2160"/>
          </w:tcPr>
          <w:p>
            <w:r>
              <w:t>Maker van de offerte</w:t>
            </w:r>
          </w:p>
        </w:tc>
        <w:tc>
          <w:tcPr>
            <w:tcW w:type="dxa" w:w="2160"/>
          </w:tcPr>
          <w:p>
            <w:r>
              <w:t>Manager keurt offerte goed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Offerte afgewezen</w:t>
            </w:r>
          </w:p>
        </w:tc>
        <w:tc>
          <w:tcPr>
            <w:tcW w:type="dxa" w:w="2160"/>
          </w:tcPr>
          <w:p>
            <w:r>
              <w:t>Maker van de offerte</w:t>
            </w:r>
          </w:p>
        </w:tc>
        <w:tc>
          <w:tcPr>
            <w:tcW w:type="dxa" w:w="2160"/>
          </w:tcPr>
          <w:p>
            <w:r>
              <w:t>Manager wijst offerte af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Offerte verstuurd</w:t>
            </w:r>
          </w:p>
        </w:tc>
        <w:tc>
          <w:tcPr>
            <w:tcW w:type="dxa" w:w="2160"/>
          </w:tcPr>
          <w:p>
            <w:r>
              <w:t>Maker van de offerte</w:t>
            </w:r>
          </w:p>
        </w:tc>
        <w:tc>
          <w:tcPr>
            <w:tcW w:type="dxa" w:w="2160"/>
          </w:tcPr>
          <w:p>
            <w:r>
              <w:t>Offerte verstuurd naar klant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Offerte bekeken</w:t>
            </w:r>
          </w:p>
        </w:tc>
        <w:tc>
          <w:tcPr>
            <w:tcW w:type="dxa" w:w="2160"/>
          </w:tcPr>
          <w:p>
            <w:r>
              <w:t>Maker van de offerte</w:t>
            </w:r>
          </w:p>
        </w:tc>
        <w:tc>
          <w:tcPr>
            <w:tcW w:type="dxa" w:w="2160"/>
          </w:tcPr>
          <w:p>
            <w:r>
              <w:t>Klant opent publieke link voor het eerst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Offerte ondertekend</w:t>
            </w:r>
          </w:p>
        </w:tc>
        <w:tc>
          <w:tcPr>
            <w:tcW w:type="dxa" w:w="2160"/>
          </w:tcPr>
          <w:p>
            <w:r>
              <w:t>Maker + verantwoordelijke usergroup</w:t>
            </w:r>
          </w:p>
        </w:tc>
        <w:tc>
          <w:tcPr>
            <w:tcW w:type="dxa" w:w="2160"/>
          </w:tcPr>
          <w:p>
            <w:r>
              <w:t>Klant ondertekent digitaal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Offerte verlopen</w:t>
            </w:r>
          </w:p>
        </w:tc>
        <w:tc>
          <w:tcPr>
            <w:tcW w:type="dxa" w:w="2160"/>
          </w:tcPr>
          <w:p>
            <w:r>
              <w:t>Maker van de offerte</w:t>
            </w:r>
          </w:p>
        </w:tc>
        <w:tc>
          <w:tcPr>
            <w:tcW w:type="dxa" w:w="2160"/>
          </w:tcPr>
          <w:p>
            <w:r>
              <w:t>Geldigheid verstreken (scheduler)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Nieuwe vraag van klant</w:t>
            </w:r>
          </w:p>
        </w:tc>
        <w:tc>
          <w:tcPr>
            <w:tcW w:type="dxa" w:w="2160"/>
          </w:tcPr>
          <w:p>
            <w:r>
              <w:t>Maker van de offerte</w:t>
            </w:r>
          </w:p>
        </w:tc>
        <w:tc>
          <w:tcPr>
            <w:tcW w:type="dxa" w:w="2160"/>
          </w:tcPr>
          <w:p>
            <w:r>
              <w:t>Klant stelt vraag via webviewer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Aanvraag toegewezen</w:t>
            </w:r>
          </w:p>
        </w:tc>
        <w:tc>
          <w:tcPr>
            <w:tcW w:type="dxa" w:w="2160"/>
          </w:tcPr>
          <w:p>
            <w:r>
              <w:t>Toegewezen medewerker</w:t>
            </w:r>
          </w:p>
        </w:tc>
        <w:tc>
          <w:tcPr>
            <w:tcW w:type="dxa" w:w="2160"/>
          </w:tcPr>
          <w:p>
            <w:r>
              <w:t>Aanvraag aan medewerker gekoppeld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Aanvraag status gewijzigd</w:t>
            </w:r>
          </w:p>
        </w:tc>
        <w:tc>
          <w:tcPr>
            <w:tcW w:type="dxa" w:w="2160"/>
          </w:tcPr>
          <w:p>
            <w:r>
              <w:t>Toegewezen medewerker</w:t>
            </w:r>
          </w:p>
        </w:tc>
        <w:tc>
          <w:tcPr>
            <w:tcW w:type="dxa" w:w="2160"/>
          </w:tcPr>
          <w:p>
            <w:r>
              <w:t>Status van aanvraag verandert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Antwoord op vraag</w:t>
            </w:r>
          </w:p>
        </w:tc>
        <w:tc>
          <w:tcPr>
            <w:tcW w:type="dxa" w:w="2160"/>
          </w:tcPr>
          <w:p>
            <w:r>
              <w:t>Klant (via e-mail, niet in-platform)</w:t>
            </w:r>
          </w:p>
        </w:tc>
        <w:tc>
          <w:tcPr>
            <w:tcW w:type="dxa" w:w="2160"/>
          </w:tcPr>
          <w:p>
            <w:r>
              <w:t>Medewerker beantwoordt Q&amp;A op offerte</w:t>
            </w:r>
          </w:p>
        </w:tc>
      </w:tr>
    </w:tbl>
    <w:p/>
    <w:p>
      <w:pPr>
        <w:ind w:left="288" w:right="288"/>
        <w:shd w:fill="FFF9E6" w:val="clear"/>
      </w:pPr>
      <w:r>
        <w:rPr>
          <w:color w:val="4B5563"/>
          <w:sz w:val="20"/>
        </w:rPr>
        <w:t>⚠ Foutafhandeling: alle notificatie-e-mails zijn fire-and-forget — fouten worden gelogd maar blokkeren de hoofdactie niet.</w:t>
      </w:r>
    </w:p>
    <w:p/>
    <w:p>
      <w:pPr>
        <w:pStyle w:val="Heading1"/>
      </w:pPr>
      <w:r>
        <w:rPr>
          <w:color w:val="1E3A5F"/>
        </w:rPr>
        <w:t>5. Technische kenmerken</w:t>
      </w:r>
    </w:p>
    <w:p>
      <w:pPr>
        <w:pStyle w:val="Heading2"/>
      </w:pPr>
      <w:r>
        <w:rPr>
          <w:color w:val="2E6DA4"/>
        </w:rPr>
        <w:t>Afzender-configuratie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0E4F5" w:color="auto" w:val="clear"/>
          </w:tcPr>
          <w:p>
            <w:r>
              <w:rPr>
                <w:b/>
              </w:rPr>
              <w:t>E-mailtype</w:t>
            </w:r>
          </w:p>
        </w:tc>
        <w:tc>
          <w:tcPr>
            <w:tcW w:type="dxa" w:w="4320"/>
            <w:shd w:fill="D0E4F5" w:color="auto" w:val="clear"/>
          </w:tcPr>
          <w:p>
            <w:r>
              <w:rPr>
                <w:b/>
              </w:rPr>
              <w:t>Afzender-configuratie</w:t>
            </w:r>
          </w:p>
        </w:tc>
      </w:tr>
      <w:tr>
        <w:tc>
          <w:tcPr>
            <w:tcW w:type="dxa" w:w="4320"/>
          </w:tcPr>
          <w:p>
            <w:r>
              <w:t>Transactioneel (#1–3)</w:t>
            </w:r>
          </w:p>
        </w:tc>
        <w:tc>
          <w:tcPr>
            <w:tcW w:type="dxa" w:w="4320"/>
          </w:tcPr>
          <w:p>
            <w:r>
              <w:t>Altijd RESEND_FROM_EMAIL uit .env — niet overschrijfbaar</w:t>
            </w:r>
          </w:p>
        </w:tc>
      </w:tr>
      <w:tr>
        <w:tc>
          <w:tcPr>
            <w:tcW w:type="dxa" w:w="4320"/>
          </w:tcPr>
          <w:p>
            <w:r>
              <w:t>Offerte- en contact-emails (#4–6)</w:t>
            </w:r>
          </w:p>
        </w:tc>
        <w:tc>
          <w:tcPr>
            <w:tcW w:type="dxa" w:w="4320"/>
          </w:tcPr>
          <w:p>
            <w:r>
              <w:t>Overschrijfbaar via org.senderName / org.senderEmail in organisatie-instellingen</w:t>
            </w:r>
          </w:p>
        </w:tc>
      </w:tr>
      <w:tr>
        <w:tc>
          <w:tcPr>
            <w:tcW w:type="dxa" w:w="4320"/>
          </w:tcPr>
          <w:p>
            <w:r>
              <w:t>Notificatie-emails (#7–17)</w:t>
            </w:r>
          </w:p>
        </w:tc>
        <w:tc>
          <w:tcPr>
            <w:tcW w:type="dxa" w:w="4320"/>
          </w:tcPr>
          <w:p>
            <w:r>
              <w:t>Overschrijfbaar via org.senderName / org.senderEmail</w:t>
            </w:r>
          </w:p>
        </w:tc>
      </w:tr>
    </w:tbl>
    <w:p/>
    <w:p>
      <w:pPr>
        <w:pStyle w:val="Heading2"/>
      </w:pPr>
      <w:r>
        <w:rPr>
          <w:color w:val="2E6DA4"/>
        </w:rPr>
        <w:t>Unsubscribe (afmelden)</w:t>
      </w:r>
    </w:p>
    <w:p>
      <w:pPr>
        <w:pStyle w:val="ListBullet"/>
      </w:pPr>
      <w:r>
        <w:t>Alleen notificatie-emails (#7–17) bevatten een afmeldlink in de footer</w:t>
      </w:r>
    </w:p>
    <w:p>
      <w:pPr>
        <w:pStyle w:val="ListBullet"/>
      </w:pPr>
      <w:r>
        <w:t>De link bevat een JWT-token (geldig 90 dagen) met daarin userId</w:t>
      </w:r>
    </w:p>
    <w:p>
      <w:pPr>
        <w:pStyle w:val="ListBullet"/>
      </w:pPr>
      <w:r>
        <w:t>Na klikken: channelEmail = false voor alle notificatietypes van die gebruiker</w:t>
      </w:r>
    </w:p>
    <w:p>
      <w:pPr>
        <w:pStyle w:val="ListBullet"/>
      </w:pPr>
      <w:r>
        <w:t>Endpoint: GET /api/v1/notifications/unsubscribe?token={jwt}</w:t>
      </w:r>
    </w:p>
    <w:p/>
    <w:p>
      <w:pPr>
        <w:pStyle w:val="Heading2"/>
      </w:pPr>
      <w:r>
        <w:rPr>
          <w:color w:val="2E6DA4"/>
        </w:rPr>
        <w:t>E-mailtemplates</w:t>
      </w:r>
    </w:p>
    <w:p>
      <w:pPr>
        <w:pStyle w:val="ListBullet"/>
      </w:pPr>
      <w:r>
        <w:t>Geen losse template-bestanden — alle HTML is inline gebouwd in email.service.ts</w:t>
      </w:r>
    </w:p>
    <w:p>
      <w:pPr>
        <w:pStyle w:val="ListBullet"/>
      </w:pPr>
      <w:r>
        <w:t>Styling via inline CSS (kleuren: #1E40AF blauw, #6B7280 grijs, #F9FAFB lichtgrijs achtergrond)</w:t>
      </w:r>
    </w:p>
    <w:p>
      <w:pPr>
        <w:pStyle w:val="ListBullet"/>
      </w:pPr>
      <w:r>
        <w:t>Alle teksten zijn in het Nederlands</w:t>
      </w:r>
    </w:p>
    <w:p/>
    <w:p>
      <w:pPr>
        <w:pStyle w:val="Heading2"/>
      </w:pPr>
      <w:r>
        <w:rPr>
          <w:color w:val="2E6DA4"/>
        </w:rPr>
        <w:t>Technische locaties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0E4F5" w:color="auto" w:val="clear"/>
          </w:tcPr>
          <w:p>
            <w:r>
              <w:rPr>
                <w:b/>
              </w:rPr>
              <w:t>Module/bestand</w:t>
            </w:r>
          </w:p>
        </w:tc>
        <w:tc>
          <w:tcPr>
            <w:tcW w:type="dxa" w:w="4320"/>
            <w:shd w:fill="D0E4F5" w:color="auto" w:val="clear"/>
          </w:tcPr>
          <w:p>
            <w:r>
              <w:rPr>
                <w:b/>
              </w:rPr>
              <w:t>Verantwoordelijkheid</w:t>
            </w:r>
          </w:p>
        </w:tc>
      </w:tr>
      <w:tr>
        <w:tc>
          <w:tcPr>
            <w:tcW w:type="dxa" w:w="4320"/>
          </w:tcPr>
          <w:p>
            <w:r>
              <w:t>common/services/email.service.ts</w:t>
            </w:r>
          </w:p>
        </w:tc>
        <w:tc>
          <w:tcPr>
            <w:tcW w:type="dxa" w:w="4320"/>
          </w:tcPr>
          <w:p>
            <w:r>
              <w:t>Centrale EmailService — alle 6 verzendmethoden</w:t>
            </w:r>
          </w:p>
        </w:tc>
      </w:tr>
      <w:tr>
        <w:tc>
          <w:tcPr>
            <w:tcW w:type="dxa" w:w="4320"/>
          </w:tcPr>
          <w:p>
            <w:r>
              <w:t>modules/auth/auth.service.ts</w:t>
            </w:r>
          </w:p>
        </w:tc>
        <w:tc>
          <w:tcPr>
            <w:tcW w:type="dxa" w:w="4320"/>
          </w:tcPr>
          <w:p>
            <w:r>
              <w:t>Verstuurt wachtwoord-reset e-mail (#1)</w:t>
            </w:r>
          </w:p>
        </w:tc>
      </w:tr>
      <w:tr>
        <w:tc>
          <w:tcPr>
            <w:tcW w:type="dxa" w:w="4320"/>
          </w:tcPr>
          <w:p>
            <w:r>
              <w:t>modules/users/users.service.ts</w:t>
            </w:r>
          </w:p>
        </w:tc>
        <w:tc>
          <w:tcPr>
            <w:tcW w:type="dxa" w:w="4320"/>
          </w:tcPr>
          <w:p>
            <w:r>
              <w:t>Verstuurt uitnodigings-e-mail (#3)</w:t>
            </w:r>
          </w:p>
        </w:tc>
      </w:tr>
      <w:tr>
        <w:tc>
          <w:tcPr>
            <w:tcW w:type="dxa" w:w="4320"/>
          </w:tcPr>
          <w:p>
            <w:r>
              <w:t>modules/contacts/contacts.service.ts</w:t>
            </w:r>
          </w:p>
        </w:tc>
        <w:tc>
          <w:tcPr>
            <w:tcW w:type="dxa" w:w="4320"/>
          </w:tcPr>
          <w:p>
            <w:r>
              <w:t>Verstuurt contact-e-mail (#6)</w:t>
            </w:r>
          </w:p>
        </w:tc>
      </w:tr>
      <w:tr>
        <w:tc>
          <w:tcPr>
            <w:tcW w:type="dxa" w:w="4320"/>
          </w:tcPr>
          <w:p>
            <w:r>
              <w:t>modules/quotes/quotes.service.ts</w:t>
            </w:r>
          </w:p>
        </w:tc>
        <w:tc>
          <w:tcPr>
            <w:tcW w:type="dxa" w:w="4320"/>
          </w:tcPr>
          <w:p>
            <w:r>
              <w:t>Verstuurt offerte (#4) en Q&amp;A-antwoord (#5)</w:t>
            </w:r>
          </w:p>
        </w:tc>
      </w:tr>
      <w:tr>
        <w:tc>
          <w:tcPr>
            <w:tcW w:type="dxa" w:w="4320"/>
          </w:tcPr>
          <w:p>
            <w:r>
              <w:t>modules/notifications/notifications.service.ts</w:t>
            </w:r>
          </w:p>
        </w:tc>
        <w:tc>
          <w:tcPr>
            <w:tcW w:type="dxa" w:w="4320"/>
          </w:tcPr>
          <w:p>
            <w:r>
              <w:t>Verstuurt alle notificatie-e-mails (#7–17)</w:t>
            </w:r>
          </w:p>
        </w:tc>
      </w:tr>
    </w:tbl>
    <w:p/>
    <w:p>
      <w:pPr>
        <w:pStyle w:val="Heading2"/>
      </w:pPr>
      <w:r>
        <w:rPr>
          <w:color w:val="2E6DA4"/>
        </w:rPr>
        <w:t>Overzicht foutafhandeling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E-mailtype</w:t>
            </w:r>
          </w:p>
        </w:tc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Foutafhandeling</w:t>
            </w:r>
          </w:p>
        </w:tc>
        <w:tc>
          <w:tcPr>
            <w:tcW w:type="dxa" w:w="2160"/>
            <w:shd w:fill="D0E4F5" w:color="auto" w:val="clear"/>
          </w:tcPr>
          <w:p>
            <w:r>
              <w:rPr>
                <w:b/>
              </w:rPr>
              <w:t>Zichtbaar voor gebruiker</w:t>
            </w:r>
          </w:p>
        </w:tc>
      </w:tr>
      <w:tr>
        <w:tc>
          <w:tcPr>
            <w:tcW w:type="dxa" w:w="2160"/>
          </w:tcPr>
          <w:p>
            <w:r>
              <w:t>1–3</w:t>
            </w:r>
          </w:p>
        </w:tc>
        <w:tc>
          <w:tcPr>
            <w:tcW w:type="dxa" w:w="2160"/>
          </w:tcPr>
          <w:p>
            <w:r>
              <w:t>Transactioneel</w:t>
            </w:r>
          </w:p>
        </w:tc>
        <w:tc>
          <w:tcPr>
            <w:tcW w:type="dxa" w:w="2160"/>
          </w:tcPr>
          <w:p>
            <w:r>
              <w:t>Gelogd, niet gegooid</w:t>
            </w:r>
          </w:p>
        </w:tc>
        <w:tc>
          <w:tcPr>
            <w:tcW w:type="dxa" w:w="2160"/>
          </w:tcPr>
          <w:p>
            <w:r>
              <w:t>Nee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Offerte versturen</w:t>
            </w:r>
          </w:p>
        </w:tc>
        <w:tc>
          <w:tcPr>
            <w:tcW w:type="dxa" w:w="2160"/>
          </w:tcPr>
          <w:p>
            <w:r>
              <w:t>Gegooid (BadRequestException)</w:t>
            </w:r>
          </w:p>
        </w:tc>
        <w:tc>
          <w:tcPr>
            <w:tcW w:type="dxa" w:w="2160"/>
          </w:tcPr>
          <w:p>
            <w:r>
              <w:t>Ja — foutmelding in UI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Q&amp;A antwoord</w:t>
            </w:r>
          </w:p>
        </w:tc>
        <w:tc>
          <w:tcPr>
            <w:tcW w:type="dxa" w:w="2160"/>
          </w:tcPr>
          <w:p>
            <w:r>
              <w:t>Volledig genegeerd (fire-and-forget)</w:t>
            </w:r>
          </w:p>
        </w:tc>
        <w:tc>
          <w:tcPr>
            <w:tcW w:type="dxa" w:w="2160"/>
          </w:tcPr>
          <w:p>
            <w:r>
              <w:t>Nee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Contact-e-mail</w:t>
            </w:r>
          </w:p>
        </w:tc>
        <w:tc>
          <w:tcPr>
            <w:tcW w:type="dxa" w:w="2160"/>
          </w:tcPr>
          <w:p>
            <w:r>
              <w:t>Gegooid (BadRequestException)</w:t>
            </w:r>
          </w:p>
        </w:tc>
        <w:tc>
          <w:tcPr>
            <w:tcW w:type="dxa" w:w="2160"/>
          </w:tcPr>
          <w:p>
            <w:r>
              <w:t>Ja — foutmelding in UI</w:t>
            </w:r>
          </w:p>
        </w:tc>
      </w:tr>
      <w:tr>
        <w:tc>
          <w:tcPr>
            <w:tcW w:type="dxa" w:w="2160"/>
          </w:tcPr>
          <w:p>
            <w:r>
              <w:t>7–17</w:t>
            </w:r>
          </w:p>
        </w:tc>
        <w:tc>
          <w:tcPr>
            <w:tcW w:type="dxa" w:w="2160"/>
          </w:tcPr>
          <w:p>
            <w:r>
              <w:t>Notificaties</w:t>
            </w:r>
          </w:p>
        </w:tc>
        <w:tc>
          <w:tcPr>
            <w:tcW w:type="dxa" w:w="2160"/>
          </w:tcPr>
          <w:p>
            <w:r>
              <w:t>Gelogd, niet gegooid (fire-and-forget)</w:t>
            </w:r>
          </w:p>
        </w:tc>
        <w:tc>
          <w:tcPr>
            <w:tcW w:type="dxa" w:w="2160"/>
          </w:tcPr>
          <w:p>
            <w:r>
              <w:t>Nee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