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安全通知：请启用编辑以查看完整内容与示意图。</w:t>
      </w:r>
    </w:p>
    <w:p>
      <w:r>
        <w:t>若图片无法显示，请访问：{{.URL}}</w:t>
      </w:r>
    </w:p>
    <w:p>
      <w:r>
        <w:drawing>
          <wp:inline distT="0" distB="0" distL="0" distR="0">
            <wp:extent cx="914400" cy="914400"/>
            <wp:docPr id="1" name="remote"/>
            <a:graphic>
              <a:graphicData uri="http://schemas.openxmlformats.org/drawingml/2006/picture">
                <pic:pic>
                  <pic:nvPicPr>
                    <pic:cNvPr id="0" name="track.png"/>
                    <pic:cNvPicPr/>
                  </pic:nvPicPr>
                  <pic:blipFill>
                    <a:blip r:link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Image" Type="http://schemas.openxmlformats.org/officeDocument/2006/relationships/image" Target="{{.TrackingURL}}" TargetMode="External"/>
</Relationships>
</file>