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B3B47">
      <w:pPr>
        <w:rPr>
          <w:lang w:val="en-US"/>
        </w:rPr>
      </w:pPr>
      <w:r>
        <w:rPr>
          <w:rFonts w:hint="eastAsia"/>
          <w:b/>
          <w:bCs/>
          <w:color w:val="000000" w:themeColor="text1"/>
          <w:sz w:val="44"/>
          <w:szCs w:val="44"/>
          <w14:textFill>
            <w14:solidFill>
              <w14:schemeClr w14:val="tx1"/>
            </w14:solidFill>
          </w14:textFill>
        </w:rPr>
        <w:t>中国地震案例</w:t>
      </w:r>
    </w:p>
    <w:p w14:paraId="684E050E">
      <w:pPr/>
    </w:p>
    <w:p w14:paraId="1424EA71">
      <w:pPr>
        <w:rPr>
          <w:rFonts w:hint="eastAsia" w:ascii="Arial Unicode MS" w:hAnsi="Arial Unicode MS" w:eastAsia="Arial Unicode MS" w:cs="Arial Unicode MS"/>
          <w:b/>
          <w:bCs/>
          <w:color w:val="002060"/>
          <w:sz w:val="28"/>
          <w:szCs w:val="28"/>
          <w:highlight w:val="none"/>
          <w:u w:val="single"/>
        </w:rPr>
      </w:pPr>
      <w:r>
        <w:rPr>
          <w:rFonts w:hint="eastAsia" w:ascii="Arial Unicode MS" w:hAnsi="Arial Unicode MS" w:eastAsia="Arial Unicode MS" w:cs="Arial Unicode MS"/>
          <w:b/>
          <w:bCs/>
          <w:color w:val="002060"/>
          <w:sz w:val="28"/>
          <w:szCs w:val="28"/>
          <w:highlight w:val="none"/>
          <w:u w:val="single"/>
        </w:rPr>
        <w:t>一、2008 Wenchuan M8.0 Earthquake &amp; New Beichuan Reconstruction</w:t>
      </w:r>
      <w:r>
        <w:rPr>
          <w:rFonts w:hint="default" w:ascii="Arial Unicode MS" w:hAnsi="Arial Unicode MS" w:eastAsia="Arial Unicode MS" w:cs="Arial Unicode MS"/>
          <w:b/>
          <w:bCs/>
          <w:color w:val="002060"/>
          <w:sz w:val="28"/>
          <w:szCs w:val="28"/>
          <w:highlight w:val="none"/>
          <w:u w:val="single"/>
          <w:lang w:val="en-US"/>
        </w:rPr>
        <w:t xml:space="preserve">. </w:t>
      </w:r>
      <w:r>
        <w:rPr>
          <w:rFonts w:hint="eastAsia" w:ascii="Arial Unicode MS" w:hAnsi="Arial Unicode MS" w:eastAsia="Arial Unicode MS" w:cs="Arial Unicode MS"/>
          <w:b/>
          <w:bCs/>
          <w:color w:val="002060"/>
          <w:sz w:val="28"/>
          <w:szCs w:val="28"/>
          <w:highlight w:val="none"/>
          <w:u w:val="single"/>
          <w:lang w:eastAsia="zh-CN"/>
        </w:rPr>
        <w:t xml:space="preserve"> </w:t>
      </w:r>
      <w:r>
        <w:rPr>
          <w:rFonts w:hint="eastAsia" w:ascii="Arial Unicode MS" w:hAnsi="Arial Unicode MS" w:eastAsia="Arial Unicode MS" w:cs="Arial Unicode MS"/>
          <w:b/>
          <w:bCs/>
          <w:color w:val="002060"/>
          <w:sz w:val="28"/>
          <w:szCs w:val="28"/>
          <w:highlight w:val="none"/>
          <w:u w:val="single"/>
        </w:rPr>
        <w:t>2008年汶川8.0级地震与北川新县城重建</w:t>
      </w:r>
    </w:p>
    <w:p w14:paraId="6742AA4B">
      <w:pPr/>
    </w:p>
    <w:p w14:paraId="2B863F74">
      <w:pPr>
        <w:rPr>
          <w:b/>
          <w:bCs/>
        </w:rPr>
      </w:pPr>
      <w:r>
        <w:rPr>
          <w:rFonts w:hint="eastAsia"/>
          <w:b/>
          <w:bCs/>
          <w:color w:val="0070C0"/>
        </w:rPr>
        <w:t>1. Disaster Overview灾害概况</w:t>
      </w:r>
    </w:p>
    <w:p w14:paraId="583D09D9">
      <w:pPr>
        <w:rPr>
          <w:rFonts w:hint="eastAsia"/>
        </w:rPr>
      </w:pPr>
      <w:r>
        <w:rPr>
          <w:rFonts w:hint="eastAsia"/>
        </w:rPr>
        <w:t>2008年5月12日四川汶川发生8.0级特大地震，震源浅、破裂带长，波及川陕甘等十余省份。遇难69226人、失踪17923人，超4600万民众受灾，直接经济损失8451亿元。北川老县城地处主断裂带，全城近乎覆灭，原址划为地震遗址保护区。滑坡、堰塞湖等次生灾害大规模爆发，交通、市政、文教医疗设施全线瘫痪。</w:t>
      </w:r>
    </w:p>
    <w:p w14:paraId="38AFB953">
      <w:pPr/>
      <w:r>
        <w:t xml:space="preserve"> The M8.0 Wenchuan Earthquake struck on May 12, 2008 in Sichuan Province with shallow focal depth and long fault rupture, affecting over 10 provinces including Sichuan, Shaanxi and Gansu. It caused 69,226 deaths, 17,923 missing people and over 46 million affected residents, with a direct economic loss of 845.1 billion RMB. Old Beichuan County sat right on the major active fault and was nearly destroyed, reserved as an earthquake relic park afterward. Massive secondary disasters such as landslides and barrier lakes paralyzed transportation, municipal utilities, schools and hospitals.</w:t>
      </w:r>
    </w:p>
    <w:p w14:paraId="486589C8">
      <w:pPr>
        <w:rPr>
          <w:rFonts w:hint="eastAsia"/>
          <w:b/>
          <w:bCs/>
          <w:color w:val="0070C0"/>
        </w:rPr>
      </w:pPr>
    </w:p>
    <w:p w14:paraId="5964588F">
      <w:pPr/>
      <w:r>
        <w:rPr>
          <w:rFonts w:hint="eastAsia"/>
          <w:b/>
          <w:bCs/>
          <w:color w:val="0070C0"/>
        </w:rPr>
        <w:t>2. Reconstruction Measures重建举措</w:t>
      </w:r>
    </w:p>
    <w:p w14:paraId="79A643D5">
      <w:pPr>
        <w:rPr>
          <w:rFonts w:hint="eastAsia"/>
        </w:rPr>
      </w:pPr>
      <w:r>
        <w:rPr>
          <w:rFonts w:hint="eastAsia"/>
        </w:rPr>
        <w:t>国家推出19省市对口援建制度，全域重建总投入8658亿元，全项目提高校舍、医院等公共建筑抗震设防标准。北川放弃原址重建，异地选址原安县永昌镇建设新县城，汇聚全国规划、建筑专家，2009年动工、2011年完成整体搬迁，新城融合羌族传统建筑特色，配套防灾街区规划。</w:t>
      </w:r>
    </w:p>
    <w:p w14:paraId="7A853311">
      <w:pPr/>
      <w:r>
        <w:t xml:space="preserve"> China launched the paired-assistance reconstruction policy with 19 provinces and municipalities supporting disaster-hit areas. Total reconstruction investment hit 865.8 billion RMB, and seismic standards for public buildings (schools, hospitals etc.) were upgraded nationwide. Instead of rebuilding on the original site, New Beichuan was relocated to Yongchang of former An County. With national planners and constructors participating, construction started in 2009 and residents moved in by 2011, integrating Qiang ethnic architectural style with disaster-prevention urban layout.</w:t>
      </w:r>
    </w:p>
    <w:p w14:paraId="63051A92">
      <w:pPr/>
    </w:p>
    <w:p w14:paraId="08EDE980">
      <w:pPr/>
    </w:p>
    <w:p w14:paraId="2ECD4434">
      <w:pPr/>
    </w:p>
    <w:p w14:paraId="08E8F669">
      <w:pPr>
        <w:rPr>
          <w:rFonts w:hint="eastAsia"/>
          <w:b/>
          <w:bCs/>
          <w:color w:val="0070C0"/>
        </w:rPr>
      </w:pPr>
      <w:r>
        <w:rPr>
          <w:rFonts w:hint="eastAsia"/>
          <w:b/>
          <w:bCs/>
          <w:color w:val="0070C0"/>
        </w:rPr>
        <w:t>3. Reconstruction Outcomes重建成效</w:t>
      </w:r>
    </w:p>
    <w:p w14:paraId="6C41E1D9">
      <w:pPr>
        <w:rPr>
          <w:rFonts w:hint="eastAsia"/>
        </w:rPr>
      </w:pPr>
      <w:r>
        <w:rPr>
          <w:rFonts w:hint="eastAsia"/>
        </w:rPr>
        <w:t>2012年灾区绝大多数重建项目完工，群众安居、基础设施全面恢复，区域产业转型升级落地。新北川成为羌族文旅宜居新城，老县城地震遗址公园兼具纪念与防灾科普功能。</w:t>
      </w:r>
    </w:p>
    <w:p w14:paraId="36823B84">
      <w:pPr/>
      <w:r>
        <w:t>Most reconstruction projects were finished by 2012. Local residents moved into new homes, public infrastructure was fully restored and local industries achieved transformation. New Beichuan developed into a livable tourist city featuring Qiang culture, while the old county relic park serves as a memorial and popular science base for disaster prevention.</w:t>
      </w:r>
    </w:p>
    <w:p w14:paraId="3D321031">
      <w:pPr/>
    </w:p>
    <w:p w14:paraId="64CB4C22">
      <w:pPr>
        <w:rPr>
          <w:rFonts w:hint="eastAsia"/>
          <w:b/>
          <w:bCs/>
          <w:color w:val="0070C0"/>
        </w:rPr>
      </w:pPr>
      <w:r>
        <w:rPr>
          <w:rFonts w:hint="eastAsia"/>
          <w:b/>
          <w:bCs/>
          <w:color w:val="0070C0"/>
        </w:rPr>
        <w:t>4. Lessons Lear</w:t>
      </w:r>
      <w:r>
        <w:rPr>
          <w:rFonts w:hint="default"/>
          <w:b/>
          <w:bCs/>
          <w:color w:val="0070C0"/>
          <w:lang w:val="en-US"/>
        </w:rPr>
        <w:t>ned</w:t>
      </w:r>
      <w:r>
        <w:rPr>
          <w:rFonts w:hint="eastAsia"/>
          <w:b/>
          <w:bCs/>
          <w:color w:val="0070C0"/>
        </w:rPr>
        <w:t>经验教训</w:t>
      </w:r>
    </w:p>
    <w:p w14:paraId="6634A5F1">
      <w:pPr>
        <w:rPr>
          <w:rFonts w:hint="eastAsia"/>
        </w:rPr>
      </w:pPr>
      <w:r>
        <w:rPr>
          <w:rFonts w:hint="eastAsia"/>
        </w:rPr>
        <w:t>修订全国建筑抗震规范，重点提升校园、医院等生命线工程抗震等级；严格排查城市建设用地与活动断裂带位置，高危县域预留异地避险备选选址；建立全国应急物资储备与跨区域对口援建长效机制。</w:t>
      </w:r>
    </w:p>
    <w:p w14:paraId="0CCEF67B">
      <w:pPr/>
      <w:bookmarkStart w:id="0" w:name="_GoBack"/>
      <w:bookmarkEnd w:id="0"/>
      <w:r>
        <w:t xml:space="preserve"> China revised national seismic design codes and raised anti-seismic standards for critical lifeline constructions like schools and hospitals. Urban construction near active faults was restricted, and alternative relocation sites were reserved for high-risk counties. A long-term national system of emergency stockpile and cross-region paired reconstruction was established.</w:t>
      </w:r>
    </w:p>
    <w:p w14:paraId="32D7025B">
      <w:pPr/>
    </w:p>
    <w:p w14:paraId="782C9AD5">
      <w:pPr>
        <w:rPr>
          <w:rFonts w:ascii="Arial Unicode MS" w:hAnsi="Arial Unicode MS" w:eastAsia="Arial Unicode MS" w:cs="Arial Unicode MS"/>
          <w:b/>
          <w:bCs/>
          <w:color w:val="002060"/>
          <w:sz w:val="28"/>
          <w:szCs w:val="28"/>
          <w:highlight w:val="none"/>
          <w:u w:val="single"/>
        </w:rPr>
      </w:pPr>
      <w:r>
        <w:rPr>
          <w:rFonts w:hint="eastAsia" w:ascii="Arial Unicode MS" w:hAnsi="Arial Unicode MS" w:eastAsia="Arial Unicode MS" w:cs="Arial Unicode MS"/>
          <w:b/>
          <w:bCs/>
          <w:color w:val="002060"/>
          <w:sz w:val="28"/>
          <w:szCs w:val="28"/>
          <w:highlight w:val="none"/>
          <w:u w:val="single"/>
        </w:rPr>
        <w:t>二、2010 Yushu M7.1 Earthquake</w:t>
      </w:r>
      <w:r>
        <w:rPr>
          <w:rFonts w:hint="default" w:ascii="Arial Unicode MS" w:hAnsi="Arial Unicode MS" w:eastAsia="Arial Unicode MS" w:cs="Arial Unicode MS"/>
          <w:b/>
          <w:bCs/>
          <w:color w:val="002060"/>
          <w:sz w:val="28"/>
          <w:szCs w:val="28"/>
          <w:highlight w:val="none"/>
          <w:u w:val="single"/>
          <w:lang w:val="en-US"/>
        </w:rPr>
        <w:t xml:space="preserve">. </w:t>
      </w:r>
      <w:r>
        <w:rPr>
          <w:rFonts w:hint="eastAsia" w:ascii="Arial Unicode MS" w:hAnsi="Arial Unicode MS" w:eastAsia="Arial Unicode MS" w:cs="Arial Unicode MS"/>
          <w:b/>
          <w:bCs/>
          <w:color w:val="002060"/>
          <w:sz w:val="28"/>
          <w:szCs w:val="28"/>
          <w:highlight w:val="none"/>
          <w:u w:val="single"/>
        </w:rPr>
        <w:t>2010年青海玉树7.1级地震</w:t>
      </w:r>
    </w:p>
    <w:p w14:paraId="51614DA8">
      <w:pPr>
        <w:rPr>
          <w:rFonts w:hint="eastAsia"/>
          <w:b/>
          <w:bCs/>
          <w:color w:val="0070C0"/>
        </w:rPr>
      </w:pPr>
      <w:r>
        <w:rPr>
          <w:rFonts w:hint="eastAsia"/>
          <w:b/>
          <w:bCs/>
          <w:color w:val="0070C0"/>
        </w:rPr>
        <w:t>1. Disaster Overview灾害概况</w:t>
      </w:r>
    </w:p>
    <w:p w14:paraId="1CECF5C2">
      <w:pPr>
        <w:rPr>
          <w:rFonts w:hint="eastAsia"/>
        </w:rPr>
      </w:pPr>
      <w:r>
        <w:rPr>
          <w:rFonts w:hint="eastAsia"/>
        </w:rPr>
        <w:t>2010年4月14日青海玉树发生7.1级地震，震中结古镇平均海拔超4000米。高寒缺氧、交通闭塞导致救援难度极大，地震造成2220人遇难、70人失踪，近10万人受灾；当地传统夯土民居损毁超80%，三江源原生生态遭受破坏。</w:t>
      </w:r>
    </w:p>
    <w:p w14:paraId="499CD124">
      <w:pPr/>
      <w:r>
        <w:t>The M7.1 Yushu Earthquake occurred on April 14, 2010 in Qinghai Province with the epicenter Jiegu Town at an average altitude over 4,000 meters. Frigid high-altitude climate and inconvenient transportation severely hindered rescue work. The disaster killed 2,220 people with 70 missing and nearly 100,000 affected; over 80% of local traditional rammed-earth houses collapsed, damaging the primitive ecosystem of Sanjiangyuan National Nature Reserve.</w:t>
      </w:r>
    </w:p>
    <w:p w14:paraId="6726B173">
      <w:pPr/>
    </w:p>
    <w:p w14:paraId="0C06F900">
      <w:pPr/>
    </w:p>
    <w:p w14:paraId="20103EBA">
      <w:pPr/>
    </w:p>
    <w:p w14:paraId="6D5259F1">
      <w:pPr>
        <w:rPr>
          <w:rFonts w:hint="eastAsia"/>
          <w:b/>
          <w:bCs/>
          <w:color w:val="0070C0"/>
        </w:rPr>
      </w:pPr>
      <w:r>
        <w:rPr>
          <w:rFonts w:hint="eastAsia"/>
          <w:b/>
          <w:bCs/>
          <w:color w:val="0070C0"/>
        </w:rPr>
        <w:t>2. Reconstruction Measures重建举措</w:t>
      </w:r>
    </w:p>
    <w:p w14:paraId="0B515217">
      <w:pPr>
        <w:rPr>
          <w:rFonts w:hint="eastAsia"/>
        </w:rPr>
      </w:pPr>
      <w:r>
        <w:rPr>
          <w:rFonts w:hint="eastAsia"/>
        </w:rPr>
        <w:t>采取原址就近避让断裂带的建设方案，由北京市对口援建，总投资447.54亿元，建设周期3年。新建民居保留藏族建筑风貌，优化内部抗震结构；同步落地三江源生态修复、高原牧民定居配套工程。</w:t>
      </w:r>
    </w:p>
    <w:p w14:paraId="49C6E03F">
      <w:pPr/>
      <w:r>
        <w:t>Reconstruction was carried out on original land while avoiding active faults, with Beijing as the paired supporting city and total investment of 44.754 billion RMB within a 3-year construction period. New dwellings preserved traditional Tibetan architectural features with improved seismic structure, alongside supporting projects of Sanjiangyuan ecological restoration and herdsmen settlement.</w:t>
      </w:r>
    </w:p>
    <w:p w14:paraId="6D95AAF3">
      <w:pPr/>
    </w:p>
    <w:p w14:paraId="2CFC28A9">
      <w:pPr>
        <w:rPr>
          <w:rFonts w:hint="eastAsia"/>
          <w:b/>
          <w:bCs/>
          <w:color w:val="0070C0"/>
        </w:rPr>
      </w:pPr>
      <w:r>
        <w:rPr>
          <w:rFonts w:hint="eastAsia"/>
          <w:b/>
          <w:bCs/>
          <w:color w:val="0070C0"/>
        </w:rPr>
        <w:t>3. Reconstruction Outcomes重建成效</w:t>
      </w:r>
    </w:p>
    <w:p w14:paraId="60B0B1B6">
      <w:pPr>
        <w:rPr>
          <w:rFonts w:hint="eastAsia"/>
        </w:rPr>
      </w:pPr>
      <w:r>
        <w:rPr>
          <w:rFonts w:hint="eastAsia"/>
        </w:rPr>
        <w:t>2013年全部重建工程竣工，新玉树市政配套、文教医疗水平跨越式提升，达到内地县级城市标准；藏族非遗与高原生态文旅成为当地支柱产业，牧民定居全覆盖。</w:t>
      </w:r>
    </w:p>
    <w:p w14:paraId="759E768B">
      <w:pPr/>
      <w:r>
        <w:t>All reconstruction works were completed in 2013. Urban infrastructure, education and medical resources of new Yushu were greatly improved to match inland county-level standards. Tibetan intangible cultural heritage and plateau eco-tourism became pillar industries, realizing full coverage of settled housing for local herdsmen.</w:t>
      </w:r>
    </w:p>
    <w:p w14:paraId="5B36B41F">
      <w:pPr/>
    </w:p>
    <w:p w14:paraId="5CA8EC64">
      <w:pPr>
        <w:rPr>
          <w:rFonts w:hint="eastAsia"/>
          <w:b/>
          <w:bCs/>
          <w:color w:val="0070C0"/>
        </w:rPr>
      </w:pPr>
      <w:r>
        <w:rPr>
          <w:rFonts w:hint="eastAsia"/>
          <w:b/>
          <w:bCs/>
          <w:color w:val="0070C0"/>
        </w:rPr>
        <w:t>4. Lessons Learned经验教训</w:t>
      </w:r>
    </w:p>
    <w:p w14:paraId="229A58BB">
      <w:pPr>
        <w:rPr>
          <w:rFonts w:hint="eastAsia"/>
        </w:rPr>
      </w:pPr>
      <w:r>
        <w:rPr>
          <w:rFonts w:hint="eastAsia"/>
        </w:rPr>
        <w:t>在偏远高寒牧区布设小型应急避难场所，前置防寒救灾物资储备；改良高原乡土民居结构，平衡民族风貌与抗震安全；完善高原航空应急救援体系，弥补陆路交通短板。</w:t>
      </w:r>
    </w:p>
    <w:p w14:paraId="164AD441">
      <w:pPr/>
      <w:r>
        <w:t>Small emergency shelters and pre-positioned cold-proof disaster supplies were deployed in remote alpine pastoral areas. Local residential structures were renovated to balance ethnic features and seismic safety. An aviation-based emergency rescue system was built to make up for poor ground transportation on plateau.</w:t>
      </w:r>
    </w:p>
    <w:p w14:paraId="6D8101BF">
      <w:pPr/>
    </w:p>
    <w:p w14:paraId="33B1B47A">
      <w:pPr>
        <w:rPr>
          <w:rFonts w:ascii="Arial Unicode MS" w:hAnsi="Arial Unicode MS" w:eastAsia="Arial Unicode MS" w:cs="Arial Unicode MS"/>
          <w:b/>
          <w:bCs/>
          <w:color w:val="002060"/>
          <w:sz w:val="28"/>
          <w:szCs w:val="28"/>
          <w:highlight w:val="none"/>
          <w:u w:val="single"/>
        </w:rPr>
      </w:pPr>
      <w:r>
        <w:rPr>
          <w:rFonts w:hint="eastAsia" w:ascii="Arial Unicode MS" w:hAnsi="Arial Unicode MS" w:eastAsia="Arial Unicode MS" w:cs="Arial Unicode MS"/>
          <w:b/>
          <w:bCs/>
          <w:color w:val="002060"/>
          <w:sz w:val="28"/>
          <w:szCs w:val="28"/>
          <w:highlight w:val="none"/>
          <w:u w:val="single"/>
        </w:rPr>
        <w:t>三、2013 Lushan M7.0 Earthquake</w:t>
      </w:r>
      <w:r>
        <w:rPr>
          <w:rFonts w:hint="default" w:ascii="Arial Unicode MS" w:hAnsi="Arial Unicode MS" w:eastAsia="Arial Unicode MS" w:cs="Arial Unicode MS"/>
          <w:b/>
          <w:bCs/>
          <w:color w:val="002060"/>
          <w:sz w:val="28"/>
          <w:szCs w:val="28"/>
          <w:highlight w:val="none"/>
          <w:u w:val="single"/>
          <w:lang w:val="en-US"/>
        </w:rPr>
        <w:t xml:space="preserve">. </w:t>
      </w:r>
      <w:r>
        <w:rPr>
          <w:rFonts w:hint="eastAsia" w:ascii="Arial Unicode MS" w:hAnsi="Arial Unicode MS" w:eastAsia="Arial Unicode MS" w:cs="Arial Unicode MS"/>
          <w:b/>
          <w:bCs/>
          <w:color w:val="002060"/>
          <w:sz w:val="28"/>
          <w:szCs w:val="28"/>
          <w:highlight w:val="none"/>
          <w:u w:val="single"/>
        </w:rPr>
        <w:t>2013</w:t>
      </w:r>
      <w:r>
        <w:rPr>
          <w:rFonts w:hint="default" w:ascii="Arial Unicode MS" w:hAnsi="Arial Unicode MS" w:eastAsia="Arial Unicode MS" w:cs="Arial Unicode MS"/>
          <w:b/>
          <w:bCs/>
          <w:color w:val="002060"/>
          <w:sz w:val="28"/>
          <w:szCs w:val="28"/>
          <w:highlight w:val="none"/>
          <w:u w:val="single"/>
          <w:lang w:val="en-US"/>
        </w:rPr>
        <w:t xml:space="preserve"> </w:t>
      </w:r>
      <w:r>
        <w:rPr>
          <w:rFonts w:hint="eastAsia" w:ascii="Arial Unicode MS" w:hAnsi="Arial Unicode MS" w:eastAsia="Arial Unicode MS" w:cs="Arial Unicode MS"/>
          <w:b/>
          <w:bCs/>
          <w:color w:val="002060"/>
          <w:sz w:val="28"/>
          <w:szCs w:val="28"/>
          <w:highlight w:val="none"/>
          <w:u w:val="single"/>
        </w:rPr>
        <w:t>年四川芦山7.0级地震</w:t>
      </w:r>
    </w:p>
    <w:p w14:paraId="24779701">
      <w:pPr>
        <w:rPr>
          <w:rFonts w:hint="eastAsia"/>
          <w:b/>
          <w:bCs/>
          <w:color w:val="0070C0"/>
        </w:rPr>
      </w:pPr>
      <w:r>
        <w:rPr>
          <w:rFonts w:hint="eastAsia"/>
          <w:b/>
          <w:bCs/>
          <w:color w:val="0070C0"/>
        </w:rPr>
        <w:t>1. Disaster Overview灾害概况</w:t>
      </w:r>
    </w:p>
    <w:p w14:paraId="1AE8D6B6">
      <w:pPr>
        <w:rPr>
          <w:rFonts w:hint="eastAsia"/>
        </w:rPr>
      </w:pPr>
      <w:r>
        <w:rPr>
          <w:rFonts w:hint="eastAsia"/>
        </w:rPr>
        <w:t>2013年4月20日四川雅安芦山7.0级地震，地处汶川地震余震断裂带，196人遇难、2人失踪，近220万人受灾。山区农房大面积垮塌，连绵山体频发滑坡，部分房屋受08年地震遗留损伤影响损毁加剧。</w:t>
      </w:r>
    </w:p>
    <w:p w14:paraId="7181B352">
      <w:pPr/>
      <w:r>
        <w:t>The M7.0 Lushan Earthquake hit Ya’an, Sichuan on April 20, 2013 on the aftershock fault zone of the 2008 Wenchuan Earthquake. It left 196 dead, 2 missing and around 2.2 million affected residents. A large number of mountain rural houses collapsed with frequent mountain slides, and some buildings suffered aggravated damage from residual structural flaws caused by the 2008 quake.</w:t>
      </w:r>
    </w:p>
    <w:p w14:paraId="17C93B44">
      <w:pPr/>
    </w:p>
    <w:p w14:paraId="1B7195E2">
      <w:pPr>
        <w:rPr>
          <w:rFonts w:hint="eastAsia"/>
          <w:b/>
          <w:bCs/>
          <w:color w:val="0070C0"/>
        </w:rPr>
      </w:pPr>
      <w:r>
        <w:rPr>
          <w:rFonts w:hint="eastAsia"/>
          <w:b/>
          <w:bCs/>
          <w:color w:val="0070C0"/>
        </w:rPr>
        <w:t>2. Reconstruction Measures重建举措</w:t>
      </w:r>
    </w:p>
    <w:p w14:paraId="6F8FCFA6">
      <w:pPr>
        <w:rPr>
          <w:rFonts w:hint="eastAsia"/>
        </w:rPr>
      </w:pPr>
      <w:r>
        <w:rPr>
          <w:rFonts w:hint="eastAsia"/>
        </w:rPr>
        <w:t>创新“中央统筹指导、四川省主体负责、群众全程参与”的重建新模式，规划总投资860亿元，三年完成重建。优先开展农村危房加固，依托本地茶叶、中药材资源布局特色农业产业。</w:t>
      </w:r>
    </w:p>
    <w:p w14:paraId="7B1DF741">
      <w:pPr/>
      <w:r>
        <w:t>An innovative reconstruction model was implemented: central government overall coordination, Sichuan Provincial Government as main executor and full public participation, with total planned investment of 86 billion RMB in three years. Priority was given to dilapidated rural house reinforcement, and featured agriculture (tea, Chinese medicinal herbs) was developed based on local natural resources.</w:t>
      </w:r>
    </w:p>
    <w:p w14:paraId="47A384CE">
      <w:pPr/>
    </w:p>
    <w:p w14:paraId="6A54C459">
      <w:pPr>
        <w:rPr>
          <w:rFonts w:hint="eastAsia"/>
          <w:b/>
          <w:bCs/>
          <w:color w:val="0070C0"/>
        </w:rPr>
      </w:pPr>
      <w:r>
        <w:rPr>
          <w:rFonts w:hint="eastAsia"/>
          <w:b/>
          <w:bCs/>
          <w:color w:val="0070C0"/>
        </w:rPr>
        <w:t>3. Reconstruction Outcomes重建成效</w:t>
      </w:r>
    </w:p>
    <w:p w14:paraId="50FD6A04">
      <w:pPr>
        <w:rPr>
          <w:rFonts w:hint="eastAsia"/>
        </w:rPr>
      </w:pPr>
      <w:r>
        <w:rPr>
          <w:rFonts w:hint="eastAsia"/>
        </w:rPr>
        <w:t>2016年重建工作全面收官，城乡住房新建修缮全部完成，乡村特色产业规模化落地；山区地质灾害隐患点完成护坡治理，城乡避难场所全域落地。</w:t>
      </w:r>
    </w:p>
    <w:p w14:paraId="24D8F392">
      <w:pPr/>
      <w:r>
        <w:t>English: All reconstruction finished in 2016. Urban and rural residential renovation was fully completed and rural featured industries achieved large-scale development. Hazard control works were done on mountain geological risks, and emergency shelters were built across towns and villages.</w:t>
      </w:r>
    </w:p>
    <w:p w14:paraId="3204F2E5">
      <w:pPr/>
    </w:p>
    <w:p w14:paraId="73026966">
      <w:pPr>
        <w:rPr>
          <w:rFonts w:hint="eastAsia"/>
          <w:b/>
          <w:bCs/>
          <w:color w:val="0070C0"/>
        </w:rPr>
      </w:pPr>
      <w:r>
        <w:rPr>
          <w:rFonts w:hint="eastAsia"/>
          <w:b/>
          <w:bCs/>
          <w:color w:val="0070C0"/>
        </w:rPr>
        <w:t>4. Lessons Learned经验教训</w:t>
      </w:r>
    </w:p>
    <w:p w14:paraId="3E926472">
      <w:pPr>
        <w:rPr>
          <w:rFonts w:hint="eastAsia"/>
        </w:rPr>
      </w:pPr>
      <w:r>
        <w:rPr>
          <w:rFonts w:hint="eastAsia"/>
        </w:rPr>
        <w:t>建立震后存量建筑常态化安全排查与加固制度；优化灾后重建权责划分，强化地方政府自主救灾与建设能力；山区村镇选址避开滑坡、断层高风险区域。</w:t>
      </w:r>
    </w:p>
    <w:p w14:paraId="112433AC">
      <w:pPr/>
      <w:r>
        <w:t>A regular inspection and reinforcement system for post-quake existing buildings was established. The division of responsibilities in post-disaster reconstruction was optimized to enhance local government’s independent rescue and construction capacity. New villages and towns in mountainous regions avoid landslide and fault-prone zones during site selection.</w:t>
      </w:r>
    </w:p>
    <w:p w14:paraId="4619344E">
      <w:pPr>
        <w:rPr>
          <w:lang w:val="en-US"/>
        </w:rPr>
      </w:pPr>
    </w:p>
    <w:p w14:paraId="0A22F4F4">
      <w:pPr>
        <w:rPr>
          <w:lang w:val="en-US"/>
        </w:rPr>
      </w:pPr>
    </w:p>
    <w:p w14:paraId="73EF6103">
      <w:pPr>
        <w:rPr>
          <w:rFonts w:hint="eastAsia"/>
          <w:b/>
          <w:bCs/>
          <w:color w:val="0070C0"/>
          <w:lang w:val="en-US"/>
        </w:rPr>
      </w:pPr>
      <w:r>
        <w:rPr>
          <w:rFonts w:hint="eastAsia"/>
          <w:b/>
          <w:bCs/>
          <w:color w:val="0070C0"/>
        </w:rPr>
        <w:t>综合总结 General Conclusion</w:t>
      </w:r>
    </w:p>
    <w:p w14:paraId="0AEB499F">
      <w:pPr/>
      <w:r>
        <w:rPr>
          <w:rFonts w:hint="eastAsia"/>
        </w:rPr>
        <w:t>1. 防灾前置：国土规划规避活动断裂带，常态化推进民居抗震改造；</w:t>
      </w:r>
    </w:p>
    <w:p w14:paraId="20430623">
      <w:pPr/>
      <w:r>
        <w:rPr>
          <w:rFonts w:hint="eastAsia"/>
        </w:rPr>
        <w:t>2. 救灾迭代：从全国统筹驰援逐步过渡到属地为主、分级协同的高效救援体系；</w:t>
      </w:r>
    </w:p>
    <w:p w14:paraId="7FD35D5E">
      <w:pPr/>
      <w:r>
        <w:rPr>
          <w:rFonts w:hint="eastAsia"/>
        </w:rPr>
        <w:t>3. 多维重建：从单一住房修缮升级为安居、产业、生态、防灾、民俗保护五位一体综合重建。</w:t>
      </w:r>
    </w:p>
    <w:p w14:paraId="41853777">
      <w:pPr/>
      <w:r>
        <w:t>1. Pre-disaster prevention: Urban planning avoids active faults, and regular anti-seismic renovation of civilian houses is promoted nationwide;</w:t>
      </w:r>
    </w:p>
    <w:p w14:paraId="55F536A2">
      <w:pPr/>
      <w:r>
        <w:t>2. Evolving rescue system: Emergency response shifts from nationwide centralized aid to a hierarchical, territory-led efficient coordination mechanism;</w:t>
      </w:r>
    </w:p>
    <w:p w14:paraId="0725D3AD">
      <w:pPr/>
      <w:r>
        <w:t>3. Multi-dimensional reconstruction: Reconstruction evolves from simple housing repair to an integrated project covering residence security, industry development, ecological protection, disaster prevention and ethnic culture preservation.</w:t>
      </w:r>
    </w:p>
    <w:p w14:paraId="49D0E9A0">
      <w:pPr/>
    </w:p>
    <w:p w14:paraId="477730C7">
      <w:pPr/>
    </w:p>
    <w:p w14:paraId="6A6B7AA6">
      <w:pPr/>
    </w:p>
    <w:p w14:paraId="71B12A9D">
      <w:pPr/>
    </w:p>
    <w:p w14:paraId="26D5947D">
      <w:pPr/>
    </w:p>
    <w:p w14:paraId="23A42E66">
      <w:pPr/>
    </w:p>
    <w:p w14:paraId="6BB7BDEE">
      <w:pPr/>
    </w:p>
    <w:p w14:paraId="737F052F">
      <w:pPr/>
    </w:p>
    <w:p w14:paraId="157766D3">
      <w:pPr/>
    </w:p>
    <w:p w14:paraId="66D78FFF">
      <w:pPr/>
    </w:p>
    <w:p w14:paraId="68B02E7E">
      <w:pPr/>
    </w:p>
    <w:p w14:paraId="7ED477BB">
      <w:pPr/>
    </w:p>
    <w:p w14:paraId="4D9FE360">
      <w:pPr/>
    </w:p>
    <w:p w14:paraId="5536D0D3">
      <w:pPr/>
    </w:p>
    <w:p w14:paraId="71CD984C">
      <w:pPr/>
    </w:p>
    <w:p w14:paraId="031E0EB8">
      <w:pPr/>
    </w:p>
    <w:p w14:paraId="15519E44">
      <w:pPr/>
    </w:p>
    <w:p w14:paraId="289819B3">
      <w:pPr/>
    </w:p>
    <w:p w14:paraId="3B04ED67">
      <w:pPr/>
    </w:p>
    <w:p w14:paraId="0E9C6281">
      <w:pPr/>
    </w:p>
    <w:p w14:paraId="18DFB7B4">
      <w:pPr/>
    </w:p>
    <w:p w14:paraId="5A414E54">
      <w:pPr>
        <w:rPr>
          <w:rFonts w:hint="eastAsia"/>
          <w:sz w:val="44"/>
          <w:szCs w:val="44"/>
          <w:lang w:val="en-US" w:eastAsia="zh-CN"/>
        </w:rPr>
      </w:pPr>
      <w:r>
        <w:rPr>
          <w:rFonts w:hint="eastAsia"/>
          <w:b/>
          <w:bCs/>
          <w:sz w:val="44"/>
          <w:szCs w:val="44"/>
          <w:lang w:val="en-US" w:eastAsia="zh-CN"/>
        </w:rPr>
        <w:t>国外地震案例</w:t>
      </w:r>
    </w:p>
    <w:p w14:paraId="4059A4D6">
      <w:pPr>
        <w:rPr>
          <w:rFonts w:ascii="Arial Unicode MS" w:hAnsi="Arial Unicode MS" w:eastAsia="Arial Unicode MS" w:cs="Arial Unicode MS"/>
        </w:rPr>
      </w:pPr>
      <w:r>
        <w:rPr>
          <w:rFonts w:hint="eastAsia"/>
        </w:rPr>
        <w:t>The system supports country-based comparison queries such as Japan, the United States, and New Zealand.</w:t>
      </w:r>
    </w:p>
    <w:p w14:paraId="00000002">
      <w:pPr>
        <w:rPr>
          <w:rFonts w:hint="eastAsia" w:ascii="Arial Unicode MS" w:hAnsi="Arial Unicode MS" w:eastAsia="Arial Unicode MS" w:cs="Arial Unicode MS"/>
          <w:b/>
          <w:bCs/>
          <w:color w:val="002060"/>
          <w:sz w:val="28"/>
          <w:szCs w:val="28"/>
          <w:highlight w:val="none"/>
          <w:u w:val="single"/>
          <w:lang w:eastAsia="zh-CN"/>
        </w:rPr>
      </w:pPr>
      <w:r>
        <w:rPr>
          <w:rFonts w:ascii="Arial Unicode MS" w:hAnsi="Arial Unicode MS" w:eastAsia="Arial Unicode MS" w:cs="Arial Unicode MS"/>
          <w:b/>
          <w:bCs/>
          <w:color w:val="002060"/>
          <w:sz w:val="28"/>
          <w:szCs w:val="28"/>
          <w:highlight w:val="none"/>
          <w:u w:val="single"/>
        </w:rPr>
        <w:t>一、日本（311地震、防灾公园、社区避难体系）</w:t>
      </w:r>
      <w:r>
        <w:rPr>
          <w:rFonts w:hint="eastAsia" w:ascii="Arial Unicode MS" w:hAnsi="Arial Unicode MS" w:eastAsia="Arial Unicode MS" w:cs="Arial Unicode MS"/>
          <w:b/>
          <w:bCs/>
          <w:color w:val="002060"/>
          <w:sz w:val="28"/>
          <w:szCs w:val="28"/>
          <w:highlight w:val="none"/>
          <w:u w:val="single"/>
        </w:rPr>
        <w:t xml:space="preserve"> Japan case comparison</w:t>
      </w:r>
    </w:p>
    <w:p w14:paraId="00000003">
      <w:pPr>
        <w:rPr>
          <w:rFonts w:hint="eastAsia"/>
          <w:b/>
          <w:bCs/>
          <w:color w:val="0070C0"/>
        </w:rPr>
      </w:pPr>
      <w:r>
        <w:rPr>
          <w:rFonts w:hint="eastAsia"/>
          <w:b/>
          <w:bCs/>
          <w:color w:val="0070C0"/>
        </w:rPr>
        <w:t>特色做法 Practices</w:t>
      </w:r>
    </w:p>
    <w:p w14:paraId="00000004">
      <w:pPr/>
    </w:p>
    <w:p w14:paraId="00000005">
      <w:pPr/>
      <w:r>
        <w:rPr>
          <w:rFonts w:ascii="Arial Unicode MS" w:hAnsi="Arial Unicode MS" w:eastAsia="Arial Unicode MS" w:cs="Arial Unicode MS"/>
        </w:rPr>
        <w:t>法治化分级防灾，建设多功能防灾公园，打造15分钟社区避难圈，常态化防灾演练、储备应急物资，重点帮扶弱势群体。</w:t>
      </w:r>
    </w:p>
    <w:p w14:paraId="00000006">
      <w:pPr/>
      <w:r>
        <w:t>Legal hierarchical disaster prevention, multi-functional disaster prevention parks, 15-minute community evacuation circle, regular drills, emergency reserves, and vulnerable group assistance.</w:t>
      </w:r>
    </w:p>
    <w:p w14:paraId="00000007">
      <w:pPr>
        <w:rPr>
          <w:rFonts w:hint="eastAsia"/>
          <w:b/>
          <w:bCs/>
          <w:color w:val="0070C0"/>
        </w:rPr>
      </w:pPr>
    </w:p>
    <w:p w14:paraId="00000008">
      <w:pPr/>
      <w:r>
        <w:rPr>
          <w:rFonts w:hint="eastAsia"/>
          <w:b/>
          <w:bCs/>
          <w:color w:val="0070C0"/>
        </w:rPr>
        <w:t>成功经验</w:t>
      </w:r>
      <w:r>
        <w:rPr>
          <w:rFonts w:hint="default"/>
          <w:b/>
          <w:bCs/>
          <w:color w:val="0070C0"/>
          <w:lang w:val="en-US"/>
        </w:rPr>
        <w:t>Key</w:t>
      </w:r>
      <w:r>
        <w:rPr>
          <w:rFonts w:hint="eastAsia"/>
          <w:b/>
          <w:bCs/>
          <w:color w:val="0070C0"/>
        </w:rPr>
        <w:t xml:space="preserve"> Strengths</w:t>
      </w:r>
    </w:p>
    <w:p w14:paraId="00000009">
      <w:pPr/>
    </w:p>
    <w:p w14:paraId="0000000A">
      <w:pPr/>
      <w:r>
        <w:rPr>
          <w:rFonts w:ascii="Arial Unicode MS" w:hAnsi="Arial Unicode MS" w:eastAsia="Arial Unicode MS" w:cs="Arial Unicode MS"/>
        </w:rPr>
        <w:t>平灾结合、空间韧性强；全民防灾意识高；有效减少火灾、海啸次生灾害。</w:t>
      </w:r>
    </w:p>
    <w:p w14:paraId="0000000B">
      <w:pPr/>
      <w:r>
        <w:t>Space resilience for daily and disaster use; high public awareness; effective reduction of fire and tsunami secondary disasters.</w:t>
      </w:r>
    </w:p>
    <w:p w14:paraId="0000000C">
      <w:pPr/>
    </w:p>
    <w:p w14:paraId="0000000D">
      <w:pPr>
        <w:rPr>
          <w:rFonts w:hint="eastAsia"/>
          <w:b/>
          <w:bCs/>
          <w:color w:val="0070C0"/>
        </w:rPr>
      </w:pPr>
      <w:r>
        <w:rPr>
          <w:rFonts w:hint="eastAsia"/>
          <w:b/>
          <w:bCs/>
          <w:color w:val="0070C0"/>
        </w:rPr>
        <w:t>存在问题</w:t>
      </w:r>
      <w:r>
        <w:rPr>
          <w:rFonts w:hint="default"/>
          <w:b/>
          <w:bCs/>
          <w:color w:val="0070C0"/>
          <w:lang w:val="en-US"/>
        </w:rPr>
        <w:t>Key</w:t>
      </w:r>
      <w:r>
        <w:rPr>
          <w:rFonts w:hint="eastAsia"/>
          <w:b/>
          <w:bCs/>
          <w:color w:val="0070C0"/>
        </w:rPr>
        <w:t xml:space="preserve"> Problems</w:t>
      </w:r>
    </w:p>
    <w:p w14:paraId="0000000E">
      <w:pPr/>
    </w:p>
    <w:p w14:paraId="0000000F">
      <w:pPr/>
      <w:r>
        <w:rPr>
          <w:rFonts w:ascii="Arial Unicode MS" w:hAnsi="Arial Unicode MS" w:eastAsia="Arial Unicode MS" w:cs="Arial Unicode MS"/>
        </w:rPr>
        <w:t>极端海啸超设计标准；老龄化疏散困难；偏远物资不足；复合灾害（地震+海啸+核）应对薄弱。</w:t>
      </w:r>
    </w:p>
    <w:p w14:paraId="00000010">
      <w:pPr/>
      <w:r>
        <w:t>Extreme tsunami beyond design standard; difficult evacuation of the elderly; insufficient remote supplies; weak response to compound disasters.</w:t>
      </w:r>
    </w:p>
    <w:p w14:paraId="762C04FF">
      <w:pPr/>
    </w:p>
    <w:p w14:paraId="00000012">
      <w:pPr/>
      <w:r>
        <w:rPr>
          <w:rFonts w:ascii="Arial Unicode MS" w:hAnsi="Arial Unicode MS" w:eastAsia="Arial Unicode MS" w:cs="Arial Unicode MS"/>
          <w:b/>
          <w:bCs/>
          <w:color w:val="002060"/>
          <w:sz w:val="28"/>
          <w:szCs w:val="28"/>
          <w:highlight w:val="none"/>
          <w:u w:val="single"/>
        </w:rPr>
        <w:t>二、新西兰（基督城地震）</w:t>
      </w:r>
      <w:r>
        <w:rPr>
          <w:rFonts w:hint="eastAsia" w:ascii="Arial Unicode MS" w:hAnsi="Arial Unicode MS" w:eastAsia="Arial Unicode MS" w:cs="Arial Unicode MS"/>
          <w:b/>
          <w:bCs/>
          <w:color w:val="002060"/>
          <w:sz w:val="28"/>
          <w:szCs w:val="28"/>
          <w:highlight w:val="none"/>
          <w:u w:val="single"/>
        </w:rPr>
        <w:t>New Zealand case comparis</w:t>
      </w:r>
      <w:r>
        <w:rPr>
          <w:rFonts w:hint="default" w:ascii="Arial Unicode MS" w:hAnsi="Arial Unicode MS" w:eastAsia="Arial Unicode MS" w:cs="Arial Unicode MS"/>
          <w:b/>
          <w:bCs/>
          <w:color w:val="002060"/>
          <w:sz w:val="28"/>
          <w:szCs w:val="28"/>
          <w:highlight w:val="none"/>
          <w:u w:val="single"/>
          <w:lang w:val="en-US"/>
        </w:rPr>
        <w:t>on</w:t>
      </w:r>
    </w:p>
    <w:p w14:paraId="00000013">
      <w:pPr>
        <w:rPr>
          <w:rFonts w:hint="eastAsia"/>
          <w:b/>
          <w:bCs/>
          <w:color w:val="0070C0"/>
        </w:rPr>
      </w:pPr>
      <w:r>
        <w:rPr>
          <w:rFonts w:hint="eastAsia"/>
          <w:b/>
          <w:bCs/>
          <w:color w:val="0070C0"/>
        </w:rPr>
        <w:t>特色做法 Practices</w:t>
      </w:r>
    </w:p>
    <w:p w14:paraId="00000014">
      <w:pPr/>
    </w:p>
    <w:p w14:paraId="00000015">
      <w:pPr/>
      <w:r>
        <w:rPr>
          <w:rFonts w:ascii="Arial Unicode MS" w:hAnsi="Arial Unicode MS" w:eastAsia="Arial Unicode MS" w:cs="Arial Unicode MS"/>
        </w:rPr>
        <w:t>普及建筑隔震技术，全国强制地震保险，数字化灾情监测，推进老旧建筑抗震改造。</w:t>
      </w:r>
    </w:p>
    <w:p w14:paraId="00000016">
      <w:pPr/>
      <w:r>
        <w:t>Wide use of building seismic isolation, mandatory national earthquake insurance, digital disaster monitoring, and old building renovation.</w:t>
      </w:r>
    </w:p>
    <w:p w14:paraId="00000017">
      <w:pPr/>
    </w:p>
    <w:p w14:paraId="00000018">
      <w:pPr>
        <w:rPr>
          <w:rFonts w:hint="eastAsia"/>
          <w:b/>
          <w:bCs/>
          <w:color w:val="0070C0"/>
        </w:rPr>
      </w:pPr>
      <w:r>
        <w:rPr>
          <w:rFonts w:hint="eastAsia"/>
          <w:b/>
          <w:bCs/>
          <w:color w:val="0070C0"/>
        </w:rPr>
        <w:t>成功经验</w:t>
      </w:r>
      <w:r>
        <w:rPr>
          <w:rFonts w:hint="default"/>
          <w:b/>
          <w:bCs/>
          <w:color w:val="0070C0"/>
          <w:lang w:val="en-US"/>
        </w:rPr>
        <w:t xml:space="preserve"> Key</w:t>
      </w:r>
      <w:r>
        <w:rPr>
          <w:rFonts w:hint="eastAsia"/>
          <w:b/>
          <w:bCs/>
          <w:color w:val="0070C0"/>
        </w:rPr>
        <w:t xml:space="preserve"> Strengths</w:t>
      </w:r>
    </w:p>
    <w:p w14:paraId="00000019">
      <w:pPr/>
    </w:p>
    <w:p w14:paraId="0000001A">
      <w:pPr/>
      <w:r>
        <w:rPr>
          <w:rFonts w:ascii="Arial Unicode MS" w:hAnsi="Arial Unicode MS" w:eastAsia="Arial Unicode MS" w:cs="Arial Unicode MS"/>
        </w:rPr>
        <w:t>新建建筑抗震性能优异；保险体系加速灾后重建；信息化应急响应高效。</w:t>
      </w:r>
    </w:p>
    <w:p w14:paraId="0000001B">
      <w:pPr/>
      <w:r>
        <w:t>Excellent seismic performance of new buildings; insurance system speeds up reconstruction; efficient digital emergency response.</w:t>
      </w:r>
    </w:p>
    <w:p w14:paraId="0000001C">
      <w:pPr/>
    </w:p>
    <w:p w14:paraId="0000001D">
      <w:pPr>
        <w:rPr>
          <w:rFonts w:hint="eastAsia"/>
          <w:b/>
          <w:bCs/>
          <w:color w:val="0070C0"/>
        </w:rPr>
      </w:pPr>
      <w:r>
        <w:rPr>
          <w:rFonts w:hint="eastAsia"/>
          <w:b/>
          <w:bCs/>
          <w:color w:val="0070C0"/>
        </w:rPr>
        <w:t>存在问题</w:t>
      </w:r>
      <w:r>
        <w:rPr>
          <w:rFonts w:hint="default"/>
          <w:b/>
          <w:bCs/>
          <w:color w:val="0070C0"/>
          <w:lang w:val="en-US"/>
        </w:rPr>
        <w:t>Key</w:t>
      </w:r>
      <w:r>
        <w:rPr>
          <w:rFonts w:hint="eastAsia"/>
          <w:b/>
          <w:bCs/>
          <w:color w:val="0070C0"/>
        </w:rPr>
        <w:t xml:space="preserve"> Problems</w:t>
      </w:r>
    </w:p>
    <w:p w14:paraId="0000001E">
      <w:pPr/>
    </w:p>
    <w:p w14:paraId="0000001F">
      <w:pPr/>
      <w:r>
        <w:rPr>
          <w:rFonts w:ascii="Arial Unicode MS" w:hAnsi="Arial Unicode MS" w:eastAsia="Arial Unicode MS" w:cs="Arial Unicode MS"/>
        </w:rPr>
        <w:t>老旧危房存量多、改造滞后；低估土壤液化风险；城区重建周期长；隔震技术成本高。</w:t>
      </w:r>
    </w:p>
    <w:p w14:paraId="00000020">
      <w:pPr/>
      <w:r>
        <w:t>A large number of risky old buildings; underestimated soil liquefaction; long urban reconstruction cycle; high cost of isolation technology.</w:t>
      </w:r>
    </w:p>
    <w:p w14:paraId="284E3C3D">
      <w:pPr/>
    </w:p>
    <w:p w14:paraId="00000022">
      <w:pPr/>
      <w:r>
        <w:rPr>
          <w:rFonts w:ascii="Arial Unicode MS" w:hAnsi="Arial Unicode MS" w:eastAsia="Arial Unicode MS" w:cs="Arial Unicode MS"/>
          <w:b/>
          <w:bCs/>
          <w:color w:val="002060"/>
          <w:sz w:val="28"/>
          <w:szCs w:val="28"/>
          <w:highlight w:val="none"/>
          <w:u w:val="single"/>
        </w:rPr>
        <w:t>三、美国加州（地震防灾体系、抗震</w:t>
      </w:r>
      <w:r>
        <w:rPr>
          <w:rFonts w:ascii="Arial Unicode MS" w:hAnsi="Arial Unicode MS" w:eastAsia="Arial Unicode MS" w:cs="Arial Unicode MS"/>
          <w:b/>
          <w:bCs/>
          <w:color w:val="002060"/>
          <w:sz w:val="28"/>
          <w:szCs w:val="28"/>
          <w:highlight w:val="none"/>
          <w:u w:val="single"/>
        </w:rPr>
        <w:t>规范）</w:t>
      </w:r>
      <w:r>
        <w:rPr>
          <w:rFonts w:hint="eastAsia" w:ascii="Arial Unicode MS" w:hAnsi="Arial Unicode MS" w:eastAsia="Arial Unicode MS" w:cs="Arial Unicode MS"/>
          <w:b/>
          <w:bCs/>
          <w:color w:val="002060"/>
          <w:sz w:val="28"/>
          <w:szCs w:val="28"/>
          <w:highlight w:val="none"/>
          <w:u w:val="single"/>
        </w:rPr>
        <w:t xml:space="preserve"> U</w:t>
      </w:r>
      <w:r>
        <w:rPr>
          <w:rFonts w:hint="eastAsia" w:ascii="Arial Unicode MS" w:hAnsi="Arial Unicode MS" w:eastAsia="Arial Unicode MS" w:cs="Arial Unicode MS"/>
          <w:b/>
          <w:bCs/>
          <w:color w:val="002060"/>
          <w:sz w:val="28"/>
          <w:szCs w:val="28"/>
          <w:highlight w:val="none"/>
          <w:u w:val="single"/>
          <w:lang w:eastAsia="zh-CN"/>
        </w:rPr>
        <w:t xml:space="preserve">nited </w:t>
      </w:r>
      <w:r>
        <w:rPr>
          <w:rFonts w:hint="default" w:ascii="Arial Unicode MS" w:hAnsi="Arial Unicode MS" w:eastAsia="Arial Unicode MS" w:cs="Arial Unicode MS"/>
          <w:b/>
          <w:bCs/>
          <w:color w:val="002060"/>
          <w:sz w:val="28"/>
          <w:szCs w:val="28"/>
          <w:highlight w:val="none"/>
          <w:u w:val="single"/>
          <w:lang w:val="en-US" w:eastAsia="zh-CN"/>
        </w:rPr>
        <w:t>States</w:t>
      </w:r>
      <w:r>
        <w:rPr>
          <w:rFonts w:hint="eastAsia" w:ascii="Arial Unicode MS" w:hAnsi="Arial Unicode MS" w:eastAsia="Arial Unicode MS" w:cs="Arial Unicode MS"/>
          <w:b/>
          <w:bCs/>
          <w:color w:val="002060"/>
          <w:sz w:val="28"/>
          <w:szCs w:val="28"/>
          <w:highlight w:val="none"/>
          <w:u w:val="single"/>
        </w:rPr>
        <w:t xml:space="preserve"> case comparison</w:t>
      </w:r>
    </w:p>
    <w:p w14:paraId="00000023">
      <w:pPr>
        <w:rPr>
          <w:rFonts w:hint="eastAsia"/>
          <w:b/>
          <w:bCs/>
          <w:color w:val="0070C0"/>
        </w:rPr>
      </w:pPr>
      <w:r>
        <w:rPr>
          <w:rFonts w:hint="eastAsia"/>
          <w:b/>
          <w:bCs/>
          <w:color w:val="0070C0"/>
        </w:rPr>
        <w:t>特色做法 Practices</w:t>
      </w:r>
    </w:p>
    <w:p w14:paraId="00000024">
      <w:pPr/>
    </w:p>
    <w:p w14:paraId="00000025">
      <w:pPr/>
      <w:r>
        <w:rPr>
          <w:rFonts w:ascii="Arial Unicode MS" w:hAnsi="Arial Unicode MS" w:eastAsia="Arial Unicode MS" w:cs="Arial Unicode MS"/>
        </w:rPr>
        <w:t>分级抗震建筑规范，活断层禁建政策，强制加固老旧建筑，重点保障生命线工程。</w:t>
      </w:r>
    </w:p>
    <w:p w14:paraId="00000026">
      <w:pPr/>
      <w:r>
        <w:t>Hierarchical seismic codes, fault zone construction ban, mandatory old building reinforcement, and protected lifeline infrastructures.</w:t>
      </w:r>
    </w:p>
    <w:p w14:paraId="00000027">
      <w:pPr/>
    </w:p>
    <w:p w14:paraId="00000028">
      <w:pPr>
        <w:rPr>
          <w:rFonts w:hint="eastAsia"/>
          <w:b/>
          <w:bCs/>
          <w:color w:val="0070C0"/>
        </w:rPr>
      </w:pPr>
      <w:r>
        <w:rPr>
          <w:rFonts w:hint="eastAsia"/>
          <w:b/>
          <w:bCs/>
          <w:color w:val="0070C0"/>
        </w:rPr>
        <w:t>成功经验</w:t>
      </w:r>
      <w:r>
        <w:rPr>
          <w:rFonts w:hint="default"/>
          <w:b/>
          <w:bCs/>
          <w:color w:val="0070C0"/>
          <w:lang w:val="en-US"/>
        </w:rPr>
        <w:t>Key</w:t>
      </w:r>
      <w:r>
        <w:rPr>
          <w:rFonts w:hint="eastAsia"/>
          <w:b/>
          <w:bCs/>
          <w:color w:val="0070C0"/>
        </w:rPr>
        <w:t xml:space="preserve"> Strengths</w:t>
      </w:r>
    </w:p>
    <w:p w14:paraId="00000029">
      <w:pPr/>
    </w:p>
    <w:p w14:paraId="0000002A">
      <w:pPr/>
      <w:r>
        <w:rPr>
          <w:rFonts w:ascii="Arial Unicode MS" w:hAnsi="Arial Unicode MS" w:eastAsia="Arial Unicode MS" w:cs="Arial Unicode MS"/>
        </w:rPr>
        <w:t>规范更新迭代快；抗震技术先进；源头规避地质风险，关键设施灾后恢复能力强。</w:t>
      </w:r>
    </w:p>
    <w:p w14:paraId="0000002B">
      <w:pPr/>
      <w:r>
        <w:t>Fast code iteration; advanced seismic technology; risk avoidance at source; strong recovery of key facilities.</w:t>
      </w:r>
    </w:p>
    <w:p w14:paraId="0000002C">
      <w:pPr/>
    </w:p>
    <w:p w14:paraId="0000002D">
      <w:pPr>
        <w:rPr>
          <w:rFonts w:hint="eastAsia"/>
          <w:b/>
          <w:bCs/>
          <w:color w:val="0070C0"/>
        </w:rPr>
      </w:pPr>
      <w:r>
        <w:rPr>
          <w:rFonts w:hint="eastAsia"/>
          <w:b/>
          <w:bCs/>
          <w:color w:val="0070C0"/>
        </w:rPr>
        <w:t xml:space="preserve">存在问题 </w:t>
      </w:r>
      <w:r>
        <w:rPr>
          <w:rFonts w:hint="default"/>
          <w:b/>
          <w:bCs/>
          <w:color w:val="0070C0"/>
          <w:lang w:val="en-US"/>
        </w:rPr>
        <w:t xml:space="preserve">Key </w:t>
      </w:r>
      <w:r>
        <w:rPr>
          <w:rFonts w:hint="eastAsia"/>
          <w:b/>
          <w:bCs/>
          <w:color w:val="0070C0"/>
        </w:rPr>
        <w:t>Problems</w:t>
      </w:r>
    </w:p>
    <w:p w14:paraId="0000002E">
      <w:pPr/>
    </w:p>
    <w:p w14:paraId="0000002F">
      <w:pPr/>
      <w:r>
        <w:rPr>
          <w:rFonts w:ascii="Arial Unicode MS" w:hAnsi="Arial Unicode MS" w:eastAsia="Arial Unicode MS" w:cs="Arial Unicode MS"/>
        </w:rPr>
        <w:t>加固成本高、区域落实不均；规范复杂执行难；各级应急权责重叠、协同低效。</w:t>
      </w:r>
    </w:p>
    <w:p w14:paraId="00000030">
      <w:pPr/>
      <w:r>
        <w:t>High reinforcement cost and uneven implementation; complex codes; overlapping authority and low coordination efficiency.</w:t>
      </w:r>
    </w:p>
    <w:p w14:paraId="00000031">
      <w:pPr/>
    </w:p>
    <w:p w14:paraId="611451CE">
      <w:pPr/>
    </w:p>
    <w:p w14:paraId="6273BDE7">
      <w:pPr/>
    </w:p>
    <w:p w14:paraId="0ACC3CA3">
      <w:pPr/>
    </w:p>
    <w:p w14:paraId="198485A1">
      <w:pPr/>
    </w:p>
    <w:p w14:paraId="61A29073">
      <w:pPr/>
    </w:p>
    <w:p w14:paraId="33956EE1">
      <w:pPr/>
    </w:p>
    <w:p w14:paraId="12005953">
      <w:pPr/>
    </w:p>
    <w:p w14:paraId="79C57531">
      <w:pPr/>
    </w:p>
    <w:p w14:paraId="7D8BBE7E">
      <w:pPr/>
    </w:p>
    <w:p w14:paraId="1147A510">
      <w:pPr/>
    </w:p>
    <w:p w14:paraId="3692E327">
      <w:pPr/>
    </w:p>
    <w:p w14:paraId="1F6717C8">
      <w:pPr/>
    </w:p>
    <w:p w14:paraId="71265C08">
      <w:pPr/>
    </w:p>
    <w:p w14:paraId="1A97942A">
      <w:pPr/>
    </w:p>
    <w:p w14:paraId="5AA6DD74">
      <w:pPr/>
    </w:p>
    <w:p w14:paraId="6689EF2B">
      <w:pPr/>
    </w:p>
    <w:p w14:paraId="5A120398">
      <w:pPr/>
    </w:p>
    <w:p w14:paraId="24AAA547">
      <w:pPr>
        <w:rPr>
          <w:rFonts w:hint="eastAsia"/>
          <w:lang w:eastAsia="zh-CN"/>
        </w:rPr>
      </w:pPr>
      <w:r>
        <w:rPr>
          <w:rFonts w:hint="eastAsia"/>
          <w:b/>
          <w:bCs/>
          <w:sz w:val="44"/>
          <w:szCs w:val="44"/>
          <w:lang w:eastAsia="zh-CN"/>
        </w:rPr>
        <w:t>国际指南与经验总结</w:t>
      </w:r>
    </w:p>
    <w:p w14:paraId="0BEDD59D">
      <w:pPr/>
    </w:p>
    <w:p w14:paraId="034F0730">
      <w:pPr>
        <w:rPr>
          <w:b/>
          <w:bCs/>
          <w:color w:val="002060"/>
          <w:sz w:val="28"/>
          <w:szCs w:val="28"/>
          <w:u w:val="single"/>
        </w:rPr>
      </w:pPr>
      <w:r>
        <w:rPr>
          <w:b/>
          <w:bCs/>
          <w:color w:val="002060"/>
          <w:sz w:val="28"/>
          <w:szCs w:val="28"/>
          <w:u w:val="single"/>
        </w:rPr>
        <w:t>一、国际通用防灾指南</w:t>
      </w:r>
      <w:r>
        <w:rPr>
          <w:b/>
          <w:bCs/>
          <w:color w:val="002060"/>
          <w:u w:val="single"/>
        </w:rPr>
        <w:t>International Disaster Risk Reduction Guidelines</w:t>
      </w:r>
    </w:p>
    <w:p w14:paraId="43BA21C7">
      <w:pPr>
        <w:rPr>
          <w:rFonts w:hint="eastAsia"/>
        </w:rPr>
      </w:pPr>
      <w:r>
        <w:rPr>
          <w:rFonts w:hint="eastAsia"/>
        </w:rPr>
        <w:t>This section provides theoretical support for earthquake case analysis.</w:t>
      </w:r>
    </w:p>
    <w:p w14:paraId="63A5FA09">
      <w:pPr>
        <w:rPr>
          <w:b/>
          <w:bCs/>
          <w:color w:val="0070C0"/>
        </w:rPr>
      </w:pPr>
      <w:r>
        <w:rPr>
          <w:rFonts w:hint="eastAsia"/>
        </w:rPr>
        <w:t>本部分为地震案例分析提供理论支撑。</w:t>
      </w:r>
    </w:p>
    <w:p w14:paraId="0E4E4323">
      <w:pPr>
        <w:rPr>
          <w:b/>
          <w:bCs/>
          <w:color w:val="0070C0"/>
        </w:rPr>
      </w:pPr>
      <w:r>
        <w:rPr>
          <w:b/>
          <w:bCs/>
          <w:color w:val="0070C0"/>
        </w:rPr>
        <w:t xml:space="preserve">1. UNDRR《地方减灾行动指南》UNDRR Local Disaster Risk </w:t>
      </w:r>
      <w:r>
        <w:rPr>
          <w:rFonts w:hint="eastAsia"/>
          <w:b/>
          <w:bCs/>
          <w:color w:val="0070C0"/>
        </w:rPr>
        <w:t xml:space="preserve">Reduction </w:t>
      </w:r>
      <w:r>
        <w:rPr>
          <w:b/>
          <w:bCs/>
          <w:color w:val="0070C0"/>
        </w:rPr>
        <w:t>Guidelines</w:t>
      </w:r>
    </w:p>
    <w:p w14:paraId="6B723FF6">
      <w:pPr>
        <w:rPr>
          <w:b/>
          <w:bCs/>
        </w:rPr>
      </w:pPr>
      <w:r>
        <w:rPr>
          <w:b/>
          <w:bCs/>
        </w:rPr>
        <w:t>主要内容（Main Contents）</w:t>
      </w:r>
    </w:p>
    <w:p w14:paraId="190CC268">
      <w:pPr/>
      <w:r>
        <w:t>联合国减灾署（UNDRR）强调地方政府和社区在减灾中的重要作用，倡导通过风险识别、灾害预防和公众参与来降低灾害损失。</w:t>
      </w:r>
    </w:p>
    <w:p w14:paraId="198ADF95">
      <w:pPr/>
      <w:r>
        <w:t>The United Nations Office for Disaster Risk Reduction (UNDRR) emphasizes the important role of local governments and communities in disaster risk reduction. It advocates reducing disaster losses through risk identification, disaster prevention, and public participation.</w:t>
      </w:r>
    </w:p>
    <w:p w14:paraId="7FB01BC2">
      <w:pPr>
        <w:rPr>
          <w:b/>
          <w:bCs/>
        </w:rPr>
      </w:pPr>
      <w:r>
        <w:rPr>
          <w:b/>
          <w:bCs/>
        </w:rPr>
        <w:t>核心原则（Key Principles）</w:t>
      </w:r>
    </w:p>
    <w:p w14:paraId="2225F05E">
      <w:pPr>
        <w:numPr>
          <w:ilvl w:val="0"/>
          <w:numId w:val="1"/>
        </w:numPr>
      </w:pPr>
      <w:r>
        <w:t>风险识别与评估（Risk Identification and Assessment）</w:t>
      </w:r>
    </w:p>
    <w:p w14:paraId="2483089D">
      <w:pPr>
        <w:numPr>
          <w:ilvl w:val="1"/>
          <w:numId w:val="1"/>
        </w:numPr>
      </w:pPr>
      <w:r>
        <w:t>提前识别地震风险区域。</w:t>
      </w:r>
    </w:p>
    <w:p w14:paraId="51EE26EE">
      <w:pPr>
        <w:ind w:left="1440"/>
      </w:pPr>
      <w:r>
        <w:t>Identify earthquake-prone areas in advance.</w:t>
      </w:r>
    </w:p>
    <w:p w14:paraId="385865A2">
      <w:pPr>
        <w:numPr>
          <w:ilvl w:val="0"/>
          <w:numId w:val="1"/>
        </w:numPr>
      </w:pPr>
      <w:r>
        <w:t>社区参与（Community Participation）</w:t>
      </w:r>
    </w:p>
    <w:p w14:paraId="323FC448">
      <w:pPr>
        <w:numPr>
          <w:ilvl w:val="1"/>
          <w:numId w:val="1"/>
        </w:numPr>
      </w:pPr>
      <w:r>
        <w:t>鼓励居民参与防灾规划和演练。</w:t>
      </w:r>
    </w:p>
    <w:p w14:paraId="5359BC1F">
      <w:pPr>
        <w:ind w:left="1440"/>
      </w:pPr>
      <w:r>
        <w:t>Encourage residents to participate in disaster planning and drills.</w:t>
      </w:r>
    </w:p>
    <w:p w14:paraId="3492D36B">
      <w:pPr>
        <w:numPr>
          <w:ilvl w:val="0"/>
          <w:numId w:val="1"/>
        </w:numPr>
      </w:pPr>
      <w:r>
        <w:t>防灾教育（Disaster Education）</w:t>
      </w:r>
    </w:p>
    <w:p w14:paraId="7FC587C2">
      <w:pPr>
        <w:numPr>
          <w:ilvl w:val="1"/>
          <w:numId w:val="1"/>
        </w:numPr>
      </w:pPr>
      <w:r>
        <w:t>提高公众防灾意识和应急能力。</w:t>
      </w:r>
    </w:p>
    <w:p w14:paraId="57F62026">
      <w:pPr>
        <w:ind w:left="1440"/>
      </w:pPr>
      <w:r>
        <w:t>Improve public awareness and emergency response capabilities.</w:t>
      </w:r>
    </w:p>
    <w:p w14:paraId="183C499E">
      <w:pPr>
        <w:numPr>
          <w:ilvl w:val="0"/>
          <w:numId w:val="1"/>
        </w:numPr>
      </w:pPr>
      <w:r>
        <w:t>韧性建设（Resilience Building）</w:t>
      </w:r>
    </w:p>
    <w:p w14:paraId="5BE0F6E2">
      <w:pPr>
        <w:numPr>
          <w:ilvl w:val="1"/>
          <w:numId w:val="1"/>
        </w:numPr>
      </w:pPr>
      <w:r>
        <w:t>提高社区抵御和恢复灾害的能力。</w:t>
      </w:r>
    </w:p>
    <w:p w14:paraId="606C16B0">
      <w:pPr>
        <w:ind w:left="1440"/>
      </w:pPr>
      <w:r>
        <w:t>Strengthen the ability of communities to withstand and recover from disasters.</w:t>
      </w:r>
    </w:p>
    <w:p w14:paraId="2DAF4EEE">
      <w:pPr>
        <w:rPr>
          <w:b/>
          <w:bCs/>
        </w:rPr>
      </w:pPr>
      <w:r>
        <w:rPr>
          <w:b/>
          <w:bCs/>
        </w:rPr>
        <w:t>对地震防灾的启示</w:t>
      </w:r>
    </w:p>
    <w:p w14:paraId="3973D701">
      <w:pPr>
        <w:rPr>
          <w:b/>
          <w:bCs/>
        </w:rPr>
      </w:pPr>
      <w:r>
        <w:rPr>
          <w:b/>
          <w:bCs/>
        </w:rPr>
        <w:t>Lessons for Earthquake Preparedness</w:t>
      </w:r>
    </w:p>
    <w:p w14:paraId="2C0C1356">
      <w:pPr>
        <w:numPr>
          <w:ilvl w:val="0"/>
          <w:numId w:val="2"/>
        </w:numPr>
      </w:pPr>
      <w:r>
        <w:t>加强地震风险评估。</w:t>
      </w:r>
    </w:p>
    <w:p w14:paraId="664E9924">
      <w:pPr>
        <w:ind w:left="720"/>
      </w:pPr>
      <w:r>
        <w:t>Strengthen earthquake risk assessments.</w:t>
      </w:r>
    </w:p>
    <w:p w14:paraId="7055DE2E">
      <w:pPr>
        <w:numPr>
          <w:ilvl w:val="0"/>
          <w:numId w:val="2"/>
        </w:numPr>
      </w:pPr>
      <w:r>
        <w:t>建立完善的应急预案。</w:t>
      </w:r>
    </w:p>
    <w:p w14:paraId="29397E54">
      <w:pPr>
        <w:ind w:left="720"/>
      </w:pPr>
      <w:r>
        <w:t>Establish comprehensive emergency response plans.</w:t>
      </w:r>
    </w:p>
    <w:p w14:paraId="1DB01A7C">
      <w:pPr>
        <w:numPr>
          <w:ilvl w:val="0"/>
          <w:numId w:val="2"/>
        </w:numPr>
      </w:pPr>
      <w:r>
        <w:t>定期开展地震疏散演练。</w:t>
      </w:r>
    </w:p>
    <w:p w14:paraId="07F4C2D8">
      <w:pPr>
        <w:ind w:left="720"/>
      </w:pPr>
      <w:r>
        <w:t>Conduct regular earthquake evacuation drills.</w:t>
      </w:r>
    </w:p>
    <w:p w14:paraId="53E389FF">
      <w:pPr>
        <w:numPr>
          <w:ilvl w:val="0"/>
          <w:numId w:val="2"/>
        </w:numPr>
      </w:pPr>
      <w:r>
        <w:t>提高社区整体抗灾能力。</w:t>
      </w:r>
    </w:p>
    <w:p w14:paraId="5B31D7F2">
      <w:pPr>
        <w:ind w:left="720"/>
      </w:pPr>
      <w:r>
        <w:t>Improve overall community resilience.</w:t>
      </w:r>
    </w:p>
    <w:p w14:paraId="19A9E20F">
      <w:pPr>
        <w:rPr>
          <w:b/>
          <w:bCs/>
          <w:color w:val="0070C0"/>
        </w:rPr>
      </w:pPr>
      <w:r>
        <w:rPr>
          <w:b/>
          <w:bCs/>
          <w:color w:val="0070C0"/>
        </w:rPr>
        <w:t>2. 红十字会《家庭应急准备指南》IFRC Family Emergency Preparedness Guide</w:t>
      </w:r>
    </w:p>
    <w:p w14:paraId="25520DAD">
      <w:pPr>
        <w:rPr>
          <w:b/>
          <w:bCs/>
        </w:rPr>
      </w:pPr>
      <w:r>
        <w:rPr>
          <w:b/>
          <w:bCs/>
        </w:rPr>
        <w:t>主要内容（Main Contents）</w:t>
      </w:r>
    </w:p>
    <w:p w14:paraId="57E3707A">
      <w:pPr/>
      <w:r>
        <w:t>红十字会倡导家庭提前做好应急准备，以提高灾害发生时的自救和互救能力。</w:t>
      </w:r>
    </w:p>
    <w:p w14:paraId="4B5ECEDD">
      <w:pPr/>
      <w:r>
        <w:t>The International Federation of Red Cross and Red Crescent Societies (IFRC) encourages families to prepare in advance in order to improve self-help and mutual-aid capabilities during disasters.</w:t>
      </w:r>
    </w:p>
    <w:p w14:paraId="0F32C643">
      <w:pPr>
        <w:rPr>
          <w:b/>
          <w:bCs/>
        </w:rPr>
      </w:pPr>
      <w:r>
        <w:rPr>
          <w:b/>
          <w:bCs/>
        </w:rPr>
        <w:t>核心建议（Key Recommendations）</w:t>
      </w:r>
    </w:p>
    <w:p w14:paraId="29ECA0E1">
      <w:pPr>
        <w:numPr>
          <w:ilvl w:val="0"/>
          <w:numId w:val="3"/>
        </w:numPr>
      </w:pPr>
      <w:r>
        <w:t>准备家庭应急包（Prepare an Emergency Kit）</w:t>
      </w:r>
    </w:p>
    <w:p w14:paraId="75E4957A">
      <w:pPr>
        <w:numPr>
          <w:ilvl w:val="1"/>
          <w:numId w:val="3"/>
        </w:numPr>
      </w:pPr>
      <w:r>
        <w:t>储备饮用水、食品、药品和手电筒等物资。</w:t>
      </w:r>
    </w:p>
    <w:p w14:paraId="5D475CEF">
      <w:pPr>
        <w:ind w:left="1440"/>
      </w:pPr>
      <w:r>
        <w:t>Store water, food, medicine, flashlights, and other emergency supplies.</w:t>
      </w:r>
    </w:p>
    <w:p w14:paraId="15C52128">
      <w:pPr>
        <w:numPr>
          <w:ilvl w:val="0"/>
          <w:numId w:val="3"/>
        </w:numPr>
      </w:pPr>
      <w:r>
        <w:t>制定家庭应急计划（Develop a Family Emergency Plan）</w:t>
      </w:r>
    </w:p>
    <w:p w14:paraId="4695B753">
      <w:pPr>
        <w:numPr>
          <w:ilvl w:val="1"/>
          <w:numId w:val="3"/>
        </w:numPr>
      </w:pPr>
      <w:r>
        <w:t>提前确定集合地点和联系方式。</w:t>
      </w:r>
    </w:p>
    <w:p w14:paraId="78A6C30A">
      <w:pPr>
        <w:ind w:left="1440"/>
      </w:pPr>
      <w:r>
        <w:t>Decide on meeting points and emergency contacts in advance.</w:t>
      </w:r>
    </w:p>
    <w:p w14:paraId="3095594F">
      <w:pPr>
        <w:numPr>
          <w:ilvl w:val="0"/>
          <w:numId w:val="3"/>
        </w:numPr>
      </w:pPr>
      <w:r>
        <w:t>学习急救知识（Learn Basic First Aid）</w:t>
      </w:r>
    </w:p>
    <w:p w14:paraId="6C8FFD25">
      <w:pPr>
        <w:numPr>
          <w:ilvl w:val="1"/>
          <w:numId w:val="3"/>
        </w:numPr>
      </w:pPr>
      <w:r>
        <w:t>提高家庭成员应对突发情况的能力。</w:t>
      </w:r>
    </w:p>
    <w:p w14:paraId="6AEF5F49">
      <w:pPr>
        <w:ind w:left="1440"/>
      </w:pPr>
      <w:r>
        <w:t>Improve the ability of family members to respond to emergencies.</w:t>
      </w:r>
    </w:p>
    <w:p w14:paraId="7C27749E">
      <w:pPr>
        <w:numPr>
          <w:ilvl w:val="0"/>
          <w:numId w:val="3"/>
        </w:numPr>
      </w:pPr>
      <w:r>
        <w:t>熟悉疏散路线（Know Evacuation Routes）</w:t>
      </w:r>
    </w:p>
    <w:p w14:paraId="10B1D068">
      <w:pPr>
        <w:numPr>
          <w:ilvl w:val="1"/>
          <w:numId w:val="3"/>
        </w:numPr>
      </w:pPr>
      <w:r>
        <w:t>了解附近安全区域和避难场所。</w:t>
      </w:r>
    </w:p>
    <w:p w14:paraId="1094D4C4">
      <w:pPr>
        <w:ind w:left="1440"/>
      </w:pPr>
      <w:r>
        <w:t>Be familiar with nearby safe areas and shelters.</w:t>
      </w:r>
    </w:p>
    <w:p w14:paraId="48D60A41">
      <w:pPr>
        <w:rPr>
          <w:color w:val="000000" w:themeColor="text1"/>
          <w:szCs w:val="22"/>
          <w14:textFill>
            <w14:solidFill>
              <w14:schemeClr w14:val="tx1"/>
            </w14:solidFill>
          </w14:textFill>
        </w:rPr>
      </w:pPr>
      <w:r>
        <w:rPr>
          <w:color w:val="000000" w:themeColor="text1"/>
          <w:szCs w:val="22"/>
          <w14:textFill>
            <w14:solidFill>
              <w14:schemeClr w14:val="tx1"/>
            </w14:solidFill>
          </w14:textFill>
        </w:rPr>
        <w:t>对地震防灾的启示Lessons for Earthquake Preparedness</w:t>
      </w:r>
    </w:p>
    <w:p w14:paraId="56543DB9">
      <w:pPr>
        <w:numPr>
          <w:ilvl w:val="0"/>
          <w:numId w:val="4"/>
        </w:numPr>
      </w:pPr>
      <w:r>
        <w:t>家庭是防灾准备的第一单位。</w:t>
      </w:r>
    </w:p>
    <w:p w14:paraId="78D0C170">
      <w:pPr>
        <w:ind w:left="720"/>
      </w:pPr>
      <w:r>
        <w:t>Families are the first unit of disaster preparedness.</w:t>
      </w:r>
    </w:p>
    <w:p w14:paraId="7B99E0B7">
      <w:pPr>
        <w:numPr>
          <w:ilvl w:val="0"/>
          <w:numId w:val="4"/>
        </w:numPr>
      </w:pPr>
      <w:r>
        <w:t>提前准备可减少灾害带来的损失。</w:t>
      </w:r>
    </w:p>
    <w:p w14:paraId="594ED692">
      <w:pPr>
        <w:ind w:left="720"/>
      </w:pPr>
      <w:r>
        <w:t>Advance preparation can reduce disaster losses.</w:t>
      </w:r>
    </w:p>
    <w:p w14:paraId="408A9640">
      <w:pPr>
        <w:numPr>
          <w:ilvl w:val="0"/>
          <w:numId w:val="4"/>
        </w:numPr>
      </w:pPr>
      <w:r>
        <w:t>良好的家庭应急计划有助于提高生存能力。</w:t>
      </w:r>
    </w:p>
    <w:p w14:paraId="6F007C9D">
      <w:pPr>
        <w:ind w:left="720"/>
        <w:rPr>
          <w:rFonts w:hint="eastAsia"/>
        </w:rPr>
      </w:pPr>
      <w:r>
        <w:t>A well-prepared family emergency plan improves survival chances.</w:t>
      </w:r>
    </w:p>
    <w:p w14:paraId="41CE0CF9">
      <w:pPr>
        <w:rPr>
          <w:b/>
          <w:bCs/>
          <w:color w:val="002060"/>
          <w:sz w:val="28"/>
          <w:szCs w:val="28"/>
          <w:u w:val="single"/>
        </w:rPr>
      </w:pPr>
      <w:r>
        <w:rPr>
          <w:b/>
          <w:bCs/>
          <w:color w:val="002060"/>
          <w:sz w:val="28"/>
          <w:szCs w:val="28"/>
          <w:u w:val="single"/>
        </w:rPr>
        <w:t>二、地震防灾成功经验总结</w:t>
      </w:r>
      <w:r>
        <w:rPr>
          <w:b/>
          <w:bCs/>
          <w:color w:val="002060"/>
          <w:u w:val="single"/>
        </w:rPr>
        <w:t>Successful Practices in Earthquake Disaster Prevention</w:t>
      </w:r>
    </w:p>
    <w:p w14:paraId="18D474D7">
      <w:pPr/>
      <w:r>
        <w:t>通过分析中国及其他国家的地震防灾与灾后重建经验，可以总结出一些被广泛证明有效的做法。这些经验有助于减少人员伤亡、降低经济损失，并提高社区恢复能力。</w:t>
      </w:r>
    </w:p>
    <w:p w14:paraId="6A43FDA0">
      <w:pPr>
        <w:rPr>
          <w:rFonts w:hint="eastAsia"/>
        </w:rPr>
      </w:pPr>
      <w:r>
        <w:t>By analyzing earthquake preparedness and post-disaster reconstruction practices in China and other countries, several effective approaches can be identified. These practices help reduce casualties, minimize economic losses, and improve community resilience.</w:t>
      </w:r>
    </w:p>
    <w:p w14:paraId="1B6E3BD8">
      <w:pPr>
        <w:rPr>
          <w:b/>
          <w:bCs/>
          <w:color w:val="0070C0"/>
        </w:rPr>
      </w:pPr>
      <w:r>
        <w:rPr>
          <w:b/>
          <w:bCs/>
          <w:color w:val="0070C0"/>
        </w:rPr>
        <w:t xml:space="preserve">1. 建筑抗震设计Earthquake-Resistant Building </w:t>
      </w:r>
      <w:r>
        <w:rPr>
          <w:b/>
          <w:bCs/>
          <w:color w:val="0070C0"/>
        </w:rPr>
        <w:t>Design</w:t>
      </w:r>
    </w:p>
    <w:p w14:paraId="6EFA81C4">
      <w:pPr/>
      <w:r>
        <w:t>建筑物的抗震能力是减少地震伤亡最重要的因素之一。严格执行建筑规范、提高抗震标准以及加固老旧建筑，能够有效降低建筑倒塌风险。</w:t>
      </w:r>
    </w:p>
    <w:p w14:paraId="7DA68B80">
      <w:pPr/>
      <w:r>
        <w:t>The seismic performance of buildings is one of the most important factors in reducing earthquake casualties. Enforcing building codes, improving seismic standards, and strengthening older structures can significantly reduce the risk of collapse.</w:t>
      </w:r>
    </w:p>
    <w:p w14:paraId="0261173E">
      <w:pPr>
        <w:rPr>
          <w:rFonts w:hint="eastAsia"/>
        </w:rPr>
      </w:pPr>
    </w:p>
    <w:p w14:paraId="154B01C2">
      <w:pPr>
        <w:rPr>
          <w:b/>
          <w:bCs/>
        </w:rPr>
      </w:pPr>
      <w:r>
        <w:rPr>
          <w:b/>
          <w:bCs/>
        </w:rPr>
        <w:t>经验总结（Key Lesson）</w:t>
      </w:r>
    </w:p>
    <w:p w14:paraId="798F226D">
      <w:pPr>
        <w:numPr>
          <w:ilvl w:val="0"/>
          <w:numId w:val="5"/>
        </w:numPr>
      </w:pPr>
      <w:r>
        <w:t>提高建筑抗震标准可以显著减少人员伤亡。</w:t>
      </w:r>
    </w:p>
    <w:p w14:paraId="03289D39">
      <w:pPr>
        <w:ind w:left="720"/>
      </w:pPr>
      <w:r>
        <w:t>Stronger seismic standards can significantly reduce casualties.</w:t>
      </w:r>
    </w:p>
    <w:p w14:paraId="48243D4B">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6DA0A136">
      <w:pPr>
        <w:rPr>
          <w:b/>
          <w:bCs/>
          <w:color w:val="0070C0"/>
        </w:rPr>
      </w:pPr>
      <w:r>
        <w:rPr>
          <w:b/>
          <w:bCs/>
          <w:color w:val="0070C0"/>
        </w:rPr>
        <w:t>2. 风险评估与科学规划Risk Assessment and Scientific Planning</w:t>
      </w:r>
    </w:p>
    <w:p w14:paraId="4655750D">
      <w:pPr/>
      <w:r>
        <w:t>在城市建设和灾后重建过程中，应充分考虑地震活动情况、地质条件以及周边环境风险，避免在高风险区域进行大规模建设。</w:t>
      </w:r>
    </w:p>
    <w:p w14:paraId="577844DE">
      <w:pPr/>
      <w:r>
        <w:t>During urban development and post-disaster reconstruction, seismic activity, geological conditions, and environmental risks should be carefully considered to avoid large-scale construction in hazardous areas.</w:t>
      </w:r>
    </w:p>
    <w:p w14:paraId="3BF6EDFD">
      <w:pPr>
        <w:rPr>
          <w:b/>
          <w:bCs/>
        </w:rPr>
      </w:pPr>
      <w:r>
        <w:rPr>
          <w:b/>
          <w:bCs/>
        </w:rPr>
        <w:t>经验总结（Key Lesson）</w:t>
      </w:r>
    </w:p>
    <w:p w14:paraId="0B14C79F">
      <w:pPr>
        <w:numPr>
          <w:ilvl w:val="0"/>
          <w:numId w:val="6"/>
        </w:numPr>
      </w:pPr>
      <w:r>
        <w:t>科学规划能够有效降低未来灾害风险。</w:t>
      </w:r>
    </w:p>
    <w:p w14:paraId="373AE7E5">
      <w:pPr>
        <w:numPr>
          <w:ilvl w:val="0"/>
          <w:numId w:val="6"/>
        </w:numPr>
      </w:pPr>
      <w:r>
        <w:t>Scientific planning can effectively reduce future disaster risks.</w:t>
      </w:r>
    </w:p>
    <w:p w14:paraId="0B73FB0D">
      <w:pPr>
        <w:ind w:left="720"/>
        <w:rPr>
          <w:rFonts w:hint="eastAsia"/>
        </w:rPr>
      </w:pPr>
    </w:p>
    <w:p w14:paraId="69DEFA74">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3C008964">
      <w:pPr>
        <w:rPr>
          <w:b/>
          <w:bCs/>
          <w:color w:val="0070C0"/>
        </w:rPr>
      </w:pPr>
      <w:r>
        <w:rPr>
          <w:b/>
          <w:bCs/>
          <w:color w:val="0070C0"/>
        </w:rPr>
        <w:t>3. 防灾教育与应急演练Disaster Education and Emergency Drills</w:t>
      </w:r>
    </w:p>
    <w:p w14:paraId="7BA39F23">
      <w:pPr/>
      <w:r>
        <w:t>定期开展防灾教育和地震演练能够帮助公众掌握正确的避险方法，提高应急反应能力。</w:t>
      </w:r>
    </w:p>
    <w:p w14:paraId="4F1CEB70">
      <w:pPr/>
      <w:r>
        <w:t>Regular disaster education and earthquake drills help the public learn proper safety procedures and improve emergency response capabilities.</w:t>
      </w:r>
    </w:p>
    <w:p w14:paraId="23810CEB">
      <w:pPr>
        <w:rPr>
          <w:b/>
          <w:bCs/>
        </w:rPr>
      </w:pPr>
      <w:r>
        <w:rPr>
          <w:b/>
          <w:bCs/>
        </w:rPr>
        <w:t>经验总结（Key Lesson）</w:t>
      </w:r>
    </w:p>
    <w:p w14:paraId="28D9560F">
      <w:pPr>
        <w:numPr>
          <w:ilvl w:val="0"/>
          <w:numId w:val="7"/>
        </w:numPr>
      </w:pPr>
      <w:r>
        <w:t>持续演练能够提高公众面对灾害时的应变能力。</w:t>
      </w:r>
    </w:p>
    <w:p w14:paraId="34C74A40">
      <w:pPr>
        <w:ind w:left="720"/>
      </w:pPr>
      <w:r>
        <w:t>Continuous drills improve public preparedness during disasters.</w:t>
      </w:r>
    </w:p>
    <w:p w14:paraId="059C87E0">
      <w:pPr>
        <w:ind w:left="720"/>
        <w:rPr>
          <w:rFonts w:hint="eastAsia"/>
        </w:rPr>
      </w:pPr>
    </w:p>
    <w:p w14:paraId="5C785A0E">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46633CC4">
      <w:pPr>
        <w:rPr>
          <w:b/>
          <w:bCs/>
          <w:color w:val="0070C0"/>
        </w:rPr>
      </w:pPr>
      <w:r>
        <w:rPr>
          <w:b/>
          <w:bCs/>
          <w:color w:val="0070C0"/>
        </w:rPr>
        <w:t>4. 社区参与与公众合作Community Participation and Public Cooperation</w:t>
      </w:r>
    </w:p>
    <w:p w14:paraId="681EF5E8">
      <w:pPr/>
      <w:r>
        <w:t>社区是防灾减灾的重要基础。居民积极参与防灾规划、志愿服务和应急培训，有助于提升整体防灾能力。</w:t>
      </w:r>
    </w:p>
    <w:p w14:paraId="06CCA2CC">
      <w:pPr/>
      <w:r>
        <w:t>Communities play a fundamental role in disaster risk reduction. Public participation in disaster planning, volunteer work, and emergency training helps strengthen overall preparedness.</w:t>
      </w:r>
    </w:p>
    <w:p w14:paraId="738E1398">
      <w:pPr>
        <w:rPr>
          <w:b/>
          <w:bCs/>
        </w:rPr>
      </w:pPr>
      <w:r>
        <w:rPr>
          <w:b/>
          <w:bCs/>
        </w:rPr>
        <w:t>经验总结（Key Lesson）</w:t>
      </w:r>
    </w:p>
    <w:p w14:paraId="2C92A3DC">
      <w:pPr>
        <w:numPr>
          <w:ilvl w:val="0"/>
          <w:numId w:val="8"/>
        </w:numPr>
      </w:pPr>
      <w:r>
        <w:t>社区参与能够提高灾害应对效率。</w:t>
      </w:r>
    </w:p>
    <w:p w14:paraId="10A4E94B">
      <w:pPr>
        <w:ind w:left="720"/>
      </w:pPr>
      <w:r>
        <w:t>Community participation improves disaster response effectiveness.</w:t>
      </w:r>
    </w:p>
    <w:p w14:paraId="2196A8D5">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BC42A40">
      <w:pPr>
        <w:rPr>
          <w:b/>
          <w:bCs/>
          <w:color w:val="0070C0"/>
        </w:rPr>
      </w:pPr>
      <w:r>
        <w:rPr>
          <w:b/>
          <w:bCs/>
          <w:color w:val="0070C0"/>
        </w:rPr>
        <w:t>5. 灾后快速恢复与重建Rapid Recovery and Reconstruction</w:t>
      </w:r>
    </w:p>
    <w:p w14:paraId="7F9593EA">
      <w:pPr/>
      <w:r>
        <w:t>地震发生后，快速恢复交通、供水、电力和医疗服务，有助于保障居民基本生活需求，并促进社会秩序恢复。</w:t>
      </w:r>
    </w:p>
    <w:p w14:paraId="285880D4">
      <w:pPr/>
      <w:r>
        <w:t>After an earthquake, restoring transportation, water supply, electricity, and healthcare services helps meet basic needs and supports social recovery.</w:t>
      </w:r>
    </w:p>
    <w:p w14:paraId="66531290">
      <w:pPr>
        <w:rPr>
          <w:b/>
          <w:bCs/>
        </w:rPr>
      </w:pPr>
      <w:r>
        <w:rPr>
          <w:b/>
          <w:bCs/>
        </w:rPr>
        <w:t>经验总结（Key Lesson）</w:t>
      </w:r>
    </w:p>
    <w:p w14:paraId="1BFC1E71">
      <w:pPr>
        <w:numPr>
          <w:ilvl w:val="0"/>
          <w:numId w:val="9"/>
        </w:numPr>
      </w:pPr>
      <w:r>
        <w:t>快速重建能够缩短灾后恢复时间，提高社区韧性。</w:t>
      </w:r>
    </w:p>
    <w:p w14:paraId="32289FC1">
      <w:pPr>
        <w:ind w:left="720"/>
      </w:pPr>
      <w:r>
        <w:t>Rapid reconstruction shortens recovery time and enhances community resilience.</w:t>
      </w:r>
    </w:p>
    <w:p w14:paraId="76147A37">
      <w:pPr>
        <w:ind w:left="720"/>
        <w:rPr>
          <w:rFonts w:hint="eastAsia"/>
        </w:rPr>
      </w:pPr>
    </w:p>
    <w:p w14:paraId="5B858C9F">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2D70A3FA">
      <w:pPr>
        <w:rPr>
          <w:b/>
          <w:bCs/>
        </w:rPr>
      </w:pPr>
      <w:r>
        <w:rPr>
          <w:b/>
          <w:bCs/>
        </w:rPr>
        <w:t>本部分总结</w:t>
      </w:r>
    </w:p>
    <w:p w14:paraId="554F7D18">
      <w:pPr>
        <w:rPr>
          <w:b/>
          <w:bCs/>
        </w:rPr>
      </w:pPr>
      <w:r>
        <w:rPr>
          <w:b/>
          <w:bCs/>
        </w:rPr>
        <w:t>Section Summary</w:t>
      </w:r>
    </w:p>
    <w:p w14:paraId="657EE24D">
      <w:pPr/>
      <w:r>
        <w:t>成功的地震防灾和重建通常具有以下共同特点：完善的抗震建筑标准、科学的风险评估、持续的防灾教育、积极的社区参与以及高效的灾后恢复机制。</w:t>
      </w:r>
    </w:p>
    <w:p w14:paraId="3CDEDC73">
      <w:pPr>
        <w:rPr>
          <w:rFonts w:hint="eastAsia"/>
        </w:rPr>
      </w:pPr>
      <w:r>
        <w:t>Successful earthquake preparedness and reconstruction generally share several characteristics: strong seismic building standards, effective risk assessment, continuous disaster education, active community participation, and efficient post-disaster recovery mechanisms.</w:t>
      </w:r>
    </w:p>
    <w:p w14:paraId="1BE4D21E">
      <w:pPr>
        <w:numPr>
          <w:ilvl w:val="0"/>
          <w:numId w:val="10"/>
        </w:numPr>
        <w:rPr>
          <w:b/>
          <w:bCs/>
          <w:color w:val="002060"/>
          <w:sz w:val="28"/>
          <w:szCs w:val="28"/>
          <w:u w:val="single"/>
        </w:rPr>
      </w:pPr>
      <w:r>
        <w:rPr>
          <w:b/>
          <w:bCs/>
          <w:color w:val="002060"/>
          <w:sz w:val="28"/>
          <w:szCs w:val="28"/>
          <w:u w:val="single"/>
        </w:rPr>
        <w:t>地震重建失败教训总结</w:t>
      </w:r>
    </w:p>
    <w:p w14:paraId="4959D8D2">
      <w:pPr>
        <w:numPr>
          <w:numId w:val="0"/>
        </w:numPr>
        <w:rPr>
          <w:b/>
          <w:bCs/>
          <w:color w:val="002060"/>
          <w:sz w:val="28"/>
          <w:szCs w:val="28"/>
          <w:u w:val="single"/>
        </w:rPr>
      </w:pPr>
      <w:r>
        <w:rPr>
          <w:b/>
          <w:bCs/>
          <w:color w:val="002060"/>
        </w:rPr>
        <w:t>Lessons Learned from Earthquake Reconstruction Failures</w:t>
      </w:r>
    </w:p>
    <w:p w14:paraId="16DFC70F">
      <w:pPr/>
      <w:r>
        <w:t>除了成功经验之外，过去的地震灾害和重建过程也提供了许多重要教训。这些教训能够帮助政府、社区和居民避免重复错误，提高未来防灾减灾和灾后恢复工作的效果。</w:t>
      </w:r>
    </w:p>
    <w:p w14:paraId="21E44AF7">
      <w:pPr/>
      <w:r>
        <w:t>In addition to successful practices, past earthquakes and reconstruction efforts have provided important lessons. These lessons can help governments, communities, and residents avoid repeating mistakes and improve future disaster preparedness and recovery.</w:t>
      </w:r>
    </w:p>
    <w:p w14:paraId="3C701DEF">
      <w:pPr>
        <w:rPr>
          <w:b/>
          <w:bCs/>
          <w:color w:val="0070C0"/>
        </w:rPr>
      </w:pPr>
      <w:r>
        <w:rPr>
          <w:b/>
          <w:bCs/>
          <w:color w:val="0070C0"/>
        </w:rPr>
        <w:t>1. 重建选址不合理Inappropriate Site Selection for Reconstruction</w:t>
      </w:r>
    </w:p>
    <w:p w14:paraId="34391C83">
      <w:pPr/>
      <w:r>
        <w:t>部分地区在灾后重建时忽视地质条件和自然灾害风险，导致重建区域再次受到滑坡、泥石流或其他次生灾害影响。</w:t>
      </w:r>
    </w:p>
    <w:p w14:paraId="0E079A65">
      <w:pPr/>
      <w:r>
        <w:t>In some areas, reconstruction was carried out without fully considering geological conditions and disaster risks, resulting in renewed exposure to landslides, debris flows, or other secondary hazards.</w:t>
      </w:r>
    </w:p>
    <w:p w14:paraId="54BACF22">
      <w:pPr>
        <w:rPr>
          <w:b/>
          <w:bCs/>
        </w:rPr>
      </w:pPr>
      <w:r>
        <w:rPr>
          <w:b/>
          <w:bCs/>
        </w:rPr>
        <w:t>教训总结（Key Lesson）</w:t>
      </w:r>
    </w:p>
    <w:p w14:paraId="1DA93F45">
      <w:pPr>
        <w:numPr>
          <w:ilvl w:val="0"/>
          <w:numId w:val="11"/>
        </w:numPr>
      </w:pPr>
      <w:r>
        <w:t>重建前必须进行科学的风险评估。</w:t>
      </w:r>
    </w:p>
    <w:p w14:paraId="00ECED79">
      <w:pPr>
        <w:ind w:left="720"/>
      </w:pPr>
      <w:r>
        <w:t>Scientific risk assessments must be conducted before reconstruction.</w:t>
      </w:r>
    </w:p>
    <w:p w14:paraId="1C5EDF4D">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3EA7329D">
      <w:pPr>
        <w:rPr>
          <w:b/>
          <w:bCs/>
          <w:color w:val="0070C0"/>
        </w:rPr>
      </w:pPr>
      <w:r>
        <w:rPr>
          <w:b/>
          <w:bCs/>
          <w:color w:val="0070C0"/>
        </w:rPr>
        <w:t>2. 建筑标准不足Inadequate Building Standards</w:t>
      </w:r>
    </w:p>
    <w:p w14:paraId="2F4D8F12">
      <w:pPr/>
      <w:r>
        <w:t>部分建筑在设计和施工过程中未严格执行抗震规范，导致地震发生时建筑受损严重，增加人员伤亡和经济损失。</w:t>
      </w:r>
    </w:p>
    <w:p w14:paraId="4D767DCE">
      <w:pPr/>
      <w:r>
        <w:t>Some buildings failed to comply with seismic standards during design and construction, resulting in severe damage, casualties, and economic losses during earthquakes.</w:t>
      </w:r>
    </w:p>
    <w:p w14:paraId="55C520A0">
      <w:pPr>
        <w:rPr>
          <w:b/>
          <w:bCs/>
        </w:rPr>
      </w:pPr>
      <w:r>
        <w:rPr>
          <w:b/>
          <w:bCs/>
        </w:rPr>
        <w:t>教训总结（Key Lesson）</w:t>
      </w:r>
    </w:p>
    <w:p w14:paraId="06817D55">
      <w:pPr>
        <w:numPr>
          <w:ilvl w:val="0"/>
          <w:numId w:val="12"/>
        </w:numPr>
      </w:pPr>
      <w:r>
        <w:t>抗震标准必须严格执行。</w:t>
      </w:r>
    </w:p>
    <w:p w14:paraId="30B1EC3D">
      <w:pPr>
        <w:ind w:left="720"/>
      </w:pPr>
      <w:r>
        <w:t>Seismic standards must be strictly enforced.</w:t>
      </w:r>
    </w:p>
    <w:p w14:paraId="34C0A924">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64958579">
      <w:pPr>
        <w:rPr>
          <w:b/>
          <w:bCs/>
          <w:color w:val="0070C0"/>
        </w:rPr>
      </w:pPr>
      <w:r>
        <w:rPr>
          <w:b/>
          <w:bCs/>
          <w:color w:val="0070C0"/>
        </w:rPr>
        <w:t>3. 忽视次生灾害风险Neglecting Secondary Hazards</w:t>
      </w:r>
    </w:p>
    <w:p w14:paraId="572E5FFA">
      <w:pPr/>
      <w:r>
        <w:t>地震可能引发滑坡、火灾、地面塌陷等次生灾害。如果缺乏预防措施，灾害损失可能进一步扩大。</w:t>
      </w:r>
    </w:p>
    <w:p w14:paraId="2924DEAD">
      <w:pPr/>
      <w:r>
        <w:t>Earthquakes may trigger secondary hazards such as landslides, fires, and ground collapse. Without preventive measures, disaster losses may increase significantly.</w:t>
      </w:r>
    </w:p>
    <w:p w14:paraId="067F590F">
      <w:pPr>
        <w:rPr>
          <w:b/>
          <w:bCs/>
        </w:rPr>
      </w:pPr>
      <w:r>
        <w:rPr>
          <w:b/>
          <w:bCs/>
        </w:rPr>
        <w:t>教训总结（Key Lesson）</w:t>
      </w:r>
    </w:p>
    <w:p w14:paraId="5E884F7E">
      <w:pPr>
        <w:numPr>
          <w:ilvl w:val="0"/>
          <w:numId w:val="13"/>
        </w:numPr>
      </w:pPr>
      <w:r>
        <w:t>灾后重建应同时考虑次生灾害风险。</w:t>
      </w:r>
    </w:p>
    <w:p w14:paraId="2E5E73B6">
      <w:pPr>
        <w:ind w:left="720"/>
      </w:pPr>
      <w:r>
        <w:t>Reconstruction planning should address secondary hazards as well.</w:t>
      </w:r>
    </w:p>
    <w:p w14:paraId="7889C5E9">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6C1C5A87">
      <w:pPr>
        <w:rPr>
          <w:b/>
          <w:bCs/>
          <w:color w:val="0070C0"/>
        </w:rPr>
      </w:pPr>
      <w:r>
        <w:rPr>
          <w:b/>
          <w:bCs/>
          <w:color w:val="0070C0"/>
        </w:rPr>
        <w:t>4. 缺乏公众防灾意识Lack of Public Disaster Awareness</w:t>
      </w:r>
    </w:p>
    <w:p w14:paraId="16C9DCD7">
      <w:pPr/>
      <w:r>
        <w:t>部分居民缺乏必要的防灾知识和应急技能，在灾害发生时难以及时采取正确行动。</w:t>
      </w:r>
    </w:p>
    <w:p w14:paraId="5929D7E1">
      <w:pPr/>
      <w:r>
        <w:t>Some residents lack basic disaster preparedness knowledge and emergency skills, making it difficult to respond effectively during disasters.</w:t>
      </w:r>
    </w:p>
    <w:p w14:paraId="354BC049">
      <w:pPr>
        <w:rPr>
          <w:b/>
          <w:bCs/>
        </w:rPr>
      </w:pPr>
      <w:r>
        <w:rPr>
          <w:b/>
          <w:bCs/>
        </w:rPr>
        <w:t>教训总结（Key Lesson）</w:t>
      </w:r>
    </w:p>
    <w:p w14:paraId="361C796D">
      <w:pPr>
        <w:numPr>
          <w:ilvl w:val="0"/>
          <w:numId w:val="14"/>
        </w:numPr>
      </w:pPr>
      <w:r>
        <w:t>持续开展防灾教育十分重要。</w:t>
      </w:r>
    </w:p>
    <w:p w14:paraId="7D6B1A51">
      <w:pPr>
        <w:ind w:left="720"/>
      </w:pPr>
      <w:r>
        <w:t>Continuous disaster education is essential.</w:t>
      </w:r>
    </w:p>
    <w:p w14:paraId="10DD9FD2">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214901A6">
      <w:pPr>
        <w:rPr>
          <w:b/>
          <w:bCs/>
          <w:color w:val="0070C0"/>
        </w:rPr>
      </w:pPr>
      <w:r>
        <w:rPr>
          <w:b/>
          <w:bCs/>
          <w:color w:val="0070C0"/>
        </w:rPr>
        <w:t>5. 忽视心理援助与社会支持</w:t>
      </w:r>
    </w:p>
    <w:p w14:paraId="08D1064A">
      <w:pPr>
        <w:rPr>
          <w:b/>
          <w:bCs/>
        </w:rPr>
      </w:pPr>
      <w:r>
        <w:rPr>
          <w:b/>
          <w:bCs/>
        </w:rPr>
        <w:t>Neglecting Psychological Support and Social Assistance</w:t>
      </w:r>
    </w:p>
    <w:p w14:paraId="55EAF536">
      <w:pPr/>
      <w:r>
        <w:t>地震不仅造成物质损失，也可能对幸存者造成长期心理影响。忽视心理援助可能影响个人和社区的恢复过程。</w:t>
      </w:r>
    </w:p>
    <w:p w14:paraId="31CDF887">
      <w:pPr/>
      <w:r>
        <w:t>Earthquakes not only cause physical damage but may also have long-term psychological effects on survivors. Neglecting psychological support can slow personal and community recovery.</w:t>
      </w:r>
    </w:p>
    <w:p w14:paraId="45C419B3">
      <w:pPr>
        <w:rPr>
          <w:b/>
          <w:bCs/>
        </w:rPr>
      </w:pPr>
      <w:r>
        <w:rPr>
          <w:b/>
          <w:bCs/>
        </w:rPr>
        <w:t>教训总结（Key Lesson）</w:t>
      </w:r>
    </w:p>
    <w:p w14:paraId="0F1ACCE2">
      <w:pPr>
        <w:numPr>
          <w:ilvl w:val="0"/>
          <w:numId w:val="15"/>
        </w:numPr>
      </w:pPr>
      <w:r>
        <w:t>灾后恢复应同时关注心理健康和社会支持。</w:t>
      </w:r>
    </w:p>
    <w:p w14:paraId="1232C050">
      <w:pPr>
        <w:ind w:left="720"/>
      </w:pPr>
      <w:r>
        <w:t>Post-disaster recovery should address both mental health and social support.</w:t>
      </w:r>
    </w:p>
    <w:p w14:paraId="4008781B">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1FF482BF">
      <w:pPr>
        <w:rPr>
          <w:b/>
          <w:bCs/>
        </w:rPr>
      </w:pPr>
      <w:r>
        <w:rPr>
          <w:b/>
          <w:bCs/>
        </w:rPr>
        <w:t>本部分总结</w:t>
      </w:r>
    </w:p>
    <w:p w14:paraId="02489230">
      <w:pPr>
        <w:rPr>
          <w:b/>
          <w:bCs/>
        </w:rPr>
      </w:pPr>
      <w:r>
        <w:rPr>
          <w:b/>
          <w:bCs/>
        </w:rPr>
        <w:t>Section Summary</w:t>
      </w:r>
    </w:p>
    <w:p w14:paraId="351CE2C7">
      <w:pPr/>
      <w:r>
        <w:t>历史经验表明，重建选址不当、建筑标准不足、忽视次生灾害、防灾意识薄弱以及缺乏心理援助，都是灾后恢复过程中常见的问题。吸取这些教训有助于提高未来地震防灾和重建工作的质量。</w:t>
      </w:r>
    </w:p>
    <w:p w14:paraId="3034ADA2">
      <w:pPr/>
      <w:r>
        <w:t>Past experiences show that poor site selection, inadequate building standards, neglect of secondary hazards, weak disaster awareness, and insufficient psychological support are common challenges in post-disaster recovery. Learning from these lessons can improve future earthquake preparedness and reconstruction efforts</w:t>
      </w:r>
    </w:p>
    <w:p w14:paraId="11B8EBE2">
      <w:pPr>
        <w:rPr>
          <w:rFonts w:hint="eastAsia"/>
        </w:rPr>
      </w:pPr>
    </w:p>
    <w:p w14:paraId="3E885B22">
      <w:pPr>
        <w:rPr>
          <w:b/>
          <w:bCs/>
          <w:color w:val="002060"/>
          <w:sz w:val="28"/>
          <w:szCs w:val="28"/>
          <w:u w:val="single"/>
        </w:rPr>
      </w:pPr>
      <w:r>
        <w:rPr>
          <w:b/>
          <w:bCs/>
          <w:color w:val="002060"/>
          <w:sz w:val="28"/>
          <w:szCs w:val="28"/>
          <w:u w:val="single"/>
        </w:rPr>
        <w:t>四、与案例库建设的关系</w:t>
      </w:r>
      <w:r>
        <w:rPr>
          <w:b/>
          <w:bCs/>
          <w:color w:val="002060"/>
          <w:u w:val="single"/>
        </w:rPr>
        <w:t>Relationship to the Case Library</w:t>
      </w:r>
    </w:p>
    <w:p w14:paraId="101CFA60">
      <w:pPr/>
      <w:r>
        <w:t>本部分总结的成功经验和失败教训，可作为案例分析的评价标准，用于比较不同国家和地区的地震防灾与灾后重建实践，并为机器人提供“教训参考”功能。</w:t>
      </w:r>
    </w:p>
    <w:p w14:paraId="42BDFDB5">
      <w:pPr/>
      <w:r>
        <w:t>The successful practices and lessons learned summarized in this report can serve as evaluation criteria for case analysis, support comparisons among different countries and regions, and provide lesson-based references for the disaster-response chatbot.</w:t>
      </w:r>
    </w:p>
    <w:p w14:paraId="2BE91BED">
      <w:pPr/>
    </w:p>
    <w:p w14:paraId="20D60177">
      <w:pPr>
        <w:rPr>
          <w:b/>
          <w:bCs/>
        </w:rPr>
      </w:pPr>
      <w:r>
        <w:rPr>
          <w:b/>
          <w:bCs/>
          <w:color w:val="002060"/>
          <w:sz w:val="28"/>
          <w:szCs w:val="28"/>
          <w:u w:val="single"/>
        </w:rPr>
        <w:t>五、总结</w:t>
      </w:r>
      <w:r>
        <w:rPr>
          <w:b/>
          <w:bCs/>
          <w:color w:val="002060"/>
          <w:u w:val="single"/>
        </w:rPr>
        <w:t>Overall Conclusion</w:t>
      </w:r>
    </w:p>
    <w:p w14:paraId="5870939B">
      <w:pPr/>
      <w:r>
        <w:t>通过整理国际防灾指南并总结地震防灾成功经验与失败教训，本报告为案例库建设提供了统一的分析框架，同时为机器人提供了可参考的知识依据和经验支持。</w:t>
      </w:r>
    </w:p>
    <w:p w14:paraId="71DB8782">
      <w:pPr/>
      <w:r>
        <w:t>By reviewing international disaster risk reduction guidelines and summarizing successful practices and lessons learned from earthquake disasters, this report provides a unified analytical framework for the case library and serves as a knowledge base for the disaster-response chatbot.</w:t>
      </w:r>
    </w:p>
    <w:p w14:paraId="220B13B6">
      <w:pPr>
        <w:rPr>
          <w:rFonts w:hint="eastAsia"/>
        </w:rPr>
      </w:pPr>
    </w:p>
    <w:p w14:paraId="64DA2337">
      <w:pPr>
        <w:rPr>
          <w:b/>
          <w:bCs/>
          <w:color w:val="7030A0"/>
          <w:sz w:val="28"/>
          <w:szCs w:val="28"/>
          <w:u w:val="single"/>
        </w:rPr>
      </w:pPr>
      <w:r>
        <w:rPr>
          <w:b/>
          <w:bCs/>
          <w:color w:val="7030A0"/>
          <w:sz w:val="28"/>
          <w:szCs w:val="28"/>
          <w:u w:val="single"/>
        </w:rPr>
        <w:t>References</w:t>
      </w:r>
    </w:p>
    <w:p w14:paraId="35DF016B">
      <w:pPr>
        <w:pStyle w:val="29"/>
        <w:numPr>
          <w:ilvl w:val="0"/>
          <w:numId w:val="16"/>
        </w:numPr>
        <w:rPr>
          <w:color w:val="9DC3E6" w:themeColor="accent5" w:themeTint="99"/>
          <w14:textFill>
            <w14:solidFill>
              <w14:schemeClr w14:val="accent5">
                <w14:lumMod w14:val="60000"/>
                <w14:lumOff w14:val="40000"/>
              </w14:schemeClr>
            </w14:solidFill>
          </w14:textFill>
        </w:rPr>
      </w:pPr>
      <w:r>
        <w:rPr>
          <w:color w:val="9DC3E6" w:themeColor="accent5" w:themeTint="99"/>
          <w14:textFill>
            <w14:solidFill>
              <w14:schemeClr w14:val="accent5">
                <w14:lumMod w14:val="60000"/>
                <w14:lumOff w14:val="40000"/>
              </w14:schemeClr>
            </w14:solidFill>
          </w14:textFill>
        </w:rPr>
        <w:t xml:space="preserve">United Nations Office for Disaster Risk Reduction (UNDRR). </w:t>
      </w:r>
      <w:r>
        <w:rPr>
          <w:i/>
          <w:iCs/>
          <w:color w:val="9DC3E6" w:themeColor="accent5" w:themeTint="99"/>
          <w14:textFill>
            <w14:solidFill>
              <w14:schemeClr w14:val="accent5">
                <w14:lumMod w14:val="60000"/>
                <w14:lumOff w14:val="40000"/>
              </w14:schemeClr>
            </w14:solidFill>
          </w14:textFill>
        </w:rPr>
        <w:t>Local Disaster Risk Reduction Guidelines</w:t>
      </w:r>
      <w:r>
        <w:rPr>
          <w:color w:val="9DC3E6" w:themeColor="accent5" w:themeTint="99"/>
          <w14:textFill>
            <w14:solidFill>
              <w14:schemeClr w14:val="accent5">
                <w14:lumMod w14:val="60000"/>
                <w14:lumOff w14:val="40000"/>
              </w14:schemeClr>
            </w14:solidFill>
          </w14:textFill>
        </w:rPr>
        <w:t xml:space="preserve">. </w:t>
      </w:r>
      <w:r>
        <w:rPr>
          <w:color w:val="000000" w:themeColor="text1"/>
          <w14:textFill>
            <w14:solidFill>
              <w14:schemeClr w14:val="tx1"/>
            </w14:solidFill>
          </w14:textFill>
        </w:rPr>
        <w:t>Available at:</w:t>
      </w:r>
      <w:r>
        <w:rPr>
          <w:color w:val="9DC3E6" w:themeColor="accent5" w:themeTint="99"/>
          <w14:textFill>
            <w14:solidFill>
              <w14:schemeClr w14:val="accent5">
                <w14:lumMod w14:val="60000"/>
                <w14:lumOff w14:val="40000"/>
              </w14:schemeClr>
            </w14:solidFill>
          </w14:textFill>
        </w:rPr>
        <w:t xml:space="preserve"> </w:t>
      </w:r>
      <w:r>
        <w:fldChar w:fldCharType="begin"/>
      </w:r>
      <w:r>
        <w:instrText xml:space="preserve"> HYPERLINK "https://www.undrr.org" \t "_new" </w:instrText>
      </w:r>
      <w:r>
        <w:fldChar w:fldCharType="separate"/>
      </w:r>
      <w:r>
        <w:rPr>
          <w:rStyle w:val="14"/>
          <w:color w:val="49A1FA" w:themeColor="hyperlink" w:themeTint="99"/>
          <w14:textFill>
            <w14:solidFill>
              <w14:schemeClr w14:val="hlink">
                <w14:lumMod w14:val="60000"/>
                <w14:lumOff w14:val="40000"/>
              </w14:schemeClr>
            </w14:solidFill>
          </w14:textFill>
        </w:rPr>
        <w:t>https://www.undrr.org</w:t>
      </w:r>
      <w:r>
        <w:rPr>
          <w:rStyle w:val="14"/>
          <w:color w:val="49A1FA" w:themeColor="hyperlink" w:themeTint="99"/>
          <w14:textFill>
            <w14:solidFill>
              <w14:schemeClr w14:val="hlink">
                <w14:lumMod w14:val="60000"/>
                <w14:lumOff w14:val="40000"/>
              </w14:schemeClr>
            </w14:solidFill>
          </w14:textFill>
        </w:rPr>
        <w:fldChar w:fldCharType="end"/>
      </w:r>
      <w:r>
        <w:rPr>
          <w:color w:val="9DC3E6" w:themeColor="accent5" w:themeTint="99"/>
          <w14:textFill>
            <w14:solidFill>
              <w14:schemeClr w14:val="accent5">
                <w14:lumMod w14:val="60000"/>
                <w14:lumOff w14:val="40000"/>
              </w14:schemeClr>
            </w14:solidFill>
          </w14:textFill>
        </w:rPr>
        <w:t xml:space="preserve"> </w:t>
      </w:r>
    </w:p>
    <w:p w14:paraId="50170A5C">
      <w:pPr>
        <w:pStyle w:val="29"/>
        <w:numPr>
          <w:ilvl w:val="0"/>
          <w:numId w:val="16"/>
        </w:numPr>
        <w:rPr>
          <w:rFonts w:hint="eastAsia"/>
        </w:rPr>
      </w:pPr>
      <w:r>
        <w:rPr>
          <w:color w:val="9DC3E6" w:themeColor="accent5" w:themeTint="99"/>
          <w14:textFill>
            <w14:solidFill>
              <w14:schemeClr w14:val="accent5">
                <w14:lumMod w14:val="60000"/>
                <w14:lumOff w14:val="40000"/>
              </w14:schemeClr>
            </w14:solidFill>
          </w14:textFill>
        </w:rPr>
        <w:t xml:space="preserve">International Federation of Red Cross and Red Crescent Societies (IFRC). </w:t>
      </w:r>
      <w:r>
        <w:rPr>
          <w:i/>
          <w:iCs/>
          <w:color w:val="9DC3E6" w:themeColor="accent5" w:themeTint="99"/>
          <w14:textFill>
            <w14:solidFill>
              <w14:schemeClr w14:val="accent5">
                <w14:lumMod w14:val="60000"/>
                <w14:lumOff w14:val="40000"/>
              </w14:schemeClr>
            </w14:solidFill>
          </w14:textFill>
        </w:rPr>
        <w:t>Family Emergency Preparedness Guide</w:t>
      </w:r>
      <w:r>
        <w:rPr>
          <w:color w:val="9DC3E6" w:themeColor="accent5" w:themeTint="99"/>
          <w14:textFill>
            <w14:solidFill>
              <w14:schemeClr w14:val="accent5">
                <w14:lumMod w14:val="60000"/>
                <w14:lumOff w14:val="40000"/>
              </w14:schemeClr>
            </w14:solidFill>
          </w14:textFill>
        </w:rPr>
        <w:t xml:space="preserve">. </w:t>
      </w:r>
      <w:r>
        <w:rPr>
          <w:color w:val="000000" w:themeColor="text1"/>
          <w14:textFill>
            <w14:solidFill>
              <w14:schemeClr w14:val="tx1"/>
            </w14:solidFill>
          </w14:textFill>
        </w:rPr>
        <w:t>Available at:</w:t>
      </w:r>
      <w:r>
        <w:rPr>
          <w:color w:val="9DC3E6" w:themeColor="accent5" w:themeTint="99"/>
          <w14:textFill>
            <w14:solidFill>
              <w14:schemeClr w14:val="accent5">
                <w14:lumMod w14:val="60000"/>
                <w14:lumOff w14:val="40000"/>
              </w14:schemeClr>
            </w14:solidFill>
          </w14:textFill>
        </w:rPr>
        <w:t xml:space="preserve"> </w:t>
      </w:r>
      <w:r>
        <w:fldChar w:fldCharType="begin"/>
      </w:r>
      <w:r>
        <w:instrText xml:space="preserve"> HYPERLINK "https://www.ifrc.org" \t "_new" </w:instrText>
      </w:r>
      <w:r>
        <w:fldChar w:fldCharType="separate"/>
      </w:r>
      <w:r>
        <w:rPr>
          <w:rStyle w:val="14"/>
          <w:color w:val="49A1FA" w:themeColor="hyperlink" w:themeTint="99"/>
          <w14:textFill>
            <w14:solidFill>
              <w14:schemeClr w14:val="hlink">
                <w14:lumMod w14:val="60000"/>
                <w14:lumOff w14:val="40000"/>
              </w14:schemeClr>
            </w14:solidFill>
          </w14:textFill>
        </w:rPr>
        <w:t>https://www.ifrc.org</w:t>
      </w:r>
      <w:r>
        <w:rPr>
          <w:rStyle w:val="14"/>
          <w:color w:val="49A1FA" w:themeColor="hyperlink" w:themeTint="99"/>
          <w14:textFill>
            <w14:solidFill>
              <w14:schemeClr w14:val="hlink">
                <w14:lumMod w14:val="60000"/>
                <w14:lumOff w14:val="40000"/>
              </w14:schemeClr>
            </w14:solidFill>
          </w14:textFill>
        </w:rPr>
        <w:fldChar w:fldCharType="end"/>
      </w:r>
    </w:p>
    <w:p w14:paraId="7B3DBC8A">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DengXian">
    <w:altName w:val="等线"/>
    <w:panose1 w:val="02010600030101010101"/>
    <w:charset w:val="86"/>
    <w:family w:val="auto"/>
    <w:pitch w:val="default"/>
    <w:sig w:usb0="00000000" w:usb1="00000000" w:usb2="00000016" w:usb3="00000000" w:csb0="0004000F" w:csb1="00000000"/>
  </w:font>
  <w:font w:name="Calibri Light">
    <w:panose1 w:val="020F0302020204030204"/>
    <w:charset w:val="00"/>
    <w:family w:val="swiss"/>
    <w:pitch w:val="default"/>
    <w:sig w:usb0="00000000" w:usb1="00000000" w:usb2="00000009" w:usb3="00000000" w:csb0="000001FF" w:csb1="00000000"/>
  </w:font>
  <w:font w:name="DengXian Light">
    <w:altName w:val="等线 Light"/>
    <w:panose1 w:val="02010600030101010101"/>
    <w:charset w:val="86"/>
    <w:family w:val="auto"/>
    <w:pitch w:val="default"/>
    <w:sig w:usb0="00000000" w:usb1="00000000" w:usb2="00000016" w:usb3="00000000" w:csb0="0004000F" w:csb1="00000000"/>
  </w:font>
  <w:font w:name="等线">
    <w:panose1 w:val="00000000000000000000"/>
    <w:charset w:val="00"/>
    <w:family w:val="auto"/>
    <w:pitch w:val="default"/>
    <w:sig w:usb0="00000000" w:usb1="00000000" w:usb2="00000000" w:usb3="00000000" w:csb0="00000000" w:csb1="00000000"/>
  </w:font>
  <w:font w:name="Arial Unicode MS">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00000000" w:usb1="00000000"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3C10"/>
    <w:multiLevelType w:val="multilevel"/>
    <w:tmpl w:val="000A3C1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12C33F4"/>
    <w:multiLevelType w:val="multilevel"/>
    <w:tmpl w:val="012C33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654580"/>
    <w:multiLevelType w:val="multilevel"/>
    <w:tmpl w:val="086545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266953"/>
    <w:multiLevelType w:val="multilevel"/>
    <w:tmpl w:val="0B2669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031315"/>
    <w:multiLevelType w:val="multilevel"/>
    <w:tmpl w:val="0C031315"/>
    <w:lvl w:ilvl="0" w:tentative="0">
      <w:start w:val="1"/>
      <w:numFmt w:val="decimal"/>
      <w:lvlText w:val="%1."/>
      <w:lvlJc w:val="left"/>
      <w:pPr>
        <w:ind w:left="440" w:hanging="440"/>
      </w:pPr>
      <w:rPr>
        <w:color w:val="7030A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0D37EB1"/>
    <w:multiLevelType w:val="multilevel"/>
    <w:tmpl w:val="20D37E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15D23EE"/>
    <w:multiLevelType w:val="multilevel"/>
    <w:tmpl w:val="215D23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61A3251"/>
    <w:multiLevelType w:val="multilevel"/>
    <w:tmpl w:val="361A32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0B0656"/>
    <w:multiLevelType w:val="multilevel"/>
    <w:tmpl w:val="5B0B06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DC50C4A"/>
    <w:multiLevelType w:val="multilevel"/>
    <w:tmpl w:val="5DC50C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DCD3D78"/>
    <w:multiLevelType w:val="multilevel"/>
    <w:tmpl w:val="5DCD3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A27FE1E"/>
    <w:multiLevelType w:val="singleLevel"/>
    <w:tmpl w:val="6A27FE1E"/>
    <w:lvl w:ilvl="0" w:tentative="0">
      <w:start w:val="3"/>
      <w:numFmt w:val="chineseCounting"/>
      <w:lvlText w:val="%1、"/>
      <w:lvlJc w:val="left"/>
    </w:lvl>
  </w:abstractNum>
  <w:abstractNum w:abstractNumId="12">
    <w:nsid w:val="6FA55BB8"/>
    <w:multiLevelType w:val="multilevel"/>
    <w:tmpl w:val="6FA55BB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7401A3F"/>
    <w:multiLevelType w:val="multilevel"/>
    <w:tmpl w:val="77401A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8F63C0E"/>
    <w:multiLevelType w:val="multilevel"/>
    <w:tmpl w:val="78F63C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DDB172F"/>
    <w:multiLevelType w:val="multilevel"/>
    <w:tmpl w:val="7DDB17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15"/>
  </w:num>
  <w:num w:numId="3">
    <w:abstractNumId w:val="0"/>
  </w:num>
  <w:num w:numId="4">
    <w:abstractNumId w:val="10"/>
  </w:num>
  <w:num w:numId="5">
    <w:abstractNumId w:val="6"/>
  </w:num>
  <w:num w:numId="6">
    <w:abstractNumId w:val="8"/>
  </w:num>
  <w:num w:numId="7">
    <w:abstractNumId w:val="2"/>
  </w:num>
  <w:num w:numId="8">
    <w:abstractNumId w:val="13"/>
  </w:num>
  <w:num w:numId="9">
    <w:abstractNumId w:val="3"/>
  </w:num>
  <w:num w:numId="10">
    <w:abstractNumId w:val="11"/>
  </w:num>
  <w:num w:numId="11">
    <w:abstractNumId w:val="9"/>
  </w:num>
  <w:num w:numId="12">
    <w:abstractNumId w:val="14"/>
  </w:num>
  <w:num w:numId="13">
    <w:abstractNumId w:val="7"/>
  </w:num>
  <w:num w:numId="14">
    <w:abstractNumId w:val="1"/>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MY" w:eastAsia="zh-CN"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3">
    <w:name w:val="Default Paragraph Font"/>
    <w:unhideWhenUsed/>
    <w:uiPriority w:val="1"/>
  </w:style>
  <w:style w:type="table" w:default="1" w:styleId="15">
    <w:name w:val="Normal Table"/>
    <w:unhideWhenUsed/>
    <w:uiPriority w:val="99"/>
    <w:tblPr>
      <w:tblLayout w:type="fixed"/>
      <w:tblCellMar>
        <w:top w:w="0" w:type="dxa"/>
        <w:left w:w="108" w:type="dxa"/>
        <w:bottom w:w="0" w:type="dxa"/>
        <w:right w:w="108" w:type="dxa"/>
      </w:tblCellMar>
    </w:tblPr>
  </w:style>
  <w:style w:type="paragraph" w:styleId="11">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4">
    <w:name w:val="Hyperlink"/>
    <w:basedOn w:val="13"/>
    <w:unhideWhenUsed/>
    <w:uiPriority w:val="99"/>
    <w:rPr>
      <w:color w:val="0563C1" w:themeColor="hyperlink"/>
      <w:u w:val="single"/>
      <w14:textFill>
        <w14:solidFill>
          <w14:schemeClr w14:val="hlink"/>
        </w14:solidFill>
      </w14:textFill>
    </w:rPr>
  </w:style>
  <w:style w:type="character" w:customStyle="1" w:styleId="16">
    <w:name w:val="Heading 1 Char"/>
    <w:basedOn w:val="13"/>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3"/>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3"/>
    <w:link w:val="4"/>
    <w:semiHidden/>
    <w:uiPriority w:val="9"/>
    <w:rPr>
      <w:rFonts w:eastAsiaTheme="majorEastAsia" w:cstheme="majorBidi"/>
      <w:color w:val="2F5597" w:themeColor="accent1" w:themeShade="BF"/>
      <w:sz w:val="28"/>
      <w:szCs w:val="28"/>
    </w:rPr>
  </w:style>
  <w:style w:type="character" w:customStyle="1" w:styleId="19">
    <w:name w:val="Heading 4 Char"/>
    <w:basedOn w:val="13"/>
    <w:link w:val="5"/>
    <w:semiHidden/>
    <w:uiPriority w:val="9"/>
    <w:rPr>
      <w:rFonts w:eastAsiaTheme="majorEastAsia" w:cstheme="majorBidi"/>
      <w:i/>
      <w:iCs/>
      <w:color w:val="2F5597" w:themeColor="accent1" w:themeShade="BF"/>
    </w:rPr>
  </w:style>
  <w:style w:type="character" w:customStyle="1" w:styleId="20">
    <w:name w:val="Heading 5 Char"/>
    <w:basedOn w:val="13"/>
    <w:link w:val="6"/>
    <w:semiHidden/>
    <w:uiPriority w:val="9"/>
    <w:rPr>
      <w:rFonts w:eastAsiaTheme="majorEastAsia" w:cstheme="majorBidi"/>
      <w:color w:val="2F5597" w:themeColor="accent1" w:themeShade="BF"/>
    </w:rPr>
  </w:style>
  <w:style w:type="character" w:customStyle="1" w:styleId="21">
    <w:name w:val="Heading 6 Char"/>
    <w:basedOn w:val="13"/>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3"/>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3"/>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3"/>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3"/>
    <w:link w:val="12"/>
    <w:uiPriority w:val="10"/>
    <w:rPr>
      <w:rFonts w:asciiTheme="majorHAnsi" w:hAnsiTheme="majorHAnsi" w:eastAsiaTheme="majorEastAsia" w:cstheme="majorBidi"/>
      <w:spacing w:val="-10"/>
      <w:kern w:val="28"/>
      <w:sz w:val="56"/>
      <w:szCs w:val="56"/>
    </w:rPr>
  </w:style>
  <w:style w:type="character" w:customStyle="1" w:styleId="26">
    <w:name w:val="Subtitle Char"/>
    <w:basedOn w:val="13"/>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3"/>
    <w:link w:val="27"/>
    <w:uiPriority w:val="29"/>
    <w:rPr>
      <w:i/>
      <w:iCs/>
      <w:color w:val="404040" w:themeColor="text1" w:themeTint="BF"/>
      <w14:textFill>
        <w14:solidFill>
          <w14:schemeClr w14:val="tx1">
            <w14:lumMod w14:val="75000"/>
            <w14:lumOff w14:val="25000"/>
          </w14:schemeClr>
        </w14:solidFill>
      </w14:textFill>
    </w:rPr>
  </w:style>
  <w:style w:type="paragraph" w:customStyle="1" w:styleId="29">
    <w:name w:val="List Paragraph"/>
    <w:basedOn w:val="1"/>
    <w:qFormat/>
    <w:uiPriority w:val="34"/>
    <w:pPr>
      <w:ind w:left="720"/>
      <w:contextualSpacing/>
    </w:pPr>
  </w:style>
  <w:style w:type="character" w:customStyle="1" w:styleId="30">
    <w:name w:val="Intense Emphasis"/>
    <w:basedOn w:val="13"/>
    <w:qFormat/>
    <w:uiPriority w:val="21"/>
    <w:rPr>
      <w:i/>
      <w:iCs/>
      <w:color w:val="2F5597" w:themeColor="accent1" w:themeShade="BF"/>
    </w:rPr>
  </w:style>
  <w:style w:type="paragraph" w:customStyle="1"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3"/>
    <w:link w:val="31"/>
    <w:uiPriority w:val="30"/>
    <w:rPr>
      <w:i/>
      <w:iCs/>
      <w:color w:val="2F5597" w:themeColor="accent1" w:themeShade="BF"/>
    </w:rPr>
  </w:style>
  <w:style w:type="character" w:customStyle="1" w:styleId="33">
    <w:name w:val="Intense Reference"/>
    <w:basedOn w:val="13"/>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1074</Words>
  <Characters>6123</Characters>
  <Lines>51</Lines>
  <Paragraphs>14</Paragraphs>
  <ScaleCrop>false</ScaleCrop>
  <LinksUpToDate>false</LinksUpToDate>
  <CharactersWithSpaces>7183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user</dc:creator>
  <cp:lastModifiedBy>iPad</cp:lastModifiedBy>
  <dcterms:modified xsi:type="dcterms:W3CDTF">2026-06-09T19:58:04Z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94C3B7E5A2A862622FFD276A73D9EF5D_33</vt:lpwstr>
  </property>
  <property fmtid="{D5CDD505-2E9C-101B-9397-08002B2CF9AE}" pid="3" name="KSOProductBuildVer">
    <vt:lpwstr>2052-12.45.1</vt:lpwstr>
  </property>
</Properties>
</file>