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png" ContentType="image/png"/>
  <Override PartName="/word/media/rId80.png" ContentType="image/png"/>
  <Override PartName="/word/media/rId134.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Medicaid Information Technology Architecture (MITA) 4.0 - TEST SITE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welcome-to-mita-4.0"/>
    <w:p>
      <w:pPr>
        <w:pStyle w:val="Heading1"/>
      </w:pPr>
      <w:r>
        <w:t xml:space="preserve">Welcome to MITA 4.0</w:t>
      </w:r>
    </w:p>
    <w:bookmarkStart w:id="23" w:name="welcome-to-mita-4.0-1"/>
    <w:p>
      <w:pPr>
        <w:pStyle w:val="Heading2"/>
      </w:pPr>
      <w:r>
        <w:t xml:space="preserve">Welcome to MITA 4.0</w:t>
      </w:r>
    </w:p>
    <w:p>
      <w:pPr>
        <w:pStyle w:val="FirstParagraph"/>
      </w:pPr>
      <w:r>
        <w:t xml:space="preserve">Welcome to the MITA 4.0 documentation. This resource provides comprehensive guidance on understanding, implementing, and maximizing the benefits of MITA 4.0 for Medicaid Enterprise Systems (MES).</w:t>
      </w:r>
    </w:p>
    <w:bookmarkStart w:id="20" w:name="what-is-mita-4.0"/>
    <w:p>
      <w:pPr>
        <w:pStyle w:val="Heading3"/>
      </w:pPr>
      <w:r>
        <w:t xml:space="preserve">What is MITA 4.0?</w:t>
      </w:r>
    </w:p>
    <w:p>
      <w:pPr>
        <w:pStyle w:val="FirstParagraph"/>
      </w:pPr>
      <w:r>
        <w:t xml:space="preserve">The Medicaid Information Technology Architecture (MITA) 4.0 is a framework designed to help states and territories develop and implement enterprise-wide information technology systems that support Medicaid business processes. MITA 4.0 represents the latest evolution of this framework, incorporating modern approaches to enterprise architecture and outcomes-based planning.</w:t>
      </w:r>
    </w:p>
    <w:bookmarkEnd w:id="20"/>
    <w:bookmarkStart w:id="21" w:name="getting-started"/>
    <w:p>
      <w:pPr>
        <w:pStyle w:val="Heading3"/>
      </w:pPr>
      <w:r>
        <w:t xml:space="preserve">Getting Started</w:t>
      </w:r>
    </w:p>
    <w:p>
      <w:pPr>
        <w:pStyle w:val="FirstParagraph"/>
      </w:pPr>
      <w:r>
        <w:t xml:space="preserve">Use the navigation menu to explore:</w:t>
      </w:r>
    </w:p>
    <w:p>
      <w:pPr>
        <w:pStyle w:val="Compact"/>
        <w:numPr>
          <w:ilvl w:val="0"/>
          <w:numId w:val="1001"/>
        </w:numPr>
      </w:pPr>
      <w:r>
        <w:rPr>
          <w:b/>
          <w:bCs/>
        </w:rPr>
        <w:t xml:space="preserve">Introduction to MITA 4.0</w:t>
      </w:r>
      <w:r>
        <w:t xml:space="preserve">: Learn about what MITA 4.0 is, its new features, benefits, and how to use it effectively</w:t>
      </w:r>
    </w:p>
    <w:p>
      <w:pPr>
        <w:pStyle w:val="Compact"/>
        <w:numPr>
          <w:ilvl w:val="0"/>
          <w:numId w:val="1001"/>
        </w:numPr>
      </w:pPr>
      <w:r>
        <w:rPr>
          <w:b/>
          <w:bCs/>
        </w:rPr>
        <w:t xml:space="preserve">Understanding MITA 4.0</w:t>
      </w:r>
      <w:r>
        <w:t xml:space="preserve">: Deep dive into the core concepts including outcomes-based planning, capabilities, business functions, and state self-assessment</w:t>
      </w:r>
    </w:p>
    <w:p>
      <w:pPr>
        <w:pStyle w:val="Compact"/>
        <w:numPr>
          <w:ilvl w:val="0"/>
          <w:numId w:val="1001"/>
        </w:numPr>
      </w:pPr>
      <w:r>
        <w:rPr>
          <w:b/>
          <w:bCs/>
        </w:rPr>
        <w:t xml:space="preserve">Implementing MITA 4.0</w:t>
      </w:r>
      <w:r>
        <w:t xml:space="preserve">: Step-by-step guidance for implementing MITA 4.0 in your organization</w:t>
      </w:r>
    </w:p>
    <w:p>
      <w:pPr>
        <w:pStyle w:val="Compact"/>
        <w:numPr>
          <w:ilvl w:val="0"/>
          <w:numId w:val="1001"/>
        </w:numPr>
      </w:pPr>
      <w:r>
        <w:rPr>
          <w:b/>
          <w:bCs/>
        </w:rPr>
        <w:t xml:space="preserve">MITA Reference Models</w:t>
      </w:r>
      <w:r>
        <w:t xml:space="preserve">: Access comprehensive reference models for capabilities, business processes, information, and technology</w:t>
      </w:r>
    </w:p>
    <w:p>
      <w:pPr>
        <w:pStyle w:val="Compact"/>
        <w:numPr>
          <w:ilvl w:val="0"/>
          <w:numId w:val="1001"/>
        </w:numPr>
      </w:pPr>
      <w:r>
        <w:rPr>
          <w:b/>
          <w:bCs/>
        </w:rPr>
        <w:t xml:space="preserve">Tools and Resources</w:t>
      </w:r>
      <w:r>
        <w:t xml:space="preserve">: Utilize practical tools and templates to support your MITA implementation</w:t>
      </w:r>
    </w:p>
    <w:bookmarkEnd w:id="21"/>
    <w:bookmarkStart w:id="22" w:name="key-benefits"/>
    <w:p>
      <w:pPr>
        <w:pStyle w:val="Heading3"/>
      </w:pPr>
      <w:r>
        <w:t xml:space="preserve">Key Benefits</w:t>
      </w:r>
    </w:p>
    <w:p>
      <w:pPr>
        <w:pStyle w:val="Compact"/>
        <w:numPr>
          <w:ilvl w:val="0"/>
          <w:numId w:val="1002"/>
        </w:numPr>
      </w:pPr>
      <w:r>
        <w:t xml:space="preserve">Improved alignment between business needs and technology solutions</w:t>
      </w:r>
    </w:p>
    <w:p>
      <w:pPr>
        <w:pStyle w:val="Compact"/>
        <w:numPr>
          <w:ilvl w:val="0"/>
          <w:numId w:val="1002"/>
        </w:numPr>
      </w:pPr>
      <w:r>
        <w:t xml:space="preserve">Enhanced interoperability across systems</w:t>
      </w:r>
    </w:p>
    <w:p>
      <w:pPr>
        <w:pStyle w:val="Compact"/>
        <w:numPr>
          <w:ilvl w:val="0"/>
          <w:numId w:val="1002"/>
        </w:numPr>
      </w:pPr>
      <w:r>
        <w:t xml:space="preserve">Better outcomes measurement and tracking</w:t>
      </w:r>
    </w:p>
    <w:p>
      <w:pPr>
        <w:pStyle w:val="Compact"/>
        <w:numPr>
          <w:ilvl w:val="0"/>
          <w:numId w:val="1002"/>
        </w:numPr>
      </w:pPr>
      <w:r>
        <w:t xml:space="preserve">Streamlined state self-assessment processes</w:t>
      </w:r>
    </w:p>
    <w:p>
      <w:pPr>
        <w:pStyle w:val="Compact"/>
        <w:numPr>
          <w:ilvl w:val="0"/>
          <w:numId w:val="1002"/>
        </w:numPr>
      </w:pPr>
      <w:r>
        <w:t xml:space="preserve">Alignment with CMS requirements and guidance</w:t>
      </w:r>
    </w:p>
    <w:p>
      <w:pPr>
        <w:pStyle w:val="FirstParagraph"/>
      </w:pPr>
      <w:r>
        <w:t xml:space="preserve">For questions or support, please refer to the Contact Us section.</w:t>
      </w:r>
    </w:p>
    <w:bookmarkEnd w:id="22"/>
    <w:bookmarkEnd w:id="23"/>
    <w:bookmarkEnd w:id="24"/>
    <w:bookmarkStart w:id="29" w:name="welcome-to-mita-4.0-2"/>
    <w:p>
      <w:pPr>
        <w:pStyle w:val="Heading1"/>
      </w:pPr>
      <w:r>
        <w:t xml:space="preserve">Welcome to MITA 4.0</w:t>
      </w:r>
    </w:p>
    <w:bookmarkStart w:id="28" w:name="welcome-to-mita-4.0-3"/>
    <w:p>
      <w:pPr>
        <w:pStyle w:val="Heading2"/>
      </w:pPr>
      <w:r>
        <w:t xml:space="preserve">Welcome to MITA 4.0</w:t>
      </w:r>
    </w:p>
    <w:p>
      <w:pPr>
        <w:pStyle w:val="FirstParagraph"/>
      </w:pPr>
      <w:r>
        <w:t xml:space="preserve">Welcome to the MITA 4.0 documentation. This resource provides comprehensive guidance on understanding, implementing, and maximizing the benefits of MITA 4.0 for Medicaid Enterprise Systems (MES).</w:t>
      </w:r>
    </w:p>
    <w:bookmarkStart w:id="25" w:name="what-is-mita-4.0-1"/>
    <w:p>
      <w:pPr>
        <w:pStyle w:val="Heading3"/>
      </w:pPr>
      <w:r>
        <w:t xml:space="preserve">What is MITA 4.0?</w:t>
      </w:r>
    </w:p>
    <w:p>
      <w:pPr>
        <w:pStyle w:val="FirstParagraph"/>
      </w:pPr>
      <w:r>
        <w:t xml:space="preserve">The Medicaid Information Technology Architecture (MITA) 4.0 is a framework designed to help states and territories develop and implement enterprise-wide information technology systems that support Medicaid business processes. MITA 4.0 represents the latest evolution of this framework, incorporating modern approaches to enterprise architecture and outcomes-based planning.</w:t>
      </w:r>
    </w:p>
    <w:bookmarkEnd w:id="25"/>
    <w:bookmarkStart w:id="26" w:name="getting-started-1"/>
    <w:p>
      <w:pPr>
        <w:pStyle w:val="Heading3"/>
      </w:pPr>
      <w:r>
        <w:t xml:space="preserve">Getting Started</w:t>
      </w:r>
    </w:p>
    <w:p>
      <w:pPr>
        <w:pStyle w:val="FirstParagraph"/>
      </w:pPr>
      <w:r>
        <w:t xml:space="preserve">Use the navigation menu to explore:</w:t>
      </w:r>
    </w:p>
    <w:p>
      <w:pPr>
        <w:pStyle w:val="Compact"/>
        <w:numPr>
          <w:ilvl w:val="0"/>
          <w:numId w:val="1003"/>
        </w:numPr>
      </w:pPr>
      <w:r>
        <w:rPr>
          <w:b/>
          <w:bCs/>
        </w:rPr>
        <w:t xml:space="preserve">Introduction to MITA 4.0</w:t>
      </w:r>
      <w:r>
        <w:t xml:space="preserve">: Learn about what MITA 4.0 is, its new features, benefits, and how to use it effectively</w:t>
      </w:r>
    </w:p>
    <w:p>
      <w:pPr>
        <w:pStyle w:val="Compact"/>
        <w:numPr>
          <w:ilvl w:val="0"/>
          <w:numId w:val="1003"/>
        </w:numPr>
      </w:pPr>
      <w:r>
        <w:rPr>
          <w:b/>
          <w:bCs/>
        </w:rPr>
        <w:t xml:space="preserve">Understanding MITA 4.0</w:t>
      </w:r>
      <w:r>
        <w:t xml:space="preserve">: Deep dive into the core concepts including outcomes-based planning, capabilities, business functions, and state self-assessment</w:t>
      </w:r>
    </w:p>
    <w:p>
      <w:pPr>
        <w:pStyle w:val="Compact"/>
        <w:numPr>
          <w:ilvl w:val="0"/>
          <w:numId w:val="1003"/>
        </w:numPr>
      </w:pPr>
      <w:r>
        <w:rPr>
          <w:b/>
          <w:bCs/>
        </w:rPr>
        <w:t xml:space="preserve">Implementing MITA 4.0</w:t>
      </w:r>
      <w:r>
        <w:t xml:space="preserve">: Step-by-step guidance for implementing MITA 4.0 in your organization</w:t>
      </w:r>
    </w:p>
    <w:p>
      <w:pPr>
        <w:pStyle w:val="Compact"/>
        <w:numPr>
          <w:ilvl w:val="0"/>
          <w:numId w:val="1003"/>
        </w:numPr>
      </w:pPr>
      <w:r>
        <w:rPr>
          <w:b/>
          <w:bCs/>
        </w:rPr>
        <w:t xml:space="preserve">MITA Reference Models</w:t>
      </w:r>
      <w:r>
        <w:t xml:space="preserve">: Access comprehensive reference models for capabilities, business processes, information, and technology</w:t>
      </w:r>
    </w:p>
    <w:p>
      <w:pPr>
        <w:pStyle w:val="Compact"/>
        <w:numPr>
          <w:ilvl w:val="0"/>
          <w:numId w:val="1003"/>
        </w:numPr>
      </w:pPr>
      <w:r>
        <w:rPr>
          <w:b/>
          <w:bCs/>
        </w:rPr>
        <w:t xml:space="preserve">Tools and Resources</w:t>
      </w:r>
      <w:r>
        <w:t xml:space="preserve">: Utilize practical tools and templates to support your MITA implementation</w:t>
      </w:r>
    </w:p>
    <w:bookmarkEnd w:id="26"/>
    <w:bookmarkStart w:id="27" w:name="key-benefits-1"/>
    <w:p>
      <w:pPr>
        <w:pStyle w:val="Heading3"/>
      </w:pPr>
      <w:r>
        <w:t xml:space="preserve">Key Benefits</w:t>
      </w:r>
    </w:p>
    <w:p>
      <w:pPr>
        <w:pStyle w:val="Compact"/>
        <w:numPr>
          <w:ilvl w:val="0"/>
          <w:numId w:val="1004"/>
        </w:numPr>
      </w:pPr>
      <w:r>
        <w:t xml:space="preserve">Improved alignment between business needs and technology solutions</w:t>
      </w:r>
    </w:p>
    <w:p>
      <w:pPr>
        <w:pStyle w:val="Compact"/>
        <w:numPr>
          <w:ilvl w:val="0"/>
          <w:numId w:val="1004"/>
        </w:numPr>
      </w:pPr>
      <w:r>
        <w:t xml:space="preserve">Enhanced interoperability across systems</w:t>
      </w:r>
    </w:p>
    <w:p>
      <w:pPr>
        <w:pStyle w:val="Compact"/>
        <w:numPr>
          <w:ilvl w:val="0"/>
          <w:numId w:val="1004"/>
        </w:numPr>
      </w:pPr>
      <w:r>
        <w:t xml:space="preserve">Better outcomes measurement and tracking</w:t>
      </w:r>
    </w:p>
    <w:p>
      <w:pPr>
        <w:pStyle w:val="Compact"/>
        <w:numPr>
          <w:ilvl w:val="0"/>
          <w:numId w:val="1004"/>
        </w:numPr>
      </w:pPr>
      <w:r>
        <w:t xml:space="preserve">Streamlined state self-assessment processes</w:t>
      </w:r>
    </w:p>
    <w:p>
      <w:pPr>
        <w:pStyle w:val="Compact"/>
        <w:numPr>
          <w:ilvl w:val="0"/>
          <w:numId w:val="1004"/>
        </w:numPr>
      </w:pPr>
      <w:r>
        <w:t xml:space="preserve">Alignment with CMS requirements and guidance</w:t>
      </w:r>
    </w:p>
    <w:p>
      <w:pPr>
        <w:pStyle w:val="FirstParagraph"/>
      </w:pPr>
      <w:r>
        <w:t xml:space="preserve">For questions or support, please refer to the Contact Us section.</w:t>
      </w:r>
    </w:p>
    <w:bookmarkEnd w:id="27"/>
    <w:bookmarkEnd w:id="28"/>
    <w:bookmarkEnd w:id="29"/>
    <w:bookmarkStart w:id="41" w:name="new-features-in-mita-4.0"/>
    <w:p>
      <w:pPr>
        <w:pStyle w:val="Heading1"/>
      </w:pPr>
      <w:r>
        <w:t xml:space="preserve">New Features in MITA 4.0</w:t>
      </w:r>
    </w:p>
    <w:bookmarkStart w:id="40" w:name="new-features-in-mita-4.0-1"/>
    <w:p>
      <w:pPr>
        <w:pStyle w:val="Heading2"/>
      </w:pPr>
      <w:r>
        <w:t xml:space="preserve">New Features in MITA 4.0</w:t>
      </w:r>
    </w:p>
    <w:p>
      <w:pPr>
        <w:pStyle w:val="FirstParagraph"/>
      </w:pPr>
      <w:r>
        <w:t xml:space="preserve">MITA 4.0 introduces several significant enhancements and new features that modernize the framework and make it more effective for state Medicaid agencies.</w:t>
      </w:r>
    </w:p>
    <w:bookmarkStart w:id="36" w:name="key-new-features"/>
    <w:p>
      <w:pPr>
        <w:pStyle w:val="Heading3"/>
      </w:pPr>
      <w:r>
        <w:t xml:space="preserve">Key New Features</w:t>
      </w:r>
    </w:p>
    <w:bookmarkStart w:id="30" w:name="outcomes-based-planning"/>
    <w:p>
      <w:pPr>
        <w:pStyle w:val="Heading4"/>
      </w:pPr>
      <w:r>
        <w:t xml:space="preserve">1. Outcomes-Based Planning</w:t>
      </w:r>
    </w:p>
    <w:p>
      <w:pPr>
        <w:pStyle w:val="FirstParagraph"/>
      </w:pPr>
      <w:r>
        <w:t xml:space="preserve">MITA 4.0 places outcomes at the forefront of planning and implementation. This approach ensures that technology investments directly support measurable business outcomes and strategic goals.</w:t>
      </w:r>
    </w:p>
    <w:bookmarkEnd w:id="30"/>
    <w:bookmarkStart w:id="31" w:name="enhanced-capability-model"/>
    <w:p>
      <w:pPr>
        <w:pStyle w:val="Heading4"/>
      </w:pPr>
      <w:r>
        <w:t xml:space="preserve">2. Enhanced Capability Model</w:t>
      </w:r>
    </w:p>
    <w:p>
      <w:pPr>
        <w:pStyle w:val="Compact"/>
        <w:numPr>
          <w:ilvl w:val="0"/>
          <w:numId w:val="1005"/>
        </w:numPr>
      </w:pPr>
      <w:r>
        <w:t xml:space="preserve">More granular capability definitions</w:t>
      </w:r>
    </w:p>
    <w:p>
      <w:pPr>
        <w:pStyle w:val="Compact"/>
        <w:numPr>
          <w:ilvl w:val="0"/>
          <w:numId w:val="1005"/>
        </w:numPr>
      </w:pPr>
      <w:r>
        <w:t xml:space="preserve">Better alignment with modern Medicaid business processes</w:t>
      </w:r>
    </w:p>
    <w:p>
      <w:pPr>
        <w:pStyle w:val="Compact"/>
        <w:numPr>
          <w:ilvl w:val="0"/>
          <w:numId w:val="1005"/>
        </w:numPr>
      </w:pPr>
      <w:r>
        <w:t xml:space="preserve">Improved mapping to business, information, and technical architectures</w:t>
      </w:r>
    </w:p>
    <w:bookmarkEnd w:id="31"/>
    <w:bookmarkStart w:id="32" w:name="modernized-reference-models"/>
    <w:p>
      <w:pPr>
        <w:pStyle w:val="Heading4"/>
      </w:pPr>
      <w:r>
        <w:t xml:space="preserve">3. Modernized Reference Models</w:t>
      </w:r>
    </w:p>
    <w:p>
      <w:pPr>
        <w:pStyle w:val="Compact"/>
        <w:numPr>
          <w:ilvl w:val="0"/>
          <w:numId w:val="1006"/>
        </w:numPr>
      </w:pPr>
      <w:r>
        <w:t xml:space="preserve">Updated Business Reference Model reflecting current Medicaid operations</w:t>
      </w:r>
    </w:p>
    <w:p>
      <w:pPr>
        <w:pStyle w:val="Compact"/>
        <w:numPr>
          <w:ilvl w:val="0"/>
          <w:numId w:val="1006"/>
        </w:numPr>
      </w:pPr>
      <w:r>
        <w:t xml:space="preserve">Enhanced Information Architecture guidance</w:t>
      </w:r>
    </w:p>
    <w:p>
      <w:pPr>
        <w:pStyle w:val="Compact"/>
        <w:numPr>
          <w:ilvl w:val="0"/>
          <w:numId w:val="1006"/>
        </w:numPr>
      </w:pPr>
      <w:r>
        <w:t xml:space="preserve">Contemporary Technical Architecture patterns and standards</w:t>
      </w:r>
    </w:p>
    <w:bookmarkEnd w:id="32"/>
    <w:bookmarkStart w:id="33" w:name="streamlined-state-self-assessment"/>
    <w:p>
      <w:pPr>
        <w:pStyle w:val="Heading4"/>
      </w:pPr>
      <w:r>
        <w:t xml:space="preserve">4. Streamlined State Self-Assessment</w:t>
      </w:r>
    </w:p>
    <w:p>
      <w:pPr>
        <w:pStyle w:val="Compact"/>
        <w:numPr>
          <w:ilvl w:val="0"/>
          <w:numId w:val="1007"/>
        </w:numPr>
      </w:pPr>
      <w:r>
        <w:t xml:space="preserve">Simplified assessment process</w:t>
      </w:r>
    </w:p>
    <w:p>
      <w:pPr>
        <w:pStyle w:val="Compact"/>
        <w:numPr>
          <w:ilvl w:val="0"/>
          <w:numId w:val="1007"/>
        </w:numPr>
      </w:pPr>
      <w:r>
        <w:t xml:space="preserve">More actionable maturity criteria</w:t>
      </w:r>
    </w:p>
    <w:p>
      <w:pPr>
        <w:pStyle w:val="Compact"/>
        <w:numPr>
          <w:ilvl w:val="0"/>
          <w:numId w:val="1007"/>
        </w:numPr>
      </w:pPr>
      <w:r>
        <w:t xml:space="preserve">Better integration with capability planning</w:t>
      </w:r>
    </w:p>
    <w:bookmarkEnd w:id="33"/>
    <w:bookmarkStart w:id="34" w:name="improved-cms-alignment"/>
    <w:p>
      <w:pPr>
        <w:pStyle w:val="Heading4"/>
      </w:pPr>
      <w:r>
        <w:t xml:space="preserve">5. Improved CMS Alignment</w:t>
      </w:r>
    </w:p>
    <w:p>
      <w:pPr>
        <w:pStyle w:val="Compact"/>
        <w:numPr>
          <w:ilvl w:val="0"/>
          <w:numId w:val="1008"/>
        </w:numPr>
      </w:pPr>
      <w:r>
        <w:t xml:space="preserve">Direct mapping to CMS business processes</w:t>
      </w:r>
    </w:p>
    <w:p>
      <w:pPr>
        <w:pStyle w:val="Compact"/>
        <w:numPr>
          <w:ilvl w:val="0"/>
          <w:numId w:val="1008"/>
        </w:numPr>
      </w:pPr>
      <w:r>
        <w:t xml:space="preserve">Better support for federal reporting requirements</w:t>
      </w:r>
    </w:p>
    <w:p>
      <w:pPr>
        <w:pStyle w:val="Compact"/>
        <w:numPr>
          <w:ilvl w:val="0"/>
          <w:numId w:val="1008"/>
        </w:numPr>
      </w:pPr>
      <w:r>
        <w:t xml:space="preserve">Alignment with CMS policy and guidance</w:t>
      </w:r>
    </w:p>
    <w:bookmarkEnd w:id="34"/>
    <w:bookmarkStart w:id="35" w:name="enhanced-tools-and-resources"/>
    <w:p>
      <w:pPr>
        <w:pStyle w:val="Heading4"/>
      </w:pPr>
      <w:r>
        <w:t xml:space="preserve">6. Enhanced Tools and Resources</w:t>
      </w:r>
    </w:p>
    <w:p>
      <w:pPr>
        <w:pStyle w:val="Compact"/>
        <w:numPr>
          <w:ilvl w:val="0"/>
          <w:numId w:val="1009"/>
        </w:numPr>
      </w:pPr>
      <w:r>
        <w:t xml:space="preserve">ORBIT Capabilities (Outcomes,Roles, Business, Information and Technology)</w:t>
      </w:r>
    </w:p>
    <w:p>
      <w:pPr>
        <w:pStyle w:val="Compact"/>
        <w:numPr>
          <w:ilvl w:val="0"/>
          <w:numId w:val="1009"/>
        </w:numPr>
      </w:pPr>
      <w:r>
        <w:t xml:space="preserve">Updated State Self-Assessment Tool</w:t>
      </w:r>
    </w:p>
    <w:p>
      <w:pPr>
        <w:pStyle w:val="Compact"/>
        <w:numPr>
          <w:ilvl w:val="0"/>
          <w:numId w:val="1009"/>
        </w:numPr>
      </w:pPr>
      <w:r>
        <w:t xml:space="preserve">Comprehensive templates and quick reference guides</w:t>
      </w:r>
    </w:p>
    <w:bookmarkEnd w:id="35"/>
    <w:bookmarkEnd w:id="36"/>
    <w:bookmarkStart w:id="37" w:name="whats-different-from-mita-3.0"/>
    <w:p>
      <w:pPr>
        <w:pStyle w:val="Heading3"/>
      </w:pPr>
      <w:r>
        <w:t xml:space="preserve">What’s Different from MITA 3.0?</w:t>
      </w:r>
    </w:p>
    <w:p>
      <w:pPr>
        <w:pStyle w:val="FirstParagraph"/>
      </w:pPr>
      <w:r>
        <w:t xml:space="preserve">MITA 4.0 represents a significant evolution from MITA 3.0:</w:t>
      </w:r>
    </w:p>
    <w:p>
      <w:pPr>
        <w:pStyle w:val="Compact"/>
        <w:numPr>
          <w:ilvl w:val="0"/>
          <w:numId w:val="1010"/>
        </w:numPr>
      </w:pPr>
      <w:r>
        <w:rPr>
          <w:b/>
          <w:bCs/>
        </w:rPr>
        <w:t xml:space="preserve">Focus on Outcomes</w:t>
      </w:r>
      <w:r>
        <w:t xml:space="preserve">: Shift from purely technical architecture to business outcomes-driven approach</w:t>
      </w:r>
    </w:p>
    <w:p>
      <w:pPr>
        <w:pStyle w:val="Compact"/>
        <w:numPr>
          <w:ilvl w:val="0"/>
          <w:numId w:val="1010"/>
        </w:numPr>
      </w:pPr>
      <w:r>
        <w:rPr>
          <w:b/>
          <w:bCs/>
        </w:rPr>
        <w:t xml:space="preserve">Simplified Structure</w:t>
      </w:r>
      <w:r>
        <w:t xml:space="preserve">: Streamlined models that are easier to understand and apply</w:t>
      </w:r>
    </w:p>
    <w:p>
      <w:pPr>
        <w:pStyle w:val="Compact"/>
        <w:numPr>
          <w:ilvl w:val="0"/>
          <w:numId w:val="1010"/>
        </w:numPr>
      </w:pPr>
      <w:r>
        <w:rPr>
          <w:b/>
          <w:bCs/>
        </w:rPr>
        <w:t xml:space="preserve">Modern Standards</w:t>
      </w:r>
      <w:r>
        <w:t xml:space="preserve">: Updated to reflect current technology standards and best practices</w:t>
      </w:r>
    </w:p>
    <w:p>
      <w:pPr>
        <w:pStyle w:val="Compact"/>
        <w:numPr>
          <w:ilvl w:val="0"/>
          <w:numId w:val="1010"/>
        </w:numPr>
      </w:pPr>
      <w:r>
        <w:rPr>
          <w:b/>
          <w:bCs/>
        </w:rPr>
        <w:t xml:space="preserve">Practical Tools</w:t>
      </w:r>
      <w:r>
        <w:t xml:space="preserve">: New and improved tools to support implementation</w:t>
      </w:r>
    </w:p>
    <w:p>
      <w:pPr>
        <w:pStyle w:val="Compact"/>
        <w:numPr>
          <w:ilvl w:val="0"/>
          <w:numId w:val="1010"/>
        </w:numPr>
      </w:pPr>
      <w:r>
        <w:rPr>
          <w:b/>
          <w:bCs/>
        </w:rPr>
        <w:t xml:space="preserve">Flexibility</w:t>
      </w:r>
      <w:r>
        <w:t xml:space="preserve">: More adaptable to different state contexts and implementation approaches</w:t>
      </w:r>
    </w:p>
    <w:bookmarkEnd w:id="37"/>
    <w:bookmarkStart w:id="39" w:name="benefits-of-the-new-features"/>
    <w:p>
      <w:pPr>
        <w:pStyle w:val="Heading3"/>
      </w:pPr>
      <w:r>
        <w:t xml:space="preserve">Benefits of the New Features</w:t>
      </w:r>
    </w:p>
    <w:p>
      <w:pPr>
        <w:pStyle w:val="Compact"/>
        <w:numPr>
          <w:ilvl w:val="0"/>
          <w:numId w:val="1011"/>
        </w:numPr>
      </w:pPr>
      <w:r>
        <w:t xml:space="preserve">Faster implementation and adoption</w:t>
      </w:r>
    </w:p>
    <w:p>
      <w:pPr>
        <w:pStyle w:val="Compact"/>
        <w:numPr>
          <w:ilvl w:val="0"/>
          <w:numId w:val="1011"/>
        </w:numPr>
      </w:pPr>
      <w:r>
        <w:t xml:space="preserve">Better alignment with business needs</w:t>
      </w:r>
    </w:p>
    <w:p>
      <w:pPr>
        <w:pStyle w:val="Compact"/>
        <w:numPr>
          <w:ilvl w:val="0"/>
          <w:numId w:val="1011"/>
        </w:numPr>
      </w:pPr>
      <w:r>
        <w:t xml:space="preserve">Improved measurement of success</w:t>
      </w:r>
    </w:p>
    <w:p>
      <w:pPr>
        <w:pStyle w:val="Compact"/>
        <w:numPr>
          <w:ilvl w:val="0"/>
          <w:numId w:val="1011"/>
        </w:numPr>
      </w:pPr>
      <w:r>
        <w:t xml:space="preserve">Enhanced collaboration between business and IT stakeholders</w:t>
      </w:r>
    </w:p>
    <w:p>
      <w:pPr>
        <w:pStyle w:val="Compact"/>
        <w:numPr>
          <w:ilvl w:val="0"/>
          <w:numId w:val="1011"/>
        </w:numPr>
      </w:pPr>
      <w:r>
        <w:t xml:space="preserve">More effective communication with CMS</w:t>
      </w:r>
    </w:p>
    <w:p>
      <w:pPr>
        <w:pStyle w:val="FirstParagraph"/>
      </w:pPr>
      <w:r>
        <w:t xml:space="preserve">For more details on how to leverage these new features, see the</w:t>
      </w:r>
      <w:r>
        <w:t xml:space="preserve"> </w:t>
      </w:r>
      <w:hyperlink r:id="rId38">
        <w:r>
          <w:rPr>
            <w:rStyle w:val="Hyperlink"/>
          </w:rPr>
          <w:t xml:space="preserve">Effective Use of MITA 4.0</w:t>
        </w:r>
      </w:hyperlink>
      <w:r>
        <w:t xml:space="preserve"> </w:t>
      </w:r>
      <w:r>
        <w:t xml:space="preserve">section.</w:t>
      </w:r>
    </w:p>
    <w:bookmarkEnd w:id="39"/>
    <w:bookmarkEnd w:id="40"/>
    <w:bookmarkEnd w:id="41"/>
    <w:bookmarkStart w:id="70" w:name="Xe287cec3b8eae16308874e825445947d599b975"/>
    <w:p>
      <w:pPr>
        <w:pStyle w:val="Heading1"/>
      </w:pPr>
      <w:r>
        <w:t xml:space="preserve">Benefits of Adoption &amp; Effective Use of MITA 4.0</w:t>
      </w:r>
    </w:p>
    <w:bookmarkStart w:id="55" w:name="benefits-of-mita-4.0-adoption"/>
    <w:p>
      <w:pPr>
        <w:pStyle w:val="Heading2"/>
      </w:pPr>
      <w:r>
        <w:t xml:space="preserve">Benefits of MITA 4.0 Adoption</w:t>
      </w:r>
    </w:p>
    <w:p>
      <w:pPr>
        <w:pStyle w:val="FirstParagraph"/>
      </w:pPr>
      <w:r>
        <w:t xml:space="preserve">Adopting MITA 4.0 provides significant benefits for state Medicaid agencies, their stakeholders, and the beneficiaries they serve.</w:t>
      </w:r>
    </w:p>
    <w:bookmarkStart w:id="45" w:name="strategic-benefits"/>
    <w:p>
      <w:pPr>
        <w:pStyle w:val="Heading3"/>
      </w:pPr>
      <w:r>
        <w:t xml:space="preserve">Strategic Benefits</w:t>
      </w:r>
    </w:p>
    <w:bookmarkStart w:id="42" w:name="better-business-it-alignment"/>
    <w:p>
      <w:pPr>
        <w:pStyle w:val="Heading4"/>
      </w:pPr>
      <w:r>
        <w:t xml:space="preserve">Better Business-IT Alignment</w:t>
      </w:r>
    </w:p>
    <w:p>
      <w:pPr>
        <w:pStyle w:val="Compact"/>
        <w:numPr>
          <w:ilvl w:val="0"/>
          <w:numId w:val="1012"/>
        </w:numPr>
      </w:pPr>
      <w:r>
        <w:t xml:space="preserve">Ensures technology investments directly support business outcomes</w:t>
      </w:r>
    </w:p>
    <w:p>
      <w:pPr>
        <w:pStyle w:val="Compact"/>
        <w:numPr>
          <w:ilvl w:val="0"/>
          <w:numId w:val="1012"/>
        </w:numPr>
      </w:pPr>
      <w:r>
        <w:t xml:space="preserve">Improves communication between business and technical teams</w:t>
      </w:r>
    </w:p>
    <w:p>
      <w:pPr>
        <w:pStyle w:val="Compact"/>
        <w:numPr>
          <w:ilvl w:val="0"/>
          <w:numId w:val="1012"/>
        </w:numPr>
      </w:pPr>
      <w:r>
        <w:t xml:space="preserve">Creates shared understanding of goals and priorities</w:t>
      </w:r>
    </w:p>
    <w:bookmarkEnd w:id="42"/>
    <w:bookmarkStart w:id="43" w:name="enhanced-federal-funding"/>
    <w:p>
      <w:pPr>
        <w:pStyle w:val="Heading4"/>
      </w:pPr>
      <w:r>
        <w:t xml:space="preserve">Enhanced Federal Funding</w:t>
      </w:r>
    </w:p>
    <w:p>
      <w:pPr>
        <w:pStyle w:val="Compact"/>
        <w:numPr>
          <w:ilvl w:val="0"/>
          <w:numId w:val="1013"/>
        </w:numPr>
      </w:pPr>
      <w:r>
        <w:t xml:space="preserve">Demonstrates alignment with CMS requirements</w:t>
      </w:r>
    </w:p>
    <w:p>
      <w:pPr>
        <w:pStyle w:val="Compact"/>
        <w:numPr>
          <w:ilvl w:val="0"/>
          <w:numId w:val="1013"/>
        </w:numPr>
      </w:pPr>
      <w:r>
        <w:t xml:space="preserve">Supports compelling business cases for Enhanced Funding (90/10)</w:t>
      </w:r>
    </w:p>
    <w:p>
      <w:pPr>
        <w:pStyle w:val="Compact"/>
        <w:numPr>
          <w:ilvl w:val="0"/>
          <w:numId w:val="1013"/>
        </w:numPr>
      </w:pPr>
      <w:r>
        <w:t xml:space="preserve">Provides clear documentation for federal reporting</w:t>
      </w:r>
    </w:p>
    <w:bookmarkEnd w:id="43"/>
    <w:bookmarkStart w:id="44" w:name="improved-interoperability"/>
    <w:p>
      <w:pPr>
        <w:pStyle w:val="Heading4"/>
      </w:pPr>
      <w:r>
        <w:t xml:space="preserve">Improved Interoperability</w:t>
      </w:r>
    </w:p>
    <w:p>
      <w:pPr>
        <w:pStyle w:val="Compact"/>
        <w:numPr>
          <w:ilvl w:val="0"/>
          <w:numId w:val="1014"/>
        </w:numPr>
      </w:pPr>
      <w:r>
        <w:t xml:space="preserve">Promotes standards-based integration</w:t>
      </w:r>
    </w:p>
    <w:p>
      <w:pPr>
        <w:pStyle w:val="Compact"/>
        <w:numPr>
          <w:ilvl w:val="0"/>
          <w:numId w:val="1014"/>
        </w:numPr>
      </w:pPr>
      <w:r>
        <w:t xml:space="preserve">Facilitates data exchange with partners</w:t>
      </w:r>
    </w:p>
    <w:p>
      <w:pPr>
        <w:pStyle w:val="Compact"/>
        <w:numPr>
          <w:ilvl w:val="0"/>
          <w:numId w:val="1014"/>
        </w:numPr>
      </w:pPr>
      <w:r>
        <w:t xml:space="preserve">Supports modular system design</w:t>
      </w:r>
    </w:p>
    <w:bookmarkEnd w:id="44"/>
    <w:bookmarkEnd w:id="45"/>
    <w:bookmarkStart w:id="49" w:name="operational-benefits"/>
    <w:p>
      <w:pPr>
        <w:pStyle w:val="Heading3"/>
      </w:pPr>
      <w:r>
        <w:t xml:space="preserve">Operational Benefits</w:t>
      </w:r>
    </w:p>
    <w:bookmarkStart w:id="46" w:name="streamlined-planning"/>
    <w:p>
      <w:pPr>
        <w:pStyle w:val="Heading4"/>
      </w:pPr>
      <w:r>
        <w:t xml:space="preserve">Streamlined Planning</w:t>
      </w:r>
    </w:p>
    <w:p>
      <w:pPr>
        <w:pStyle w:val="Compact"/>
        <w:numPr>
          <w:ilvl w:val="0"/>
          <w:numId w:val="1015"/>
        </w:numPr>
      </w:pPr>
      <w:r>
        <w:t xml:space="preserve">Outcomes-based approach simplifies decision-making</w:t>
      </w:r>
    </w:p>
    <w:p>
      <w:pPr>
        <w:pStyle w:val="Compact"/>
        <w:numPr>
          <w:ilvl w:val="0"/>
          <w:numId w:val="1015"/>
        </w:numPr>
      </w:pPr>
      <w:r>
        <w:t xml:space="preserve">Clear roadmap from strategy to implementation</w:t>
      </w:r>
    </w:p>
    <w:p>
      <w:pPr>
        <w:pStyle w:val="Compact"/>
        <w:numPr>
          <w:ilvl w:val="0"/>
          <w:numId w:val="1015"/>
        </w:numPr>
      </w:pPr>
      <w:r>
        <w:t xml:space="preserve">Better prioritization of initiatives</w:t>
      </w:r>
    </w:p>
    <w:bookmarkEnd w:id="46"/>
    <w:bookmarkStart w:id="47" w:name="risk-reduction"/>
    <w:p>
      <w:pPr>
        <w:pStyle w:val="Heading4"/>
      </w:pPr>
      <w:r>
        <w:t xml:space="preserve">Risk Reduction</w:t>
      </w:r>
    </w:p>
    <w:p>
      <w:pPr>
        <w:pStyle w:val="Compact"/>
        <w:numPr>
          <w:ilvl w:val="0"/>
          <w:numId w:val="1016"/>
        </w:numPr>
      </w:pPr>
      <w:r>
        <w:t xml:space="preserve">Proven framework reduces implementation risks</w:t>
      </w:r>
    </w:p>
    <w:p>
      <w:pPr>
        <w:pStyle w:val="Compact"/>
        <w:numPr>
          <w:ilvl w:val="0"/>
          <w:numId w:val="1016"/>
        </w:numPr>
      </w:pPr>
      <w:r>
        <w:t xml:space="preserve">Best practices from across the nation</w:t>
      </w:r>
    </w:p>
    <w:p>
      <w:pPr>
        <w:pStyle w:val="Compact"/>
        <w:numPr>
          <w:ilvl w:val="0"/>
          <w:numId w:val="1016"/>
        </w:numPr>
      </w:pPr>
      <w:r>
        <w:t xml:space="preserve">Clear maturity progression path</w:t>
      </w:r>
    </w:p>
    <w:bookmarkEnd w:id="47"/>
    <w:bookmarkStart w:id="48" w:name="cost-optimization"/>
    <w:p>
      <w:pPr>
        <w:pStyle w:val="Heading4"/>
      </w:pPr>
      <w:r>
        <w:t xml:space="preserve">Cost Optimization</w:t>
      </w:r>
    </w:p>
    <w:p>
      <w:pPr>
        <w:pStyle w:val="Compact"/>
        <w:numPr>
          <w:ilvl w:val="0"/>
          <w:numId w:val="1017"/>
        </w:numPr>
      </w:pPr>
      <w:r>
        <w:t xml:space="preserve">Identifies opportunities for reuse and consolidation</w:t>
      </w:r>
    </w:p>
    <w:p>
      <w:pPr>
        <w:pStyle w:val="Compact"/>
        <w:numPr>
          <w:ilvl w:val="0"/>
          <w:numId w:val="1017"/>
        </w:numPr>
      </w:pPr>
      <w:r>
        <w:t xml:space="preserve">Prevents redundant capabilities</w:t>
      </w:r>
    </w:p>
    <w:p>
      <w:pPr>
        <w:pStyle w:val="Compact"/>
        <w:numPr>
          <w:ilvl w:val="0"/>
          <w:numId w:val="1017"/>
        </w:numPr>
      </w:pPr>
      <w:r>
        <w:t xml:space="preserve">Supports shared services models</w:t>
      </w:r>
    </w:p>
    <w:bookmarkEnd w:id="48"/>
    <w:bookmarkEnd w:id="49"/>
    <w:bookmarkStart w:id="54" w:name="stakeholder-benefits"/>
    <w:p>
      <w:pPr>
        <w:pStyle w:val="Heading3"/>
      </w:pPr>
      <w:r>
        <w:t xml:space="preserve">Stakeholder Benefits</w:t>
      </w:r>
    </w:p>
    <w:bookmarkStart w:id="50" w:name="for-state-leadership"/>
    <w:p>
      <w:pPr>
        <w:pStyle w:val="Heading4"/>
      </w:pPr>
      <w:r>
        <w:t xml:space="preserve">For State Leadership</w:t>
      </w:r>
    </w:p>
    <w:p>
      <w:pPr>
        <w:pStyle w:val="Compact"/>
        <w:numPr>
          <w:ilvl w:val="0"/>
          <w:numId w:val="1018"/>
        </w:numPr>
      </w:pPr>
      <w:r>
        <w:t xml:space="preserve">Clear line of sight from technology to business value</w:t>
      </w:r>
    </w:p>
    <w:p>
      <w:pPr>
        <w:pStyle w:val="Compact"/>
        <w:numPr>
          <w:ilvl w:val="0"/>
          <w:numId w:val="1018"/>
        </w:numPr>
      </w:pPr>
      <w:r>
        <w:t xml:space="preserve">Better portfolio management</w:t>
      </w:r>
    </w:p>
    <w:p>
      <w:pPr>
        <w:pStyle w:val="Compact"/>
        <w:numPr>
          <w:ilvl w:val="0"/>
          <w:numId w:val="1018"/>
        </w:numPr>
      </w:pPr>
      <w:r>
        <w:t xml:space="preserve">Improved communication with federal partners</w:t>
      </w:r>
    </w:p>
    <w:bookmarkEnd w:id="50"/>
    <w:bookmarkStart w:id="51" w:name="for-business-users"/>
    <w:p>
      <w:pPr>
        <w:pStyle w:val="Heading4"/>
      </w:pPr>
      <w:r>
        <w:t xml:space="preserve">For Business Users</w:t>
      </w:r>
    </w:p>
    <w:p>
      <w:pPr>
        <w:pStyle w:val="Compact"/>
        <w:numPr>
          <w:ilvl w:val="0"/>
          <w:numId w:val="1019"/>
        </w:numPr>
      </w:pPr>
      <w:r>
        <w:t xml:space="preserve">Technology that better supports their work</w:t>
      </w:r>
    </w:p>
    <w:p>
      <w:pPr>
        <w:pStyle w:val="Compact"/>
        <w:numPr>
          <w:ilvl w:val="0"/>
          <w:numId w:val="1019"/>
        </w:numPr>
      </w:pPr>
      <w:r>
        <w:t xml:space="preserve">Involvement in planning and design</w:t>
      </w:r>
    </w:p>
    <w:p>
      <w:pPr>
        <w:pStyle w:val="Compact"/>
        <w:numPr>
          <w:ilvl w:val="0"/>
          <w:numId w:val="1019"/>
        </w:numPr>
      </w:pPr>
      <w:r>
        <w:t xml:space="preserve">Continuous improvement path</w:t>
      </w:r>
    </w:p>
    <w:bookmarkEnd w:id="51"/>
    <w:bookmarkStart w:id="52" w:name="for-it-teams"/>
    <w:p>
      <w:pPr>
        <w:pStyle w:val="Heading4"/>
      </w:pPr>
      <w:r>
        <w:t xml:space="preserve">For IT Teams</w:t>
      </w:r>
    </w:p>
    <w:p>
      <w:pPr>
        <w:pStyle w:val="Compact"/>
        <w:numPr>
          <w:ilvl w:val="0"/>
          <w:numId w:val="1020"/>
        </w:numPr>
      </w:pPr>
      <w:r>
        <w:t xml:space="preserve">Modern architecture patterns</w:t>
      </w:r>
    </w:p>
    <w:p>
      <w:pPr>
        <w:pStyle w:val="Compact"/>
        <w:numPr>
          <w:ilvl w:val="0"/>
          <w:numId w:val="1020"/>
        </w:numPr>
      </w:pPr>
      <w:r>
        <w:t xml:space="preserve">Clear technical guidance</w:t>
      </w:r>
    </w:p>
    <w:p>
      <w:pPr>
        <w:pStyle w:val="Compact"/>
        <w:numPr>
          <w:ilvl w:val="0"/>
          <w:numId w:val="1020"/>
        </w:numPr>
      </w:pPr>
      <w:r>
        <w:t xml:space="preserve">Industry standard approaches</w:t>
      </w:r>
    </w:p>
    <w:bookmarkEnd w:id="52"/>
    <w:bookmarkStart w:id="53" w:name="for-beneficiaries"/>
    <w:p>
      <w:pPr>
        <w:pStyle w:val="Heading4"/>
      </w:pPr>
      <w:r>
        <w:t xml:space="preserve">For Beneficiaries</w:t>
      </w:r>
    </w:p>
    <w:p>
      <w:pPr>
        <w:pStyle w:val="Compact"/>
        <w:numPr>
          <w:ilvl w:val="0"/>
          <w:numId w:val="1021"/>
        </w:numPr>
      </w:pPr>
      <w:r>
        <w:t xml:space="preserve">Better service delivery</w:t>
      </w:r>
    </w:p>
    <w:p>
      <w:pPr>
        <w:pStyle w:val="Compact"/>
        <w:numPr>
          <w:ilvl w:val="0"/>
          <w:numId w:val="1021"/>
        </w:numPr>
      </w:pPr>
      <w:r>
        <w:t xml:space="preserve">Improved access to benefits</w:t>
      </w:r>
    </w:p>
    <w:p>
      <w:pPr>
        <w:pStyle w:val="Compact"/>
        <w:numPr>
          <w:ilvl w:val="0"/>
          <w:numId w:val="1021"/>
        </w:numPr>
      </w:pPr>
      <w:r>
        <w:t xml:space="preserve">More efficient operations</w:t>
      </w:r>
    </w:p>
    <w:bookmarkEnd w:id="53"/>
    <w:bookmarkEnd w:id="54"/>
    <w:bookmarkEnd w:id="55"/>
    <w:bookmarkStart w:id="69" w:name="effective-use-of-mita-4.0"/>
    <w:p>
      <w:pPr>
        <w:pStyle w:val="Heading2"/>
      </w:pPr>
      <w:r>
        <w:t xml:space="preserve">Effective Use of MITA 4.0</w:t>
      </w:r>
    </w:p>
    <w:p>
      <w:pPr>
        <w:pStyle w:val="FirstParagraph"/>
      </w:pPr>
      <w:r>
        <w:t xml:space="preserve">To maximize the value of MITA 4.0, consider these best practices:</w:t>
      </w:r>
    </w:p>
    <w:bookmarkStart w:id="56" w:name="start-with-outcomes"/>
    <w:p>
      <w:pPr>
        <w:pStyle w:val="Heading3"/>
      </w:pPr>
      <w:r>
        <w:t xml:space="preserve">1. Start with Outcomes</w:t>
      </w:r>
    </w:p>
    <w:p>
      <w:pPr>
        <w:pStyle w:val="FirstParagraph"/>
      </w:pPr>
      <w:r>
        <w:t xml:space="preserve">Begin every initiative by defining clear, measurable outcomes. Don’t start with technology solutions.</w:t>
      </w:r>
    </w:p>
    <w:bookmarkEnd w:id="56"/>
    <w:bookmarkStart w:id="57" w:name="engage-stakeholders-early"/>
    <w:p>
      <w:pPr>
        <w:pStyle w:val="Heading3"/>
      </w:pPr>
      <w:r>
        <w:t xml:space="preserve">2. Engage Stakeholders Early</w:t>
      </w:r>
    </w:p>
    <w:p>
      <w:pPr>
        <w:pStyle w:val="FirstParagraph"/>
      </w:pPr>
      <w:r>
        <w:t xml:space="preserve">Include business, technical, and program stakeholders from the beginning. MITA 4.0 works best as a collaborative framework.</w:t>
      </w:r>
    </w:p>
    <w:bookmarkEnd w:id="57"/>
    <w:bookmarkStart w:id="58" w:name="use-the-reference-models"/>
    <w:p>
      <w:pPr>
        <w:pStyle w:val="Heading3"/>
      </w:pPr>
      <w:r>
        <w:t xml:space="preserve">3. Use the Reference Models</w:t>
      </w:r>
    </w:p>
    <w:p>
      <w:pPr>
        <w:pStyle w:val="FirstParagraph"/>
      </w:pPr>
      <w:r>
        <w:t xml:space="preserve">Leverage the capability, business, information, and technical reference models to:</w:t>
      </w:r>
      <w:r>
        <w:t xml:space="preserve"> </w:t>
      </w:r>
      <w:r>
        <w:t xml:space="preserve">- Identify common patterns</w:t>
      </w:r>
      <w:r>
        <w:t xml:space="preserve"> </w:t>
      </w:r>
      <w:r>
        <w:t xml:space="preserve">- Avoid reinventing solutions</w:t>
      </w:r>
      <w:r>
        <w:t xml:space="preserve"> </w:t>
      </w:r>
      <w:r>
        <w:t xml:space="preserve">- Ensure alignment with industry standards</w:t>
      </w:r>
    </w:p>
    <w:bookmarkEnd w:id="58"/>
    <w:bookmarkStart w:id="59" w:name="conduct-regular-self-assessments"/>
    <w:p>
      <w:pPr>
        <w:pStyle w:val="Heading3"/>
      </w:pPr>
      <w:r>
        <w:t xml:space="preserve">4. Conduct Regular Self-Assessments</w:t>
      </w:r>
    </w:p>
    <w:p>
      <w:pPr>
        <w:pStyle w:val="FirstParagraph"/>
      </w:pPr>
      <w:r>
        <w:t xml:space="preserve">Use the State Self-Assessment process to:</w:t>
      </w:r>
      <w:r>
        <w:t xml:space="preserve"> </w:t>
      </w:r>
      <w:r>
        <w:t xml:space="preserve">- Track maturity progress</w:t>
      </w:r>
      <w:r>
        <w:t xml:space="preserve"> </w:t>
      </w:r>
      <w:r>
        <w:t xml:space="preserve">- Identify gaps and opportunities</w:t>
      </w:r>
      <w:r>
        <w:t xml:space="preserve"> </w:t>
      </w:r>
      <w:r>
        <w:t xml:space="preserve">- Prioritize improvement initiatives</w:t>
      </w:r>
    </w:p>
    <w:bookmarkEnd w:id="59"/>
    <w:bookmarkStart w:id="60" w:name="leverage-available-tools"/>
    <w:p>
      <w:pPr>
        <w:pStyle w:val="Heading3"/>
      </w:pPr>
      <w:r>
        <w:t xml:space="preserve">5. Leverage Available Tools</w:t>
      </w:r>
    </w:p>
    <w:p>
      <w:pPr>
        <w:pStyle w:val="FirstParagraph"/>
      </w:pPr>
      <w:r>
        <w:t xml:space="preserve">Take advantage of MITA 4.0 tools and resources:</w:t>
      </w:r>
      <w:r>
        <w:t xml:space="preserve"> </w:t>
      </w:r>
      <w:r>
        <w:t xml:space="preserve">- ORBIT for planning and tracking</w:t>
      </w:r>
      <w:r>
        <w:t xml:space="preserve"> </w:t>
      </w:r>
      <w:r>
        <w:t xml:space="preserve">- State Self-Assessment Tool for maturity evaluation</w:t>
      </w:r>
      <w:r>
        <w:t xml:space="preserve"> </w:t>
      </w:r>
      <w:r>
        <w:t xml:space="preserve">- Templates for documentation</w:t>
      </w:r>
      <w:r>
        <w:t xml:space="preserve"> </w:t>
      </w:r>
      <w:r>
        <w:t xml:space="preserve">- Quick reference guides for implementation</w:t>
      </w:r>
    </w:p>
    <w:bookmarkEnd w:id="60"/>
    <w:bookmarkStart w:id="61" w:name="align-with-cms-guidance"/>
    <w:p>
      <w:pPr>
        <w:pStyle w:val="Heading3"/>
      </w:pPr>
      <w:r>
        <w:t xml:space="preserve">6. Align with CMS Guidance</w:t>
      </w:r>
    </w:p>
    <w:p>
      <w:pPr>
        <w:pStyle w:val="FirstParagraph"/>
      </w:pPr>
      <w:r>
        <w:t xml:space="preserve">Ensure your MITA implementation supports CMS requirements for:</w:t>
      </w:r>
      <w:r>
        <w:t xml:space="preserve"> </w:t>
      </w:r>
      <w:r>
        <w:t xml:space="preserve">- APD submissions</w:t>
      </w:r>
      <w:r>
        <w:t xml:space="preserve"> </w:t>
      </w:r>
      <w:r>
        <w:t xml:space="preserve">- Certification and compliance</w:t>
      </w:r>
      <w:r>
        <w:t xml:space="preserve"> </w:t>
      </w:r>
      <w:r>
        <w:t xml:space="preserve">- Federal reporting</w:t>
      </w:r>
    </w:p>
    <w:bookmarkEnd w:id="61"/>
    <w:bookmarkStart w:id="62" w:name="think-modular-and-incremental"/>
    <w:p>
      <w:pPr>
        <w:pStyle w:val="Heading3"/>
      </w:pPr>
      <w:r>
        <w:t xml:space="preserve">7. Think Modular and Incremental</w:t>
      </w:r>
    </w:p>
    <w:p>
      <w:pPr>
        <w:pStyle w:val="FirstParagraph"/>
      </w:pPr>
      <w:r>
        <w:t xml:space="preserve">Adopt a modular approach:</w:t>
      </w:r>
      <w:r>
        <w:t xml:space="preserve"> </w:t>
      </w:r>
      <w:r>
        <w:t xml:space="preserve">- Break large initiatives into manageable pieces</w:t>
      </w:r>
      <w:r>
        <w:t xml:space="preserve"> </w:t>
      </w:r>
      <w:r>
        <w:t xml:space="preserve">- Deliver value incrementally</w:t>
      </w:r>
      <w:r>
        <w:t xml:space="preserve"> </w:t>
      </w:r>
      <w:r>
        <w:t xml:space="preserve">- Learn and adjust as you go</w:t>
      </w:r>
    </w:p>
    <w:bookmarkEnd w:id="62"/>
    <w:bookmarkStart w:id="63" w:name="share-and-learn"/>
    <w:p>
      <w:pPr>
        <w:pStyle w:val="Heading3"/>
      </w:pPr>
      <w:r>
        <w:t xml:space="preserve">8. Share and Learn</w:t>
      </w:r>
    </w:p>
    <w:p>
      <w:pPr>
        <w:pStyle w:val="FirstParagraph"/>
      </w:pPr>
      <w:r>
        <w:t xml:space="preserve">Engage with the MITA community:</w:t>
      </w:r>
      <w:r>
        <w:t xml:space="preserve"> </w:t>
      </w:r>
      <w:r>
        <w:t xml:space="preserve">- Share experiences with other states</w:t>
      </w:r>
      <w:r>
        <w:t xml:space="preserve"> </w:t>
      </w:r>
      <w:r>
        <w:t xml:space="preserve">- Learn from implementations across the nation</w:t>
      </w:r>
      <w:r>
        <w:t xml:space="preserve"> </w:t>
      </w:r>
      <w:r>
        <w:t xml:space="preserve">- Participate in MITA forums and events</w:t>
      </w:r>
    </w:p>
    <w:bookmarkEnd w:id="63"/>
    <w:bookmarkStart w:id="66" w:name="getting-started-2"/>
    <w:p>
      <w:pPr>
        <w:pStyle w:val="Heading3"/>
      </w:pPr>
      <w:r>
        <w:t xml:space="preserve">Getting Started</w:t>
      </w:r>
    </w:p>
    <w:p>
      <w:pPr>
        <w:pStyle w:val="FirstParagraph"/>
      </w:pPr>
      <w:r>
        <w:t xml:space="preserve">Ready to begin? Follow these steps:</w:t>
      </w:r>
    </w:p>
    <w:p>
      <w:pPr>
        <w:pStyle w:val="Compact"/>
        <w:numPr>
          <w:ilvl w:val="0"/>
          <w:numId w:val="1022"/>
        </w:numPr>
      </w:pPr>
      <w:r>
        <w:t xml:space="preserve">Review the</w:t>
      </w:r>
      <w:r>
        <w:t xml:space="preserve"> </w:t>
      </w:r>
      <w:hyperlink r:id="rId64">
        <w:r>
          <w:rPr>
            <w:rStyle w:val="Hyperlink"/>
          </w:rPr>
          <w:t xml:space="preserve">Understanding MITA 4.0</w:t>
        </w:r>
      </w:hyperlink>
      <w:r>
        <w:t xml:space="preserve"> </w:t>
      </w:r>
      <w:r>
        <w:t xml:space="preserve">section</w:t>
      </w:r>
    </w:p>
    <w:p>
      <w:pPr>
        <w:pStyle w:val="Compact"/>
        <w:numPr>
          <w:ilvl w:val="0"/>
          <w:numId w:val="1022"/>
        </w:numPr>
      </w:pPr>
      <w:r>
        <w:t xml:space="preserve">Explore the</w:t>
      </w:r>
      <w:r>
        <w:t xml:space="preserve"> </w:t>
      </w:r>
      <w:hyperlink r:id="rId64">
        <w:r>
          <w:rPr>
            <w:rStyle w:val="Hyperlink"/>
          </w:rPr>
          <w:t xml:space="preserve">Implementing MITA 4.0</w:t>
        </w:r>
      </w:hyperlink>
      <w:r>
        <w:t xml:space="preserve"> </w:t>
      </w:r>
      <w:r>
        <w:t xml:space="preserve">guide</w:t>
      </w:r>
    </w:p>
    <w:p>
      <w:pPr>
        <w:pStyle w:val="Compact"/>
        <w:numPr>
          <w:ilvl w:val="0"/>
          <w:numId w:val="1022"/>
        </w:numPr>
      </w:pPr>
      <w:r>
        <w:t xml:space="preserve">Access the</w:t>
      </w:r>
      <w:r>
        <w:t xml:space="preserve"> </w:t>
      </w:r>
      <w:hyperlink r:id="rId65">
        <w:r>
          <w:rPr>
            <w:rStyle w:val="Hyperlink"/>
          </w:rPr>
          <w:t xml:space="preserve">Tools and Resources</w:t>
        </w:r>
      </w:hyperlink>
      <w:r>
        <w:t xml:space="preserve"> </w:t>
      </w:r>
      <w:r>
        <w:t xml:space="preserve">available to support your work</w:t>
      </w:r>
    </w:p>
    <w:p>
      <w:pPr>
        <w:pStyle w:val="Compact"/>
        <w:numPr>
          <w:ilvl w:val="0"/>
          <w:numId w:val="1022"/>
        </w:numPr>
      </w:pPr>
      <w:r>
        <w:t xml:space="preserve">Contact CMS for additional guidance and support</w:t>
      </w:r>
    </w:p>
    <w:bookmarkEnd w:id="66"/>
    <w:bookmarkStart w:id="68" w:name="success-factors"/>
    <w:p>
      <w:pPr>
        <w:pStyle w:val="Heading3"/>
      </w:pPr>
      <w:r>
        <w:t xml:space="preserve">Success Factors</w:t>
      </w:r>
    </w:p>
    <w:p>
      <w:pPr>
        <w:pStyle w:val="FirstParagraph"/>
      </w:pPr>
      <w:r>
        <w:t xml:space="preserve">Organizations that successfully adopt MITA 4.0 typically:</w:t>
      </w:r>
      <w:r>
        <w:t xml:space="preserve"> </w:t>
      </w:r>
      <w:r>
        <w:t xml:space="preserve">- Have executive sponsorship</w:t>
      </w:r>
      <w:r>
        <w:t xml:space="preserve"> </w:t>
      </w:r>
      <w:r>
        <w:t xml:space="preserve">- Dedicate resources to the effort</w:t>
      </w:r>
      <w:r>
        <w:t xml:space="preserve"> </w:t>
      </w:r>
      <w:r>
        <w:t xml:space="preserve">- Engage stakeholders broadly</w:t>
      </w:r>
      <w:r>
        <w:t xml:space="preserve"> </w:t>
      </w:r>
      <w:r>
        <w:t xml:space="preserve">- Take an iterative approach</w:t>
      </w:r>
      <w:r>
        <w:t xml:space="preserve"> </w:t>
      </w:r>
      <w:r>
        <w:t xml:space="preserve">- Measure and communicate progress</w:t>
      </w:r>
      <w:r>
        <w:t xml:space="preserve"> </w:t>
      </w:r>
      <w:r>
        <w:t xml:space="preserve">- Seek guidance when needed</w:t>
      </w:r>
    </w:p>
    <w:p>
      <w:pPr>
        <w:pStyle w:val="BodyText"/>
      </w:pPr>
      <w:r>
        <w:t xml:space="preserve">For questions about adoption or implementation, please visit the</w:t>
      </w:r>
      <w:r>
        <w:t xml:space="preserve"> </w:t>
      </w:r>
      <w:hyperlink r:id="rId67">
        <w:r>
          <w:rPr>
            <w:rStyle w:val="Hyperlink"/>
          </w:rPr>
          <w:t xml:space="preserve">Contact Us</w:t>
        </w:r>
      </w:hyperlink>
      <w:r>
        <w:t xml:space="preserve"> </w:t>
      </w:r>
      <w:r>
        <w:t xml:space="preserve">section.</w:t>
      </w:r>
    </w:p>
    <w:bookmarkEnd w:id="68"/>
    <w:bookmarkEnd w:id="69"/>
    <w:bookmarkEnd w:id="70"/>
    <w:bookmarkStart w:id="72" w:name="understanding-mita-4.0"/>
    <w:p>
      <w:pPr>
        <w:pStyle w:val="Heading1"/>
      </w:pPr>
      <w:r>
        <w:t xml:space="preserve">Understanding MITA 4.0</w:t>
      </w:r>
    </w:p>
    <w:p>
      <w:pPr>
        <w:pStyle w:val="FirstParagraph"/>
      </w:pPr>
      <w:r>
        <w:t xml:space="preserve">This page describes the concepts and areas within the MITA framework.</w:t>
      </w:r>
    </w:p>
    <w:bookmarkStart w:id="71" w:name="overview"/>
    <w:p>
      <w:pPr>
        <w:pStyle w:val="Heading2"/>
      </w:pPr>
      <w:r>
        <w:t xml:space="preserve">Overview</w:t>
      </w:r>
    </w:p>
    <w:p>
      <w:pPr>
        <w:pStyle w:val="FirstParagraph"/>
      </w:pPr>
      <w:r>
        <w:t xml:space="preserve">Content coming soon.</w:t>
      </w:r>
    </w:p>
    <w:bookmarkEnd w:id="71"/>
    <w:bookmarkEnd w:id="72"/>
    <w:bookmarkStart w:id="73" w:name="bridging-mita-and-cms-business-processes"/>
    <w:p>
      <w:pPr>
        <w:pStyle w:val="Heading1"/>
      </w:pPr>
      <w:r>
        <w:t xml:space="preserve">Bridging MITA and CMS Business Processes</w:t>
      </w:r>
    </w:p>
    <w:p>
      <w:pPr>
        <w:pStyle w:val="FirstParagraph"/>
      </w:pPr>
      <w:r>
        <w:t xml:space="preserve">Content coming soon…</w:t>
      </w:r>
    </w:p>
    <w:bookmarkEnd w:id="73"/>
    <w:bookmarkStart w:id="78" w:name="welcome-to-the-mita-4.0-companion-guide"/>
    <w:p>
      <w:pPr>
        <w:pStyle w:val="Heading1"/>
      </w:pPr>
      <w:r>
        <w:t xml:space="preserve">Welcome to the MITA 4.0 Companion Guide</w:t>
      </w:r>
    </w:p>
    <w:p>
      <w:pPr>
        <w:pStyle w:val="FirstParagraph"/>
      </w:pPr>
      <w:r>
        <w:t xml:space="preserve">The Centers for Medicare &amp; Medicaid Services (CMS) Medicaid Information Technology Architecture (MITA) 4.0 helps your State Medicaid Agency (SMA) achieve your enterprise goals and enhance your Medicaid program by aligning business and information technology (IT) strategies.</w:t>
      </w:r>
    </w:p>
    <w:p>
      <w:pPr>
        <w:pStyle w:val="BodyText"/>
      </w:pPr>
      <w:r>
        <w:t xml:space="preserve">MITA 4.0 guides you through Enterprise Strategic Planning to describe the way your SMA works now and plan for the way you want to work in the future. MITA 4.0 also helps you align your Medicaid Enterprise System (MES) with:</w:t>
      </w:r>
    </w:p>
    <w:p>
      <w:pPr>
        <w:pStyle w:val="Compact"/>
        <w:numPr>
          <w:ilvl w:val="0"/>
          <w:numId w:val="1023"/>
        </w:numPr>
      </w:pPr>
      <w:r>
        <w:t xml:space="preserve">CMS and State prioritized outcomes</w:t>
      </w:r>
    </w:p>
    <w:p>
      <w:pPr>
        <w:pStyle w:val="Compact"/>
        <w:numPr>
          <w:ilvl w:val="0"/>
          <w:numId w:val="1023"/>
        </w:numPr>
      </w:pPr>
      <w:r>
        <w:t xml:space="preserve">MITA’s capabilities, comprised of outcomes, roles, business processes, information, and technology (ORBIT)</w:t>
      </w:r>
    </w:p>
    <w:p>
      <w:pPr>
        <w:pStyle w:val="Compact"/>
        <w:numPr>
          <w:ilvl w:val="0"/>
          <w:numId w:val="1023"/>
        </w:numPr>
      </w:pPr>
      <w:r>
        <w:t xml:space="preserve">Federal requirements for enhanced funding</w:t>
      </w:r>
    </w:p>
    <w:p>
      <w:pPr>
        <w:pStyle w:val="FirstParagraph"/>
      </w:pPr>
      <w:r>
        <w:t xml:space="preserve">This guide will lead you through the stages of MITA 4.0—defining or updating outcomes, identifying required capabilities, defining your capability architecture, and documenting your State Self-Assessment (Figure 1). The MITA 4.0 Companion Guide offers a flexible approach to Enterprise Strategic Planning—your SMA’s path may look different depending on your state’s needs.</w:t>
      </w:r>
    </w:p>
    <w:p>
      <w:pPr>
        <w:pStyle w:val="CaptionedFigure"/>
      </w:pPr>
      <w:r>
        <w:drawing>
          <wp:inline>
            <wp:extent cx="3048000" cy="3441700"/>
            <wp:effectExtent b="0" l="0" r="0" t="0"/>
            <wp:docPr descr="Figure 1. Enterprise Strategic Planning with MITA 4.0" title="" id="75" name="Picture"/>
            <a:graphic>
              <a:graphicData uri="http://schemas.openxmlformats.org/drawingml/2006/picture">
                <pic:pic>
                  <pic:nvPicPr>
                    <pic:cNvPr descr="media/MITA40process.png" id="76" name="Picture"/>
                    <pic:cNvPicPr>
                      <a:picLocks noChangeArrowheads="1" noChangeAspect="1"/>
                    </pic:cNvPicPr>
                  </pic:nvPicPr>
                  <pic:blipFill>
                    <a:blip r:embed="rId74"/>
                    <a:stretch>
                      <a:fillRect/>
                    </a:stretch>
                  </pic:blipFill>
                  <pic:spPr bwMode="auto">
                    <a:xfrm>
                      <a:off x="0" y="0"/>
                      <a:ext cx="3048000" cy="3441700"/>
                    </a:xfrm>
                    <a:prstGeom prst="rect">
                      <a:avLst/>
                    </a:prstGeom>
                    <a:noFill/>
                    <a:ln w="9525">
                      <a:noFill/>
                      <a:headEnd/>
                      <a:tailEnd/>
                    </a:ln>
                  </pic:spPr>
                </pic:pic>
              </a:graphicData>
            </a:graphic>
          </wp:inline>
        </w:drawing>
      </w:r>
    </w:p>
    <w:p>
      <w:pPr>
        <w:pStyle w:val="ImageCaption"/>
      </w:pPr>
      <w:r>
        <w:t xml:space="preserve">Figure 1. Enterprise Strategic Planning with MITA 4.0</w:t>
      </w:r>
    </w:p>
    <w:bookmarkStart w:id="77" w:name="new-in-mita-4.0"/>
    <w:p>
      <w:pPr>
        <w:pStyle w:val="Heading2"/>
      </w:pPr>
      <w:r>
        <w:t xml:space="preserve">New in MITA 4.0</w:t>
      </w:r>
    </w:p>
    <w:bookmarkEnd w:id="77"/>
    <w:bookmarkEnd w:id="78"/>
    <w:bookmarkStart w:id="139" w:name="mita-4.0-implementation-process"/>
    <w:p>
      <w:pPr>
        <w:pStyle w:val="Heading1"/>
      </w:pPr>
      <w:r>
        <w:t xml:space="preserve">MITA 4.0 Implementation Process</w:t>
      </w:r>
    </w:p>
    <w:p>
      <w:pPr>
        <w:pStyle w:val="FirstParagraph"/>
      </w:pPr>
      <w:r>
        <w:t xml:space="preserve">This page provides a detailed walkthrough of the MITA 4.0 implementation process, from outcomes-based planning through architecture definition to state self-assessment.</w:t>
      </w:r>
    </w:p>
    <w:bookmarkStart w:id="79" w:name="process-overview"/>
    <w:p>
      <w:pPr>
        <w:pStyle w:val="Heading2"/>
      </w:pPr>
      <w:r>
        <w:t xml:space="preserve">Process Overview</w:t>
      </w:r>
    </w:p>
    <w:p>
      <w:pPr>
        <w:pStyle w:val="FirstParagraph"/>
      </w:pPr>
      <w:r>
        <w:t xml:space="preserve">The MITA 4.0 Process consists of four main steps:</w:t>
      </w:r>
    </w:p>
    <w:p>
      <w:pPr>
        <w:pStyle w:val="Compact"/>
        <w:numPr>
          <w:ilvl w:val="0"/>
          <w:numId w:val="1024"/>
        </w:numPr>
      </w:pPr>
      <w:r>
        <w:rPr>
          <w:b/>
          <w:bCs/>
        </w:rPr>
        <w:t xml:space="preserve">Perform Outcomes-Based Planning (OBP)</w:t>
      </w:r>
    </w:p>
    <w:p>
      <w:pPr>
        <w:pStyle w:val="Compact"/>
        <w:numPr>
          <w:ilvl w:val="0"/>
          <w:numId w:val="1024"/>
        </w:numPr>
      </w:pPr>
      <w:r>
        <w:rPr>
          <w:b/>
          <w:bCs/>
        </w:rPr>
        <w:t xml:space="preserve">Identify Capabilities</w:t>
      </w:r>
    </w:p>
    <w:p>
      <w:pPr>
        <w:pStyle w:val="Compact"/>
        <w:numPr>
          <w:ilvl w:val="0"/>
          <w:numId w:val="1024"/>
        </w:numPr>
      </w:pPr>
      <w:r>
        <w:rPr>
          <w:b/>
          <w:bCs/>
        </w:rPr>
        <w:t xml:space="preserve">Define Architecture</w:t>
      </w:r>
    </w:p>
    <w:p>
      <w:pPr>
        <w:pStyle w:val="Compact"/>
        <w:numPr>
          <w:ilvl w:val="0"/>
          <w:numId w:val="1024"/>
        </w:numPr>
      </w:pPr>
      <w:r>
        <w:rPr>
          <w:b/>
          <w:bCs/>
        </w:rPr>
        <w:t xml:space="preserve">Document State Self-Assessment (SS-A)</w:t>
      </w:r>
    </w:p>
    <w:p>
      <w:r>
        <w:pict>
          <v:rect style="width:0;height:1.5pt" o:hralign="center" o:hrstd="t" o:hr="t"/>
        </w:pict>
      </w:r>
    </w:p>
    <w:bookmarkEnd w:id="79"/>
    <w:bookmarkStart w:id="97" w:name="sec-step1"/>
    <w:p>
      <w:pPr>
        <w:pStyle w:val="Heading2"/>
      </w:pPr>
      <w:r>
        <w:t xml:space="preserve">Step 1: Perform Outcomes-Based Planning (OBP)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C:\Users\smahoney\AppData\Local\Programs\Quarto\share\formats\docx\note.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Identify the Business Challenge</w:t>
            </w:r>
          </w:p>
        </w:tc>
      </w:tr>
      <w:tr>
        <w:trPr>
          <w:cantSplit/>
        </w:trPr>
        <w:tc>
          <w:tcPr>
            <w:tcMar>
              <w:top w:w="108" w:type="dxa"/>
              <w:bottom w:w="108" w:type="dxa"/>
            </w:tcMar>
          </w:tcPr>
          <w:p>
            <w:pPr>
              <w:pStyle w:val="BodyText"/>
            </w:pPr>
            <w:pPr>
              <w:spacing w:before="16" w:after="16"/>
            </w:pPr>
            <w:r>
              <w:t xml:space="preserve">The State Medicaid Agency (SMA) starts by identifying the business challenge. This could be a new initiative or a problem the SMA is trying to solve (e.g., the trigger for initiating OBP) and describes the</w:t>
            </w:r>
            <w:r>
              <w:t xml:space="preserve"> </w:t>
            </w:r>
            <w:r>
              <w:t xml:space="preserve">“as-is”</w:t>
            </w:r>
            <w:r>
              <w:t xml:space="preserve"> </w:t>
            </w:r>
            <w:r>
              <w:t xml:space="preserve">state.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C:\Users\smahoney\AppData\Local\Programs\Quarto\share\formats\docx\note.png" id="84"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 Identify Goals</w:t>
            </w:r>
          </w:p>
        </w:tc>
      </w:tr>
      <w:tr>
        <w:trPr>
          <w:cantSplit/>
        </w:trPr>
        <w:tc>
          <w:tcPr>
            <w:tcMar>
              <w:top w:w="108" w:type="dxa"/>
              <w:bottom w:w="108" w:type="dxa"/>
            </w:tcMar>
          </w:tcPr>
          <w:p>
            <w:pPr>
              <w:pStyle w:val="BodyText"/>
            </w:pPr>
            <w:pPr>
              <w:spacing w:before="16" w:after="16"/>
            </w:pPr>
            <w:r>
              <w:t xml:space="preserve">Identify the main concern that explains why you are not already at your goal (e.g., something blocking you, something you need to fix, something you haven’t done).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C:\Users\smahoney\AppData\Local\Programs\Quarto\share\formats\docx\note.png" id="86"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 Identify Causes of Concern</w:t>
            </w:r>
          </w:p>
        </w:tc>
      </w:tr>
      <w:tr>
        <w:trPr>
          <w:cantSplit/>
        </w:trPr>
        <w:tc>
          <w:tcPr>
            <w:tcMar>
              <w:top w:w="108" w:type="dxa"/>
              <w:bottom w:w="108" w:type="dxa"/>
            </w:tcMar>
          </w:tcPr>
          <w:p>
            <w:pPr>
              <w:pStyle w:val="BodyText"/>
            </w:pPr>
            <w:pPr>
              <w:spacing w:before="16"/>
            </w:pPr>
            <w:r>
              <w:t xml:space="preserve">Identify the things that cause the concern or make it worse:</w:t>
            </w:r>
          </w:p>
          <w:p>
            <w:pPr>
              <w:pStyle w:val="Compact"/>
              <w:numPr>
                <w:ilvl w:val="0"/>
                <w:numId w:val="1025"/>
              </w:numPr>
            </w:pPr>
            <w:r>
              <w:t xml:space="preserve">Identify specific pain points that are tangible, real world, and observable that you can change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C:\Users\smahoney\AppData\Local\Programs\Quarto\share\formats\docx\note.png" id="88"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 Summarize Business Challenge</w:t>
            </w:r>
          </w:p>
        </w:tc>
      </w:tr>
      <w:tr>
        <w:trPr>
          <w:cantSplit/>
        </w:trPr>
        <w:tc>
          <w:tcPr>
            <w:tcMar>
              <w:top w:w="108" w:type="dxa"/>
              <w:bottom w:w="108" w:type="dxa"/>
            </w:tcMar>
          </w:tcPr>
          <w:p>
            <w:pPr>
              <w:pStyle w:val="BodyText"/>
            </w:pPr>
            <w:pPr>
              <w:spacing w:before="16" w:after="16"/>
            </w:pPr>
            <w:r>
              <w:t xml:space="preserve">Summarize the concern and drivers in a business challenge statement.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C:\Users\smahoney\AppData\Local\Programs\Quarto\share\formats\docx\note.png" id="90"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 Develop Desired Outcomes</w:t>
            </w:r>
          </w:p>
        </w:tc>
      </w:tr>
      <w:tr>
        <w:trPr>
          <w:cantSplit/>
        </w:trPr>
        <w:tc>
          <w:tcPr>
            <w:tcMar>
              <w:top w:w="108" w:type="dxa"/>
              <w:bottom w:w="108" w:type="dxa"/>
            </w:tcMar>
          </w:tcPr>
          <w:p>
            <w:pPr>
              <w:pStyle w:val="BodyText"/>
            </w:pPr>
            <w:pPr>
              <w:spacing w:before="16"/>
            </w:pPr>
            <w:r>
              <w:t xml:space="preserve">Develop desired outcomes that identify what changes, improvements, or benefits will address the challenges and describe the</w:t>
            </w:r>
            <w:r>
              <w:t xml:space="preserve"> </w:t>
            </w:r>
            <w:r>
              <w:t xml:space="preserve">“to-be”</w:t>
            </w:r>
            <w:r>
              <w:t xml:space="preserve"> </w:t>
            </w:r>
            <w:r>
              <w:t xml:space="preserve">state.</w:t>
            </w:r>
          </w:p>
          <w:p>
            <w:pPr>
              <w:pStyle w:val="BodyText"/>
            </w:pPr>
            <w:r>
              <w:rPr>
                <w:b/>
                <w:bCs/>
              </w:rPr>
              <w:t xml:space="preserve">Sub-activities:</w:t>
            </w:r>
          </w:p>
          <w:p>
            <w:pPr>
              <w:pStyle w:val="Compact"/>
              <w:numPr>
                <w:ilvl w:val="0"/>
                <w:numId w:val="1026"/>
              </w:numPr>
            </w:pPr>
            <w:r>
              <w:rPr>
                <w:b/>
                <w:bCs/>
              </w:rPr>
              <w:t xml:space="preserve">Reverse-engineer concerns and drivers</w:t>
            </w:r>
          </w:p>
          <w:p>
            <w:pPr>
              <w:pStyle w:val="Compact"/>
              <w:numPr>
                <w:ilvl w:val="1"/>
                <w:numId w:val="1027"/>
              </w:numPr>
            </w:pPr>
            <w:r>
              <w:t xml:space="preserve">State what they would look like when corrected. This is the first step in identifying the</w:t>
            </w:r>
            <w:r>
              <w:t xml:space="preserve"> </w:t>
            </w:r>
            <w:r>
              <w:t xml:space="preserve">“to-be”</w:t>
            </w:r>
            <w:r>
              <w:t xml:space="preserve"> </w:t>
            </w:r>
            <w:r>
              <w:t xml:space="preserve">state</w:t>
            </w:r>
          </w:p>
          <w:p>
            <w:pPr>
              <w:pStyle w:val="Compact"/>
              <w:numPr>
                <w:ilvl w:val="1"/>
                <w:numId w:val="1027"/>
              </w:numPr>
            </w:pPr>
            <w:r>
              <w:t xml:space="preserve">Example:</w:t>
            </w:r>
            <w:r>
              <w:t xml:space="preserve"> </w:t>
            </w:r>
            <w:r>
              <w:t xml:space="preserve">“Organizations are able to share information electronically”</w:t>
            </w:r>
          </w:p>
          <w:p>
            <w:pPr>
              <w:pStyle w:val="Compact"/>
              <w:numPr>
                <w:ilvl w:val="0"/>
                <w:numId w:val="1026"/>
              </w:numPr>
            </w:pPr>
            <w:r>
              <w:rPr>
                <w:b/>
                <w:bCs/>
              </w:rPr>
              <w:t xml:space="preserve">Identify the audience</w:t>
            </w:r>
          </w:p>
          <w:p>
            <w:pPr>
              <w:pStyle w:val="Compact"/>
              <w:numPr>
                <w:ilvl w:val="0"/>
                <w:numId w:val="1028"/>
              </w:numPr>
            </w:pPr>
            <w:r>
              <w:t xml:space="preserve">Identify the audience that would benefit from the outcome and the desired result from their perspective</w:t>
            </w:r>
          </w:p>
          <w:p>
            <w:pPr>
              <w:pStyle w:val="Compact"/>
              <w:numPr>
                <w:ilvl w:val="0"/>
                <w:numId w:val="1029"/>
              </w:numPr>
            </w:pPr>
            <w:r>
              <w:rPr>
                <w:b/>
                <w:bCs/>
              </w:rPr>
              <w:t xml:space="preserve">Identify needed capabilities</w:t>
            </w:r>
          </w:p>
          <w:p>
            <w:pPr>
              <w:pStyle w:val="Compact"/>
              <w:numPr>
                <w:ilvl w:val="0"/>
                <w:numId w:val="1030"/>
              </w:numPr>
            </w:pPr>
            <w:r>
              <w:t xml:space="preserve">Identify what new or improved capability is needed to correct the concerns or facilitate the drivers</w:t>
            </w:r>
          </w:p>
          <w:p>
            <w:pPr>
              <w:pStyle w:val="Compact"/>
              <w:numPr>
                <w:ilvl w:val="0"/>
                <w:numId w:val="1030"/>
              </w:numPr>
            </w:pPr>
            <w:r>
              <w:t xml:space="preserve">Identify the actor to implement the capability</w:t>
            </w:r>
          </w:p>
          <w:p>
            <w:pPr>
              <w:pStyle w:val="Compact"/>
              <w:numPr>
                <w:ilvl w:val="0"/>
                <w:numId w:val="1031"/>
              </w:numPr>
            </w:pPr>
            <w:r>
              <w:rPr>
                <w:b/>
                <w:bCs/>
              </w:rPr>
              <w:t xml:space="preserve">Summarize in Outcome Statement</w:t>
            </w:r>
          </w:p>
          <w:p>
            <w:pPr>
              <w:pStyle w:val="Compact"/>
              <w:numPr>
                <w:ilvl w:val="0"/>
                <w:numId w:val="1032"/>
              </w:numPr>
            </w:pPr>
            <w:r>
              <w:t xml:space="preserve">Summarize the capability and benefits in an Outcome Statement</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C:\Users\smahoney\AppData\Local\Programs\Quarto\share\formats\docx\note.png" id="9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 Determine Measurement Approach</w:t>
            </w:r>
          </w:p>
        </w:tc>
      </w:tr>
      <w:tr>
        <w:trPr>
          <w:cantSplit/>
        </w:trPr>
        <w:tc>
          <w:tcPr>
            <w:tcMar>
              <w:top w:w="108" w:type="dxa"/>
              <w:bottom w:w="108" w:type="dxa"/>
            </w:tcMar>
          </w:tcPr>
          <w:p>
            <w:pPr>
              <w:pStyle w:val="BodyText"/>
            </w:pPr>
            <w:pPr>
              <w:spacing w:before="16"/>
            </w:pPr>
            <w:r>
              <w:t xml:space="preserve">Determine how to measure achievement or success. Determine how to measure, monitor, and report on progress to ensure improvements or benefits are reached.</w:t>
            </w:r>
          </w:p>
          <w:p>
            <w:pPr>
              <w:pStyle w:val="BodyText"/>
            </w:pPr>
            <w:r>
              <w:rPr>
                <w:b/>
                <w:bCs/>
              </w:rPr>
              <w:t xml:space="preserve">Sub-activities:</w:t>
            </w:r>
          </w:p>
          <w:p>
            <w:pPr>
              <w:pStyle w:val="Compact"/>
              <w:numPr>
                <w:ilvl w:val="0"/>
                <w:numId w:val="1033"/>
              </w:numPr>
            </w:pPr>
            <w:r>
              <w:rPr>
                <w:b/>
                <w:bCs/>
              </w:rPr>
              <w:t xml:space="preserve">Identify success factors</w:t>
            </w:r>
          </w:p>
          <w:p>
            <w:pPr>
              <w:pStyle w:val="Compact"/>
              <w:numPr>
                <w:ilvl w:val="1"/>
                <w:numId w:val="1034"/>
              </w:numPr>
            </w:pPr>
            <w:r>
              <w:t xml:space="preserve">Identify the success factors that provide the strongest indication of success and why</w:t>
            </w:r>
          </w:p>
          <w:p>
            <w:pPr>
              <w:pStyle w:val="Compact"/>
              <w:numPr>
                <w:ilvl w:val="0"/>
                <w:numId w:val="1033"/>
              </w:numPr>
            </w:pPr>
            <w:r>
              <w:rPr>
                <w:b/>
                <w:bCs/>
              </w:rPr>
              <w:t xml:space="preserve">Define metrics</w:t>
            </w:r>
          </w:p>
          <w:p>
            <w:pPr>
              <w:pStyle w:val="Compact"/>
              <w:numPr>
                <w:ilvl w:val="0"/>
                <w:numId w:val="1035"/>
              </w:numPr>
            </w:pPr>
            <w:r>
              <w:t xml:space="preserve">For each success factor, corrected driver, and benefit, identify how to measure their status and improvement (either a metric or milestone)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C:\Users\smahoney\AppData\Local\Programs\Quarto\share\formats\docx\note.png" id="94"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 Define Success Criteria</w:t>
            </w:r>
          </w:p>
        </w:tc>
      </w:tr>
      <w:tr>
        <w:trPr>
          <w:cantSplit/>
        </w:trPr>
        <w:tc>
          <w:tcPr>
            <w:tcMar>
              <w:top w:w="108" w:type="dxa"/>
              <w:bottom w:w="108" w:type="dxa"/>
            </w:tcMar>
          </w:tcPr>
          <w:p>
            <w:pPr>
              <w:pStyle w:val="BodyText"/>
            </w:pPr>
            <w:pPr>
              <w:spacing w:before="16"/>
            </w:pPr>
            <w:r>
              <w:t xml:space="preserve">Define what success looks like and how it can be validated.</w:t>
            </w:r>
          </w:p>
          <w:p>
            <w:pPr>
              <w:pStyle w:val="BodyText"/>
            </w:pPr>
            <w:r>
              <w:rPr>
                <w:b/>
                <w:bCs/>
              </w:rPr>
              <w:t xml:space="preserve">Sub-activities:</w:t>
            </w:r>
          </w:p>
          <w:p>
            <w:pPr>
              <w:pStyle w:val="Compact"/>
              <w:numPr>
                <w:ilvl w:val="0"/>
                <w:numId w:val="1036"/>
              </w:numPr>
            </w:pPr>
            <w:r>
              <w:rPr>
                <w:b/>
                <w:bCs/>
              </w:rPr>
              <w:t xml:space="preserve">Determine time frame</w:t>
            </w:r>
          </w:p>
          <w:p>
            <w:pPr>
              <w:pStyle w:val="Compact"/>
              <w:numPr>
                <w:ilvl w:val="1"/>
                <w:numId w:val="1037"/>
              </w:numPr>
            </w:pPr>
            <w:r>
              <w:t xml:space="preserve">Determine the desired time frame for accomplishing a goal</w:t>
            </w:r>
          </w:p>
          <w:p>
            <w:pPr>
              <w:pStyle w:val="Compact"/>
              <w:numPr>
                <w:ilvl w:val="0"/>
                <w:numId w:val="1036"/>
              </w:numPr>
            </w:pPr>
            <w:r>
              <w:rPr>
                <w:b/>
                <w:bCs/>
              </w:rPr>
              <w:t xml:space="preserve">Identify target measurements</w:t>
            </w:r>
          </w:p>
          <w:p>
            <w:pPr>
              <w:pStyle w:val="Compact"/>
              <w:numPr>
                <w:ilvl w:val="0"/>
                <w:numId w:val="1038"/>
              </w:numPr>
            </w:pPr>
            <w:r>
              <w:t xml:space="preserve">Based on the metrics associated with the critical success factors, identify target measurements that will indicate success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C:\Users\smahoney\AppData\Local\Programs\Quarto\share\formats\docx\note.png" id="96"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 Create SMART Objective</w:t>
            </w:r>
          </w:p>
        </w:tc>
      </w:tr>
      <w:tr>
        <w:trPr>
          <w:cantSplit/>
        </w:trPr>
        <w:tc>
          <w:tcPr>
            <w:tcMar>
              <w:top w:w="108" w:type="dxa"/>
              <w:bottom w:w="108" w:type="dxa"/>
            </w:tcMar>
          </w:tcPr>
          <w:p>
            <w:pPr>
              <w:pStyle w:val="BodyText"/>
            </w:pPr>
            <w:pPr>
              <w:spacing w:before="16" w:after="16"/>
            </w:pPr>
            <w:r>
              <w:t xml:space="preserve">Summarize the time frame and metrics into a definition of success. The definition should be framed as a Specific, Measurable, Achievable, Relevant, and Time-bound (SMART) objective.</w:t>
            </w:r>
          </w:p>
          <w:p/>
        </w:tc>
      </w:tr>
    </w:tbl>
    <w:p>
      <w:r>
        <w:pict>
          <v:rect style="width:0;height:1.5pt" o:hralign="center" o:hrstd="t" o:hr="t"/>
        </w:pict>
      </w:r>
    </w:p>
    <w:bookmarkEnd w:id="97"/>
    <w:bookmarkStart w:id="108" w:name="sec-step2"/>
    <w:p>
      <w:pPr>
        <w:pStyle w:val="Heading2"/>
      </w:pPr>
      <w:r>
        <w:t xml:space="preserve">Step 2: Identify Capabilities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C:\Users\smahoney\AppData\Local\Programs\Quarto\share\formats\docx\note.png" id="99"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Map State-Specific Capabilities</w:t>
            </w:r>
          </w:p>
        </w:tc>
      </w:tr>
      <w:tr>
        <w:trPr>
          <w:cantSplit/>
        </w:trPr>
        <w:tc>
          <w:tcPr>
            <w:tcMar>
              <w:top w:w="108" w:type="dxa"/>
              <w:bottom w:w="108" w:type="dxa"/>
            </w:tcMar>
          </w:tcPr>
          <w:p>
            <w:pPr>
              <w:pStyle w:val="BodyText"/>
            </w:pPr>
            <w:pPr>
              <w:spacing w:before="16" w:after="16"/>
            </w:pPr>
            <w:r>
              <w:t xml:space="preserve">If already defined, map state-specific capabilities to each MITA 4.0 Capability Area. If capabilities are not defined, move to activity 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C:\Users\smahoney\AppData\Local\Programs\Quarto\share\formats\docx\note.png" id="101"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 Map Outcomes to MITA 4.0 Capability Areas</w:t>
            </w:r>
          </w:p>
        </w:tc>
      </w:tr>
      <w:tr>
        <w:trPr>
          <w:cantSplit/>
        </w:trPr>
        <w:tc>
          <w:tcPr>
            <w:tcMar>
              <w:top w:w="108" w:type="dxa"/>
              <w:bottom w:w="108" w:type="dxa"/>
            </w:tcMar>
          </w:tcPr>
          <w:p>
            <w:pPr>
              <w:pStyle w:val="BodyText"/>
            </w:pPr>
            <w:pPr>
              <w:spacing w:before="16" w:after="16"/>
            </w:pPr>
            <w:r>
              <w:t xml:space="preserve">Map outcomes from</w:t>
            </w:r>
            <w:r>
              <w:t xml:space="preserve"> </w:t>
            </w:r>
            <w:hyperlink w:anchor="sec-step1">
              <w:r>
                <w:rPr>
                  <w:rStyle w:val="Hyperlink"/>
                </w:rPr>
                <w:t xml:space="preserve">Section 7.2</w:t>
              </w:r>
            </w:hyperlink>
            <w:r>
              <w:t xml:space="preserve"> </w:t>
            </w:r>
            <w:r>
              <w:t xml:space="preserve">to MITA 4.0 Capability Areas, potentially mapping multiple outcomes to one capability area.</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C:\Users\smahoney\AppData\Local\Programs\Quarto\share\formats\docx\note.png" id="103"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 Document Current Maturity Assessment</w:t>
            </w:r>
          </w:p>
        </w:tc>
      </w:tr>
      <w:tr>
        <w:trPr>
          <w:cantSplit/>
        </w:trPr>
        <w:tc>
          <w:tcPr>
            <w:tcMar>
              <w:top w:w="108" w:type="dxa"/>
              <w:bottom w:w="108" w:type="dxa"/>
            </w:tcMar>
          </w:tcPr>
          <w:p>
            <w:pPr>
              <w:pStyle w:val="BodyText"/>
            </w:pPr>
            <w:pPr>
              <w:spacing w:before="16" w:after="16"/>
            </w:pPr>
            <w:r>
              <w:t xml:space="preserve">If applicable, document the latest maturity assessment for those capability areas mapped to outcomes. The capability maturity assessment scores may help to define the projects needed to achieve outcomes. The assessment may also help shape the initial identified outcomes and add more information.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C:\Users\smahoney\AppData\Local\Programs\Quarto\share\formats\docx\note.png" id="105"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 Document Target Maturity</w:t>
            </w:r>
          </w:p>
        </w:tc>
      </w:tr>
      <w:tr>
        <w:trPr>
          <w:cantSplit/>
        </w:trPr>
        <w:tc>
          <w:tcPr>
            <w:tcMar>
              <w:top w:w="108" w:type="dxa"/>
              <w:bottom w:w="108" w:type="dxa"/>
            </w:tcMar>
          </w:tcPr>
          <w:p>
            <w:pPr>
              <w:pStyle w:val="BodyText"/>
            </w:pPr>
            <w:pPr>
              <w:spacing w:before="16" w:after="16"/>
            </w:pPr>
            <w:r>
              <w:t xml:space="preserve">Document the target maturity for each capability area mapped to an outcome.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C:\Users\smahoney\AppData\Local\Programs\Quarto\share\formats\docx\note.png" id="107"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 Update Capability Mapping</w:t>
            </w:r>
          </w:p>
        </w:tc>
      </w:tr>
      <w:tr>
        <w:trPr>
          <w:cantSplit/>
        </w:trPr>
        <w:tc>
          <w:tcPr>
            <w:tcMar>
              <w:top w:w="108" w:type="dxa"/>
              <w:bottom w:w="108" w:type="dxa"/>
            </w:tcMar>
          </w:tcPr>
          <w:p>
            <w:pPr>
              <w:pStyle w:val="BodyText"/>
            </w:pPr>
            <w:pPr>
              <w:spacing w:before="16" w:after="16"/>
            </w:pPr>
            <w:r>
              <w:t xml:space="preserve">Update capability mapping as state-specific capabilities are defined and as maturity assessments are conducted.</w:t>
            </w:r>
          </w:p>
          <w:p/>
        </w:tc>
      </w:tr>
    </w:tbl>
    <w:p>
      <w:r>
        <w:pict>
          <v:rect style="width:0;height:1.5pt" o:hralign="center" o:hrstd="t" o:hr="t"/>
        </w:pict>
      </w:r>
    </w:p>
    <w:bookmarkEnd w:id="108"/>
    <w:bookmarkStart w:id="122" w:name="sec-step3"/>
    <w:p>
      <w:pPr>
        <w:pStyle w:val="Heading2"/>
      </w:pPr>
      <w:r>
        <w:t xml:space="preserve">Step 3: Define Architecture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C:\Users\smahoney\AppData\Local\Programs\Quarto\share\formats\docx\note.png" id="110"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3.1 Define Architectural Approach</w:t>
            </w:r>
          </w:p>
        </w:tc>
      </w:tr>
      <w:tr>
        <w:trPr>
          <w:cantSplit/>
        </w:trPr>
        <w:tc>
          <w:tcPr>
            <w:tcMar>
              <w:top w:w="108" w:type="dxa"/>
              <w:bottom w:w="108" w:type="dxa"/>
            </w:tcMar>
          </w:tcPr>
          <w:p>
            <w:pPr>
              <w:pStyle w:val="BodyText"/>
            </w:pPr>
            <w:pPr>
              <w:spacing w:before="16"/>
            </w:pPr>
            <w:r>
              <w:t xml:space="preserve">This section outlines the approach for defining Business Architecture (BA), Information Architecture (IA), and Technical Architecture (TA). The following table summarizes the key activities for each architecture domain:</w:t>
            </w:r>
          </w:p>
          <w:p>
            <w:pPr>
              <w:pStyle w:val="Heading4"/>
            </w:pPr>
            <w:r>
              <w:t xml:space="preserve">Business Architecture</w:t>
            </w:r>
          </w:p>
          <w:p>
            <w:pPr>
              <w:pStyle w:val="FirstParagraph"/>
            </w:pPr>
            <w:r>
              <w:rPr>
                <w:b/>
                <w:bCs/>
              </w:rPr>
              <w:t xml:space="preserve">BA Activities:</w:t>
            </w:r>
          </w:p>
          <w:p>
            <w:pPr>
              <w:pStyle w:val="Compact"/>
              <w:numPr>
                <w:ilvl w:val="0"/>
                <w:numId w:val="1039"/>
              </w:numPr>
            </w:pPr>
            <w:r>
              <w:t xml:space="preserve">Select required viewpoints - Determine overall modeling process - Identify required catalogs - Identify required matrices - Identify required diagrams</w:t>
            </w:r>
          </w:p>
          <w:p>
            <w:pPr>
              <w:pStyle w:val="Compact"/>
              <w:numPr>
                <w:ilvl w:val="0"/>
                <w:numId w:val="1039"/>
              </w:numPr>
            </w:pPr>
            <w:r>
              <w:t xml:space="preserve">Identify types of requirements to be collected</w:t>
            </w:r>
          </w:p>
          <w:p>
            <w:pPr>
              <w:pStyle w:val="Compact"/>
              <w:numPr>
                <w:ilvl w:val="0"/>
                <w:numId w:val="1039"/>
              </w:numPr>
            </w:pPr>
            <w:r>
              <w:t xml:space="preserve">Select required reference models - Business capability and business process reference models</w:t>
            </w:r>
          </w:p>
          <w:p>
            <w:pPr>
              <w:pStyle w:val="Compact"/>
              <w:numPr>
                <w:ilvl w:val="0"/>
                <w:numId w:val="1039"/>
              </w:numPr>
            </w:pPr>
            <w:r>
              <w:t xml:space="preserve">Select required tools</w:t>
            </w:r>
          </w:p>
          <w:p>
            <w:pPr>
              <w:pStyle w:val="Heading4"/>
            </w:pPr>
            <w:r>
              <w:t xml:space="preserve">Information Architecture</w:t>
            </w:r>
          </w:p>
          <w:p>
            <w:pPr>
              <w:pStyle w:val="FirstParagraph"/>
            </w:pPr>
            <w:r>
              <w:rPr>
                <w:b/>
                <w:bCs/>
              </w:rPr>
              <w:t xml:space="preserve">IA Activities:</w:t>
            </w:r>
          </w:p>
          <w:p>
            <w:pPr>
              <w:pStyle w:val="Compact"/>
              <w:numPr>
                <w:ilvl w:val="0"/>
                <w:numId w:val="1040"/>
              </w:numPr>
            </w:pPr>
            <w:r>
              <w:t xml:space="preserve">Select required viewpoints - Determine overall modeling process - Identify required catalogs of data building blocks - Identify required matrices - Identify required diagrams</w:t>
            </w:r>
          </w:p>
          <w:p>
            <w:pPr>
              <w:pStyle w:val="Compact"/>
              <w:numPr>
                <w:ilvl w:val="0"/>
                <w:numId w:val="1040"/>
              </w:numPr>
            </w:pPr>
            <w:r>
              <w:t xml:space="preserve">Identify types of requirements to be collected</w:t>
            </w:r>
          </w:p>
          <w:p>
            <w:pPr>
              <w:pStyle w:val="Compact"/>
              <w:numPr>
                <w:ilvl w:val="0"/>
                <w:numId w:val="1040"/>
              </w:numPr>
            </w:pPr>
            <w:r>
              <w:t xml:space="preserve">Select required reference models - Data reference models</w:t>
            </w:r>
          </w:p>
          <w:p>
            <w:pPr>
              <w:pStyle w:val="Compact"/>
              <w:numPr>
                <w:ilvl w:val="0"/>
                <w:numId w:val="1040"/>
              </w:numPr>
            </w:pPr>
            <w:r>
              <w:t xml:space="preserve">Select required tools</w:t>
            </w:r>
          </w:p>
          <w:p>
            <w:pPr>
              <w:pStyle w:val="Heading4"/>
            </w:pPr>
            <w:r>
              <w:t xml:space="preserve">Technical Architecture</w:t>
            </w:r>
          </w:p>
          <w:p>
            <w:pPr>
              <w:pStyle w:val="FirstParagraph"/>
            </w:pPr>
            <w:r>
              <w:rPr>
                <w:b/>
                <w:bCs/>
              </w:rPr>
              <w:t xml:space="preserve">TA Activities:</w:t>
            </w:r>
          </w:p>
          <w:p>
            <w:pPr>
              <w:pStyle w:val="Compact"/>
              <w:numPr>
                <w:ilvl w:val="0"/>
                <w:numId w:val="1041"/>
              </w:numPr>
            </w:pPr>
            <w:r>
              <w:t xml:space="preserve">Identify TA viewpoints</w:t>
            </w:r>
          </w:p>
          <w:p>
            <w:pPr>
              <w:pStyle w:val="Compact"/>
              <w:numPr>
                <w:ilvl w:val="0"/>
                <w:numId w:val="1041"/>
              </w:numPr>
            </w:pPr>
            <w:r>
              <w:t xml:space="preserve">Identify types of requirements - Functional - Non-functional - Regulatory/compliance - Integration - Technology constraints</w:t>
            </w:r>
          </w:p>
          <w:p>
            <w:pPr>
              <w:pStyle w:val="Compact"/>
              <w:numPr>
                <w:ilvl w:val="0"/>
                <w:numId w:val="1041"/>
              </w:numPr>
            </w:pPr>
            <w:r>
              <w:t xml:space="preserve">Select required reference model</w:t>
            </w:r>
          </w:p>
          <w:p>
            <w:pPr>
              <w:pStyle w:val="Compact"/>
              <w:numPr>
                <w:ilvl w:val="0"/>
                <w:numId w:val="1041"/>
              </w:numPr>
            </w:pPr>
            <w:r>
              <w:t xml:space="preserve">Select required tools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C:\Users\smahoney\AppData\Local\Programs\Quarto\share\formats\docx\note.png" id="11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3.2 Define Baseline Capability Architecture</w:t>
            </w:r>
          </w:p>
        </w:tc>
      </w:tr>
      <w:tr>
        <w:trPr>
          <w:cantSplit/>
        </w:trPr>
        <w:tc>
          <w:tcPr>
            <w:tcMar>
              <w:top w:w="108" w:type="dxa"/>
              <w:bottom w:w="108" w:type="dxa"/>
            </w:tcMar>
          </w:tcPr>
          <w:p>
            <w:pPr>
              <w:pStyle w:val="Heading4"/>
            </w:pPr>
            <w:r>
              <w:t xml:space="preserve">Business Architecture</w:t>
            </w:r>
          </w:p>
          <w:p>
            <w:pPr>
              <w:pStyle w:val="FirstParagraph"/>
            </w:pPr>
            <w:r>
              <w:rPr>
                <w:b/>
                <w:bCs/>
              </w:rPr>
              <w:t xml:space="preserve">Baseline BA Activities:</w:t>
            </w:r>
          </w:p>
          <w:p>
            <w:pPr>
              <w:pStyle w:val="Compact"/>
              <w:numPr>
                <w:ilvl w:val="0"/>
                <w:numId w:val="1042"/>
              </w:numPr>
            </w:pPr>
            <w:r>
              <w:t xml:space="preserve">Identify how the process(es) are performed, including any measures, metrics, and reports produced for the impacted capability(ies)</w:t>
            </w:r>
          </w:p>
          <w:p>
            <w:pPr>
              <w:pStyle w:val="Compact"/>
              <w:numPr>
                <w:ilvl w:val="0"/>
                <w:numId w:val="1042"/>
              </w:numPr>
            </w:pPr>
            <w:r>
              <w:t xml:space="preserve">Identify the activities that are currently performed to support the process(es) for the impacted capability(ies)</w:t>
            </w:r>
          </w:p>
          <w:p>
            <w:pPr>
              <w:pStyle w:val="Compact"/>
              <w:numPr>
                <w:ilvl w:val="0"/>
                <w:numId w:val="1042"/>
              </w:numPr>
            </w:pPr>
            <w:r>
              <w:t xml:space="preserve">Identify the business process roles and stakeholders for each process</w:t>
            </w:r>
          </w:p>
          <w:p>
            <w:pPr>
              <w:pStyle w:val="Compact"/>
              <w:numPr>
                <w:ilvl w:val="0"/>
                <w:numId w:val="1042"/>
              </w:numPr>
            </w:pPr>
            <w:r>
              <w:t xml:space="preserve">Identify standards and regulations (state and federal) required for each process</w:t>
            </w:r>
          </w:p>
          <w:p>
            <w:pPr>
              <w:pStyle w:val="Compact"/>
              <w:numPr>
                <w:ilvl w:val="0"/>
                <w:numId w:val="1042"/>
              </w:numPr>
            </w:pPr>
            <w:r>
              <w:t xml:space="preserve">Gather all supporting documentation (e.g., SOPs, desk manuals) for the identified process(es)</w:t>
            </w:r>
          </w:p>
          <w:p>
            <w:pPr>
              <w:pStyle w:val="Compact"/>
              <w:numPr>
                <w:ilvl w:val="0"/>
                <w:numId w:val="1042"/>
              </w:numPr>
            </w:pPr>
            <w:r>
              <w:t xml:space="preserve">Assess the current (if available) performance metrics for each process</w:t>
            </w:r>
          </w:p>
          <w:p>
            <w:pPr>
              <w:pStyle w:val="Compact"/>
              <w:numPr>
                <w:ilvl w:val="0"/>
                <w:numId w:val="1042"/>
              </w:numPr>
            </w:pPr>
            <w:r>
              <w:t xml:space="preserve">Use the information gathered to develop baseline business architecture artifacts</w:t>
            </w:r>
          </w:p>
          <w:p>
            <w:pPr>
              <w:pStyle w:val="Compact"/>
              <w:numPr>
                <w:ilvl w:val="0"/>
                <w:numId w:val="1042"/>
              </w:numPr>
            </w:pPr>
            <w:r>
              <w:t xml:space="preserve">Assess the baseline business architecture maturity</w:t>
            </w:r>
          </w:p>
          <w:p>
            <w:pPr>
              <w:pStyle w:val="Heading4"/>
            </w:pPr>
            <w:r>
              <w:t xml:space="preserve">Information Architecture</w:t>
            </w:r>
          </w:p>
          <w:p>
            <w:pPr>
              <w:pStyle w:val="FirstParagraph"/>
            </w:pPr>
            <w:r>
              <w:rPr>
                <w:b/>
                <w:bCs/>
              </w:rPr>
              <w:t xml:space="preserve">Baseline IA Activities:</w:t>
            </w:r>
          </w:p>
          <w:p>
            <w:pPr>
              <w:pStyle w:val="Compact"/>
              <w:numPr>
                <w:ilvl w:val="0"/>
                <w:numId w:val="1043"/>
              </w:numPr>
            </w:pPr>
            <w:r>
              <w:t xml:space="preserve">Identify how the data is currently used, including any measures, metrics, and reports produced for the impacted processes</w:t>
            </w:r>
          </w:p>
          <w:p>
            <w:pPr>
              <w:pStyle w:val="Compact"/>
              <w:numPr>
                <w:ilvl w:val="0"/>
                <w:numId w:val="1043"/>
              </w:numPr>
            </w:pPr>
            <w:r>
              <w:t xml:space="preserve">Identify the data assets that are currently used to support the identified data usage for the impacted processes</w:t>
            </w:r>
          </w:p>
          <w:p>
            <w:pPr>
              <w:pStyle w:val="Compact"/>
              <w:numPr>
                <w:ilvl w:val="0"/>
                <w:numId w:val="1043"/>
              </w:numPr>
            </w:pPr>
            <w:r>
              <w:t xml:space="preserve">Identify the data governance role stakeholders for each data asset</w:t>
            </w:r>
          </w:p>
          <w:p>
            <w:pPr>
              <w:pStyle w:val="Compact"/>
              <w:numPr>
                <w:ilvl w:val="0"/>
                <w:numId w:val="1043"/>
              </w:numPr>
            </w:pPr>
            <w:r>
              <w:t xml:space="preserve">Identify adopted data standards for each data asset</w:t>
            </w:r>
          </w:p>
          <w:p>
            <w:pPr>
              <w:pStyle w:val="Compact"/>
              <w:numPr>
                <w:ilvl w:val="0"/>
                <w:numId w:val="1043"/>
              </w:numPr>
            </w:pPr>
            <w:r>
              <w:t xml:space="preserve">Gather all supporting documentation (e.g., data dictionary) for the identified data assets</w:t>
            </w:r>
          </w:p>
          <w:p>
            <w:pPr>
              <w:pStyle w:val="Compact"/>
              <w:numPr>
                <w:ilvl w:val="0"/>
                <w:numId w:val="1043"/>
              </w:numPr>
            </w:pPr>
            <w:r>
              <w:t xml:space="preserve">Assess the current quality of the data</w:t>
            </w:r>
          </w:p>
          <w:p>
            <w:pPr>
              <w:pStyle w:val="Compact"/>
              <w:numPr>
                <w:ilvl w:val="0"/>
                <w:numId w:val="1043"/>
              </w:numPr>
            </w:pPr>
            <w:r>
              <w:t xml:space="preserve">Use the information gathered to develop baseline information architecture artifacts</w:t>
            </w:r>
          </w:p>
          <w:p>
            <w:pPr>
              <w:pStyle w:val="Compact"/>
              <w:numPr>
                <w:ilvl w:val="0"/>
                <w:numId w:val="1043"/>
              </w:numPr>
            </w:pPr>
            <w:r>
              <w:t xml:space="preserve">Assess the baseline information architecture maturity</w:t>
            </w:r>
          </w:p>
          <w:p>
            <w:pPr>
              <w:pStyle w:val="Heading4"/>
            </w:pPr>
            <w:r>
              <w:t xml:space="preserve">Technical Architecture</w:t>
            </w:r>
          </w:p>
          <w:p>
            <w:pPr>
              <w:pStyle w:val="FirstParagraph"/>
            </w:pPr>
            <w:r>
              <w:rPr>
                <w:b/>
                <w:bCs/>
              </w:rPr>
              <w:t xml:space="preserve">Baseline TA Activities:</w:t>
            </w:r>
          </w:p>
          <w:p>
            <w:pPr>
              <w:pStyle w:val="Compact"/>
              <w:numPr>
                <w:ilvl w:val="0"/>
                <w:numId w:val="1044"/>
              </w:numPr>
            </w:pPr>
            <w:r>
              <w:t xml:space="preserve">Create an inventory of all existing applications used by impacted capability(ies)</w:t>
            </w:r>
          </w:p>
          <w:p>
            <w:pPr>
              <w:pStyle w:val="Compact"/>
              <w:numPr>
                <w:ilvl w:val="0"/>
                <w:numId w:val="1044"/>
              </w:numPr>
            </w:pPr>
            <w:r>
              <w:t xml:space="preserve">Catalog technical components used for non-SaaS delivery, including on-premise, hybrid, and cloud environments</w:t>
            </w:r>
          </w:p>
          <w:p>
            <w:pPr>
              <w:pStyle w:val="Compact"/>
              <w:numPr>
                <w:ilvl w:val="0"/>
                <w:numId w:val="1044"/>
              </w:numPr>
            </w:pPr>
            <w:r>
              <w:t xml:space="preserve">Identify the technical roles involved in the planning and delivery of applications and technical components</w:t>
            </w:r>
          </w:p>
          <w:p>
            <w:pPr>
              <w:pStyle w:val="Compact"/>
              <w:numPr>
                <w:ilvl w:val="0"/>
                <w:numId w:val="1044"/>
              </w:numPr>
            </w:pPr>
            <w:r>
              <w:t xml:space="preserve">Map each component to its associated business process</w:t>
            </w:r>
          </w:p>
          <w:p>
            <w:pPr>
              <w:pStyle w:val="Compact"/>
              <w:numPr>
                <w:ilvl w:val="0"/>
                <w:numId w:val="1044"/>
              </w:numPr>
            </w:pPr>
            <w:r>
              <w:t xml:space="preserve">Align components with corresponding business and technical capabilities</w:t>
            </w:r>
          </w:p>
          <w:p>
            <w:pPr>
              <w:pStyle w:val="Compact"/>
              <w:numPr>
                <w:ilvl w:val="0"/>
                <w:numId w:val="1044"/>
              </w:numPr>
            </w:pPr>
            <w:r>
              <w:t xml:space="preserve">Link components to relevant data assets</w:t>
            </w:r>
          </w:p>
          <w:p>
            <w:pPr>
              <w:pStyle w:val="Compact"/>
              <w:numPr>
                <w:ilvl w:val="0"/>
                <w:numId w:val="1044"/>
              </w:numPr>
            </w:pPr>
            <w:r>
              <w:t xml:space="preserve">Identify all non-functional requirements and regulatory/compliance mandates that apply to impacted capability(ies)</w:t>
            </w:r>
          </w:p>
          <w:p>
            <w:pPr>
              <w:pStyle w:val="Compact"/>
              <w:numPr>
                <w:ilvl w:val="0"/>
                <w:numId w:val="1044"/>
              </w:numPr>
            </w:pPr>
            <w:r>
              <w:t xml:space="preserve">Identify Service Level Objectives and Agreements and measures</w:t>
            </w:r>
          </w:p>
          <w:p>
            <w:pPr>
              <w:pStyle w:val="Compact"/>
              <w:numPr>
                <w:ilvl w:val="0"/>
                <w:numId w:val="1044"/>
              </w:numPr>
            </w:pPr>
            <w:r>
              <w:t xml:space="preserve">Identify existing technical standards (e.g., Single sign-on and Multi-factor authentication)</w:t>
            </w:r>
          </w:p>
          <w:p>
            <w:pPr>
              <w:pStyle w:val="Compact"/>
              <w:numPr>
                <w:ilvl w:val="0"/>
                <w:numId w:val="1044"/>
              </w:numPr>
            </w:pPr>
            <w:r>
              <w:t xml:space="preserve">Identify existing gaps, risks, and technical debt</w:t>
            </w:r>
          </w:p>
          <w:p>
            <w:pPr>
              <w:pStyle w:val="Compact"/>
              <w:numPr>
                <w:ilvl w:val="0"/>
                <w:numId w:val="1044"/>
              </w:numPr>
            </w:pPr>
            <w:r>
              <w:t xml:space="preserve">Assess the baseline technical architecture maturity</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C:\Users\smahoney\AppData\Local\Programs\Quarto\share\formats\docx\note.png" id="114"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3.3 Define Target Capability Architecture</w:t>
            </w:r>
          </w:p>
        </w:tc>
      </w:tr>
      <w:tr>
        <w:trPr>
          <w:cantSplit/>
        </w:trPr>
        <w:tc>
          <w:tcPr>
            <w:tcMar>
              <w:top w:w="108" w:type="dxa"/>
              <w:bottom w:w="108" w:type="dxa"/>
            </w:tcMar>
          </w:tcPr>
          <w:p>
            <w:pPr>
              <w:pStyle w:val="Heading4"/>
            </w:pPr>
            <w:r>
              <w:t xml:space="preserve">Business Architecture</w:t>
            </w:r>
          </w:p>
          <w:p>
            <w:pPr>
              <w:pStyle w:val="FirstParagraph"/>
            </w:pPr>
            <w:r>
              <w:rPr>
                <w:b/>
                <w:bCs/>
              </w:rPr>
              <w:t xml:space="preserve">Target BA Activities:</w:t>
            </w:r>
          </w:p>
          <w:p>
            <w:pPr>
              <w:pStyle w:val="Compact"/>
              <w:numPr>
                <w:ilvl w:val="0"/>
                <w:numId w:val="1045"/>
              </w:numPr>
            </w:pPr>
            <w:r>
              <w:t xml:space="preserve">Assess the Target Business Capability Maturity</w:t>
            </w:r>
          </w:p>
          <w:p>
            <w:pPr>
              <w:pStyle w:val="Compact"/>
              <w:numPr>
                <w:ilvl w:val="0"/>
                <w:numId w:val="1045"/>
              </w:numPr>
            </w:pPr>
            <w:r>
              <w:t xml:space="preserve">Identify the target process(es) required to perform, including any measures, metrics, and reports produced for the impacted capability(ies)</w:t>
            </w:r>
          </w:p>
          <w:p>
            <w:pPr>
              <w:pStyle w:val="Compact"/>
              <w:numPr>
                <w:ilvl w:val="0"/>
                <w:numId w:val="1045"/>
              </w:numPr>
            </w:pPr>
            <w:r>
              <w:t xml:space="preserve">Identify the target activities required to support the process(es) for the impacted capability(ies)</w:t>
            </w:r>
          </w:p>
          <w:p>
            <w:pPr>
              <w:pStyle w:val="Compact"/>
              <w:numPr>
                <w:ilvl w:val="0"/>
                <w:numId w:val="1045"/>
              </w:numPr>
            </w:pPr>
            <w:r>
              <w:t xml:space="preserve">Identify the target business process roles and stakeholders for each process</w:t>
            </w:r>
          </w:p>
          <w:p>
            <w:pPr>
              <w:pStyle w:val="Compact"/>
              <w:numPr>
                <w:ilvl w:val="0"/>
                <w:numId w:val="1045"/>
              </w:numPr>
            </w:pPr>
            <w:r>
              <w:t xml:space="preserve">Identify standards and regulations (state and federal) required for each target process</w:t>
            </w:r>
          </w:p>
          <w:p>
            <w:pPr>
              <w:pStyle w:val="Compact"/>
              <w:numPr>
                <w:ilvl w:val="0"/>
                <w:numId w:val="1045"/>
              </w:numPr>
            </w:pPr>
            <w:r>
              <w:t xml:space="preserve">Develop target business architecture artifacts</w:t>
            </w:r>
          </w:p>
          <w:p>
            <w:pPr>
              <w:pStyle w:val="Heading4"/>
            </w:pPr>
            <w:r>
              <w:t xml:space="preserve">Information Architecture</w:t>
            </w:r>
          </w:p>
          <w:p>
            <w:pPr>
              <w:pStyle w:val="FirstParagraph"/>
            </w:pPr>
            <w:r>
              <w:rPr>
                <w:b/>
                <w:bCs/>
              </w:rPr>
              <w:t xml:space="preserve">Target IA Activities:</w:t>
            </w:r>
          </w:p>
          <w:p>
            <w:pPr>
              <w:pStyle w:val="Compact"/>
              <w:numPr>
                <w:ilvl w:val="0"/>
                <w:numId w:val="1046"/>
              </w:numPr>
            </w:pPr>
            <w:r>
              <w:t xml:space="preserve">Assess the target Information Architecture Maturity</w:t>
            </w:r>
          </w:p>
          <w:p>
            <w:pPr>
              <w:pStyle w:val="Compact"/>
              <w:numPr>
                <w:ilvl w:val="0"/>
                <w:numId w:val="1046"/>
              </w:numPr>
            </w:pPr>
            <w:r>
              <w:t xml:space="preserve">Identify the target data usage for each business process, including desired reports, dashboards, and other business intelligence products</w:t>
            </w:r>
          </w:p>
          <w:p>
            <w:pPr>
              <w:pStyle w:val="Compact"/>
              <w:numPr>
                <w:ilvl w:val="0"/>
                <w:numId w:val="1046"/>
              </w:numPr>
            </w:pPr>
            <w:r>
              <w:t xml:space="preserve">Identify the type and source of data that is needed to support the targeted data usage (Conceptual Data Model)</w:t>
            </w:r>
          </w:p>
          <w:p>
            <w:pPr>
              <w:pStyle w:val="Compact"/>
              <w:numPr>
                <w:ilvl w:val="0"/>
                <w:numId w:val="1046"/>
              </w:numPr>
            </w:pPr>
            <w:r>
              <w:t xml:space="preserve">Identify the key relationships across the data that is needed to support the targeted data usage</w:t>
            </w:r>
          </w:p>
          <w:p>
            <w:pPr>
              <w:pStyle w:val="Compact"/>
              <w:numPr>
                <w:ilvl w:val="0"/>
                <w:numId w:val="1046"/>
              </w:numPr>
            </w:pPr>
            <w:r>
              <w:t xml:space="preserve">Identify the data governance roles for the targeted data</w:t>
            </w:r>
          </w:p>
          <w:p>
            <w:pPr>
              <w:pStyle w:val="Compact"/>
              <w:numPr>
                <w:ilvl w:val="0"/>
                <w:numId w:val="1046"/>
              </w:numPr>
            </w:pPr>
            <w:r>
              <w:t xml:space="preserve">Identify data standards needed for all targeted data</w:t>
            </w:r>
          </w:p>
          <w:p>
            <w:pPr>
              <w:pStyle w:val="Compact"/>
              <w:numPr>
                <w:ilvl w:val="0"/>
                <w:numId w:val="1046"/>
              </w:numPr>
            </w:pPr>
            <w:r>
              <w:t xml:space="preserve">Define the key data elements needed for all targeted data (Logical Data Model)</w:t>
            </w:r>
          </w:p>
          <w:p>
            <w:pPr>
              <w:pStyle w:val="Compact"/>
              <w:numPr>
                <w:ilvl w:val="0"/>
                <w:numId w:val="1046"/>
              </w:numPr>
            </w:pPr>
            <w:r>
              <w:t xml:space="preserve">Define the targeted data quality rules and metrics</w:t>
            </w:r>
          </w:p>
          <w:p>
            <w:pPr>
              <w:pStyle w:val="Compact"/>
              <w:numPr>
                <w:ilvl w:val="0"/>
                <w:numId w:val="1046"/>
              </w:numPr>
            </w:pPr>
            <w:r>
              <w:t xml:space="preserve">Use the information gathered to develop target information architecture views</w:t>
            </w:r>
          </w:p>
          <w:p>
            <w:pPr>
              <w:pStyle w:val="Heading4"/>
            </w:pPr>
            <w:r>
              <w:t xml:space="preserve">Technical Architecture</w:t>
            </w:r>
          </w:p>
          <w:p>
            <w:pPr>
              <w:pStyle w:val="FirstParagraph"/>
            </w:pPr>
            <w:r>
              <w:rPr>
                <w:b/>
                <w:bCs/>
              </w:rPr>
              <w:t xml:space="preserve">Target TA Activities:</w:t>
            </w:r>
          </w:p>
          <w:p>
            <w:pPr>
              <w:pStyle w:val="Compact"/>
              <w:numPr>
                <w:ilvl w:val="0"/>
                <w:numId w:val="1047"/>
              </w:numPr>
            </w:pPr>
            <w:r>
              <w:t xml:space="preserve">Define target Technology Architecture Maturity Level</w:t>
            </w:r>
          </w:p>
          <w:p>
            <w:pPr>
              <w:pStyle w:val="Compact"/>
              <w:numPr>
                <w:ilvl w:val="0"/>
                <w:numId w:val="1047"/>
              </w:numPr>
            </w:pPr>
            <w:r>
              <w:t xml:space="preserve">Define the technology strategy and standards (module integration, security compliance, shared services)</w:t>
            </w:r>
          </w:p>
          <w:p>
            <w:pPr>
              <w:pStyle w:val="Compact"/>
              <w:numPr>
                <w:ilvl w:val="0"/>
                <w:numId w:val="1047"/>
              </w:numPr>
            </w:pPr>
            <w:r>
              <w:t xml:space="preserve">Rationalize application portfolio (retain, retire, replace, or consolidate)</w:t>
            </w:r>
          </w:p>
          <w:p>
            <w:pPr>
              <w:pStyle w:val="Compact"/>
              <w:numPr>
                <w:ilvl w:val="0"/>
                <w:numId w:val="1047"/>
              </w:numPr>
            </w:pPr>
            <w:r>
              <w:t xml:space="preserve">Specify future technology components and hosting model (cloud, hybrid, SaaS, on-prem)</w:t>
            </w:r>
          </w:p>
          <w:p>
            <w:pPr>
              <w:pStyle w:val="Compact"/>
              <w:numPr>
                <w:ilvl w:val="0"/>
                <w:numId w:val="1047"/>
              </w:numPr>
            </w:pPr>
            <w:r>
              <w:t xml:space="preserve">Incorporate regulatory mandates and security and compliance principles</w:t>
            </w:r>
          </w:p>
          <w:p>
            <w:pPr>
              <w:pStyle w:val="Compact"/>
              <w:numPr>
                <w:ilvl w:val="0"/>
                <w:numId w:val="1047"/>
              </w:numPr>
            </w:pPr>
            <w:r>
              <w:t xml:space="preserve">Create the target-state application and technology views and diagrams</w:t>
            </w:r>
          </w:p>
          <w:p>
            <w:pPr>
              <w:pStyle w:val="Compact"/>
              <w:numPr>
                <w:ilvl w:val="0"/>
                <w:numId w:val="1047"/>
              </w:numPr>
            </w:pPr>
            <w:r>
              <w:t xml:space="preserve">Establish target non-functional requirements (performance, availability, scalability, business continuity, security) and service level objectives (uptime, monitoring, alerting)</w:t>
            </w:r>
          </w:p>
          <w:p>
            <w:pPr>
              <w:pStyle w:val="Compact"/>
              <w:numPr>
                <w:ilvl w:val="0"/>
                <w:numId w:val="1047"/>
              </w:numPr>
            </w:pPr>
            <w:r>
              <w:t xml:space="preserve">Plan technical debt remediation and modernization</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C:\Users\smahoney\AppData\Local\Programs\Quarto\share\formats\docx\important.png" id="117"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3.4 Align Architectures and CONOPS</w:t>
            </w:r>
          </w:p>
        </w:tc>
      </w:tr>
      <w:tr>
        <w:trPr>
          <w:cantSplit/>
        </w:trPr>
        <w:tc>
          <w:tcPr>
            <w:tcMar>
              <w:top w:w="108" w:type="dxa"/>
              <w:bottom w:w="108" w:type="dxa"/>
            </w:tcMar>
          </w:tcPr>
          <w:bookmarkStart w:id="118" w:name="architecture-alignment-activities"/>
          <w:p>
            <w:pPr>
              <w:pStyle w:val="Heading4"/>
            </w:pPr>
            <w:r>
              <w:t xml:space="preserve">Architecture Alignment Activities</w:t>
            </w:r>
          </w:p>
          <w:p>
            <w:pPr>
              <w:pStyle w:val="Compact"/>
              <w:numPr>
                <w:ilvl w:val="0"/>
                <w:numId w:val="1048"/>
              </w:numPr>
            </w:pPr>
            <w:r>
              <w:t xml:space="preserve">Align information architecture to business processes and policies</w:t>
            </w:r>
          </w:p>
          <w:p>
            <w:pPr>
              <w:pStyle w:val="Compact"/>
              <w:numPr>
                <w:ilvl w:val="0"/>
                <w:numId w:val="1048"/>
              </w:numPr>
            </w:pPr>
            <w:r>
              <w:t xml:space="preserve">Align information architecture to applications</w:t>
            </w:r>
          </w:p>
          <w:p>
            <w:pPr>
              <w:pStyle w:val="Compact"/>
              <w:numPr>
                <w:ilvl w:val="0"/>
                <w:numId w:val="1048"/>
              </w:numPr>
            </w:pPr>
            <w:r>
              <w:t xml:space="preserve">Map the technology components to technical capabilities</w:t>
            </w:r>
          </w:p>
          <w:p>
            <w:pPr>
              <w:pStyle w:val="Compact"/>
              <w:numPr>
                <w:ilvl w:val="0"/>
                <w:numId w:val="1048"/>
              </w:numPr>
            </w:pPr>
            <w:r>
              <w:t xml:space="preserve">Map the applications to business capabilities and business processes</w:t>
            </w:r>
          </w:p>
          <w:p>
            <w:pPr>
              <w:pStyle w:val="Compact"/>
              <w:numPr>
                <w:ilvl w:val="0"/>
                <w:numId w:val="1048"/>
              </w:numPr>
            </w:pPr>
            <w:r>
              <w:t xml:space="preserve">Map the target data lineage to applications</w:t>
            </w:r>
          </w:p>
          <w:p>
            <w:pPr>
              <w:pStyle w:val="Compact"/>
              <w:numPr>
                <w:ilvl w:val="0"/>
                <w:numId w:val="1048"/>
              </w:numPr>
            </w:pPr>
            <w:r>
              <w:t xml:space="preserve">Define target integration architecture (API first, messaging)</w:t>
            </w:r>
          </w:p>
          <w:p>
            <w:pPr>
              <w:pStyle w:val="Compact"/>
              <w:numPr>
                <w:ilvl w:val="0"/>
                <w:numId w:val="1048"/>
              </w:numPr>
            </w:pPr>
            <w:r>
              <w:t xml:space="preserve">Define the architectural requirements for the capability to achieve the target maturity</w:t>
            </w:r>
          </w:p>
          <w:p>
            <w:pPr>
              <w:pStyle w:val="Compact"/>
              <w:numPr>
                <w:ilvl w:val="0"/>
                <w:numId w:val="1048"/>
              </w:numPr>
            </w:pPr>
            <w:r>
              <w:t xml:space="preserve">Develop Concept of Operations (CONOPS)</w:t>
            </w:r>
          </w:p>
          <w:p/>
        </w:tc>
      </w:tr>
    </w:tbl>
    <w:bookmarkEnd w:id="118"/>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C:\Users\smahoney\AppData\Local\Programs\Quarto\share\formats\docx\note.png" id="120"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3.5 Perform Gap Analysis</w:t>
            </w:r>
          </w:p>
        </w:tc>
      </w:tr>
      <w:tr>
        <w:trPr>
          <w:cantSplit/>
        </w:trPr>
        <w:tc>
          <w:tcPr>
            <w:tcMar>
              <w:top w:w="108" w:type="dxa"/>
              <w:bottom w:w="108" w:type="dxa"/>
            </w:tcMar>
          </w:tcPr>
          <w:bookmarkStart w:id="121" w:name="gap-analysis-activities"/>
          <w:p>
            <w:pPr>
              <w:pStyle w:val="Heading4"/>
            </w:pPr>
            <w:r>
              <w:t xml:space="preserve">Gap Analysis Activities</w:t>
            </w:r>
          </w:p>
          <w:p>
            <w:pPr>
              <w:pStyle w:val="Compact"/>
              <w:numPr>
                <w:ilvl w:val="0"/>
                <w:numId w:val="1049"/>
              </w:numPr>
            </w:pPr>
            <w:r>
              <w:t xml:space="preserve">Compare baseline process activities to target process activities and identify gaps and reuse opportunities</w:t>
            </w:r>
          </w:p>
          <w:p>
            <w:pPr>
              <w:pStyle w:val="Compact"/>
              <w:numPr>
                <w:ilvl w:val="0"/>
                <w:numId w:val="1049"/>
              </w:numPr>
            </w:pPr>
            <w:r>
              <w:t xml:space="preserve">Compare baseline business process roles to target business process roles and identify gaps and reuse opportunities</w:t>
            </w:r>
          </w:p>
          <w:p>
            <w:pPr>
              <w:pStyle w:val="Compact"/>
              <w:numPr>
                <w:ilvl w:val="0"/>
                <w:numId w:val="1049"/>
              </w:numPr>
            </w:pPr>
            <w:r>
              <w:t xml:space="preserve">Compare baseline business process metrics and measures to target business process metrics and measures and identify gaps</w:t>
            </w:r>
          </w:p>
          <w:p>
            <w:pPr>
              <w:pStyle w:val="Compact"/>
              <w:numPr>
                <w:ilvl w:val="0"/>
                <w:numId w:val="1049"/>
              </w:numPr>
            </w:pPr>
            <w:r>
              <w:t xml:space="preserve">Compare baseline standards and regulations compliance to target standards and regulations compliance and identify gaps</w:t>
            </w:r>
          </w:p>
          <w:p>
            <w:pPr>
              <w:pStyle w:val="Compact"/>
              <w:numPr>
                <w:ilvl w:val="0"/>
                <w:numId w:val="1049"/>
              </w:numPr>
            </w:pPr>
            <w:r>
              <w:t xml:space="preserve">Compare baseline to target business architecture maturity and identify gaps and opportunities</w:t>
            </w:r>
          </w:p>
          <w:p>
            <w:pPr>
              <w:pStyle w:val="Compact"/>
              <w:numPr>
                <w:ilvl w:val="0"/>
                <w:numId w:val="1049"/>
              </w:numPr>
            </w:pPr>
            <w:r>
              <w:t xml:space="preserve">Develop requirements to fill gaps</w:t>
            </w:r>
          </w:p>
          <w:p/>
        </w:tc>
      </w:tr>
    </w:tbl>
    <w:bookmarkEnd w:id="121"/>
    <w:p>
      <w:r>
        <w:pict>
          <v:rect style="width:0;height:1.5pt" o:hralign="center" o:hrstd="t" o:hr="t"/>
        </w:pict>
      </w:r>
    </w:p>
    <w:bookmarkEnd w:id="122"/>
    <w:bookmarkStart w:id="133" w:name="sec-step4"/>
    <w:p>
      <w:pPr>
        <w:pStyle w:val="Heading2"/>
      </w:pPr>
      <w:r>
        <w:t xml:space="preserve">Step 4: Document State Self-Assessment (SS-A)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C:\Users\smahoney\AppData\Local\Programs\Quarto\share\formats\docx\note.png" id="124"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Document Maturity Assessment Results</w:t>
            </w:r>
          </w:p>
        </w:tc>
      </w:tr>
      <w:tr>
        <w:trPr>
          <w:cantSplit/>
        </w:trPr>
        <w:tc>
          <w:tcPr>
            <w:tcMar>
              <w:top w:w="108" w:type="dxa"/>
              <w:bottom w:w="108" w:type="dxa"/>
            </w:tcMar>
          </w:tcPr>
          <w:p>
            <w:pPr>
              <w:pStyle w:val="BodyText"/>
            </w:pPr>
            <w:pPr>
              <w:spacing w:before="16"/>
            </w:pPr>
            <w:r>
              <w:rPr>
                <w:b/>
                <w:bCs/>
              </w:rPr>
              <w:t xml:space="preserve">Sub-activities:</w:t>
            </w:r>
          </w:p>
          <w:p>
            <w:pPr>
              <w:pStyle w:val="Compact"/>
              <w:numPr>
                <w:ilvl w:val="0"/>
                <w:numId w:val="1050"/>
              </w:numPr>
            </w:pPr>
            <w:r>
              <w:rPr>
                <w:b/>
                <w:bCs/>
              </w:rPr>
              <w:t xml:space="preserve">Capture maturity assessments</w:t>
            </w:r>
          </w:p>
          <w:p>
            <w:pPr>
              <w:pStyle w:val="Compact"/>
              <w:numPr>
                <w:ilvl w:val="1"/>
                <w:numId w:val="1051"/>
              </w:numPr>
            </w:pPr>
            <w:r>
              <w:t xml:space="preserve">Use the method of your choice to capture all maturity assessments performed in</w:t>
            </w:r>
            <w:r>
              <w:t xml:space="preserve"> </w:t>
            </w:r>
            <w:hyperlink w:anchor="sec-step3">
              <w:r>
                <w:rPr>
                  <w:rStyle w:val="Hyperlink"/>
                </w:rPr>
                <w:t xml:space="preserve">Section 7.4</w:t>
              </w:r>
            </w:hyperlink>
            <w:r>
              <w:t xml:space="preserve">, Define/Enhance Capability Architecture, of the MITA 4.0 Process</w:t>
            </w:r>
          </w:p>
          <w:p>
            <w:pPr>
              <w:pStyle w:val="Compact"/>
              <w:numPr>
                <w:ilvl w:val="1"/>
                <w:numId w:val="1051"/>
              </w:numPr>
            </w:pPr>
            <w:r>
              <w:t xml:space="preserve">CMS offers an optional proof-of-concept SS-A Tool for SMA use in capturing maturity assessments</w:t>
            </w:r>
          </w:p>
          <w:p>
            <w:pPr>
              <w:pStyle w:val="Compact"/>
              <w:numPr>
                <w:ilvl w:val="0"/>
                <w:numId w:val="1050"/>
              </w:numPr>
            </w:pPr>
            <w:r>
              <w:rPr>
                <w:b/>
                <w:bCs/>
              </w:rPr>
              <w:t xml:space="preserve">Generate Maturity Profile</w:t>
            </w:r>
          </w:p>
          <w:p>
            <w:pPr>
              <w:pStyle w:val="Compact"/>
              <w:numPr>
                <w:ilvl w:val="0"/>
                <w:numId w:val="1052"/>
              </w:numPr>
            </w:pPr>
            <w:r>
              <w:t xml:space="preserve">Use SS-A Tool function to generate a .csv file of the assessment results in the CMS required format, the Maturity Profile</w:t>
            </w:r>
          </w:p>
          <w:p>
            <w:pPr>
              <w:pStyle w:val="Compact"/>
              <w:numPr>
                <w:ilvl w:val="0"/>
                <w:numId w:val="1052"/>
              </w:numPr>
            </w:pPr>
            <w:r>
              <w:t xml:space="preserve">If not using optional SS-A tool, compile maturity assessment results using CMS spreadsheet template and save as a .csv file</w:t>
            </w:r>
          </w:p>
          <w:p>
            <w:pPr>
              <w:pStyle w:val="Compact"/>
              <w:numPr>
                <w:ilvl w:val="0"/>
                <w:numId w:val="1053"/>
              </w:numPr>
            </w:pPr>
            <w:r>
              <w:rPr>
                <w:b/>
                <w:bCs/>
              </w:rPr>
              <w:t xml:space="preserve">Import into MESH</w:t>
            </w:r>
          </w:p>
          <w:p>
            <w:pPr>
              <w:pStyle w:val="Compact"/>
              <w:numPr>
                <w:ilvl w:val="0"/>
                <w:numId w:val="1054"/>
              </w:numPr>
            </w:pPr>
            <w:r>
              <w:t xml:space="preserve">Import Maturity Profile.csv file of maturity assessment results into MESH and notify State Officer that file is ready for review</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C:\Users\smahoney\AppData\Local\Programs\Quarto\share\formats\docx\note.png" id="126"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 Create SS-A Executive Summary</w:t>
            </w:r>
          </w:p>
        </w:tc>
      </w:tr>
      <w:tr>
        <w:trPr>
          <w:cantSplit/>
        </w:trPr>
        <w:tc>
          <w:tcPr>
            <w:tcMar>
              <w:top w:w="108" w:type="dxa"/>
              <w:bottom w:w="108" w:type="dxa"/>
            </w:tcMar>
          </w:tcPr>
          <w:p>
            <w:pPr>
              <w:pStyle w:val="BodyText"/>
            </w:pPr>
            <w:pPr>
              <w:spacing w:before="16"/>
            </w:pPr>
            <w:r>
              <w:t xml:space="preserve">Utilize the SS-A Executive Summary template and Roadmap visual to document the following:</w:t>
            </w:r>
          </w:p>
          <w:p>
            <w:pPr>
              <w:pStyle w:val="Compact"/>
              <w:numPr>
                <w:ilvl w:val="0"/>
                <w:numId w:val="1055"/>
              </w:numPr>
            </w:pPr>
            <w:r>
              <w:t xml:space="preserve">Goals of the initiative or project</w:t>
            </w:r>
          </w:p>
          <w:p>
            <w:pPr>
              <w:pStyle w:val="Compact"/>
              <w:numPr>
                <w:ilvl w:val="0"/>
                <w:numId w:val="1055"/>
              </w:numPr>
            </w:pPr>
            <w:r>
              <w:t xml:space="preserve">Prioritized features and functionalities</w:t>
            </w:r>
          </w:p>
          <w:p>
            <w:pPr>
              <w:pStyle w:val="Compact"/>
              <w:numPr>
                <w:ilvl w:val="0"/>
                <w:numId w:val="1055"/>
              </w:numPr>
            </w:pPr>
            <w:r>
              <w:t xml:space="preserve">Potential risks identified</w:t>
            </w:r>
          </w:p>
          <w:p>
            <w:pPr>
              <w:pStyle w:val="Compact"/>
              <w:numPr>
                <w:ilvl w:val="0"/>
                <w:numId w:val="1055"/>
              </w:numPr>
            </w:pPr>
            <w:r>
              <w:t xml:space="preserve">Mitigation strategies to address identified risks</w:t>
            </w:r>
          </w:p>
          <w:p>
            <w:pPr>
              <w:pStyle w:val="Compact"/>
              <w:numPr>
                <w:ilvl w:val="0"/>
                <w:numId w:val="1055"/>
              </w:numPr>
            </w:pPr>
            <w:r>
              <w:t xml:space="preserve">A visual timeline (e.g., a Gantt chart or other roadmap format) of the SMA’s planned initiatives and projects</w:t>
            </w:r>
          </w:p>
          <w:p>
            <w:pPr>
              <w:pStyle w:val="Compact"/>
              <w:numPr>
                <w:ilvl w:val="0"/>
                <w:numId w:val="1055"/>
              </w:numPr>
            </w:pPr>
            <w:r>
              <w:t xml:space="preserve">Resources and/or support needed for the planned initiative or project</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C:\Users\smahoney\AppData\Local\Programs\Quarto\share\formats\docx\note.png" id="128"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 Review SS-A with Leadership</w:t>
            </w:r>
          </w:p>
        </w:tc>
      </w:tr>
      <w:tr>
        <w:trPr>
          <w:cantSplit/>
        </w:trPr>
        <w:tc>
          <w:tcPr>
            <w:tcMar>
              <w:top w:w="108" w:type="dxa"/>
              <w:bottom w:w="108" w:type="dxa"/>
            </w:tcMar>
          </w:tcPr>
          <w:p>
            <w:pPr>
              <w:pStyle w:val="BodyText"/>
            </w:pPr>
            <w:pPr>
              <w:spacing w:before="16"/>
            </w:pPr>
            <w:r>
              <w:rPr>
                <w:b/>
                <w:bCs/>
              </w:rPr>
              <w:t xml:space="preserve">Sub-activities:</w:t>
            </w:r>
          </w:p>
          <w:p>
            <w:pPr>
              <w:pStyle w:val="Compact"/>
              <w:numPr>
                <w:ilvl w:val="0"/>
                <w:numId w:val="1056"/>
              </w:numPr>
            </w:pPr>
            <w:r>
              <w:rPr>
                <w:b/>
                <w:bCs/>
              </w:rPr>
              <w:t xml:space="preserve">Submit for review</w:t>
            </w:r>
          </w:p>
          <w:p>
            <w:pPr>
              <w:pStyle w:val="Compact"/>
              <w:numPr>
                <w:ilvl w:val="1"/>
                <w:numId w:val="1057"/>
              </w:numPr>
            </w:pPr>
            <w:r>
              <w:t xml:space="preserve">Submit the SS-A Executive Summary that includes Maturity Profile and draft Roadmap to leadership and request to brief leadership on SS-A findings</w:t>
            </w:r>
          </w:p>
          <w:p>
            <w:pPr>
              <w:pStyle w:val="Compact"/>
              <w:numPr>
                <w:ilvl w:val="0"/>
                <w:numId w:val="1056"/>
              </w:numPr>
            </w:pPr>
            <w:r>
              <w:rPr>
                <w:b/>
                <w:bCs/>
              </w:rPr>
              <w:t xml:space="preserve">Review Maturity Profile</w:t>
            </w:r>
          </w:p>
          <w:p>
            <w:pPr>
              <w:pStyle w:val="Compact"/>
              <w:numPr>
                <w:ilvl w:val="0"/>
                <w:numId w:val="1058"/>
              </w:numPr>
            </w:pPr>
            <w:r>
              <w:t xml:space="preserve">Review the Maturity Profile with SMA leadership and discuss the results of maturity assessments across Capability Domains</w:t>
            </w:r>
          </w:p>
          <w:p>
            <w:pPr>
              <w:pStyle w:val="Compact"/>
              <w:numPr>
                <w:ilvl w:val="0"/>
                <w:numId w:val="1059"/>
              </w:numPr>
            </w:pPr>
            <w:r>
              <w:rPr>
                <w:b/>
                <w:bCs/>
              </w:rPr>
              <w:t xml:space="preserve">Determine priorities</w:t>
            </w:r>
          </w:p>
          <w:p>
            <w:pPr>
              <w:pStyle w:val="Compact"/>
              <w:numPr>
                <w:ilvl w:val="0"/>
                <w:numId w:val="1060"/>
              </w:numPr>
            </w:pPr>
            <w:r>
              <w:t xml:space="preserve">Based on maturity scores or SMA-specific needs, determine leadership’s priorities on what to address first</w:t>
            </w:r>
          </w:p>
          <w:p>
            <w:pPr>
              <w:pStyle w:val="Compact"/>
              <w:numPr>
                <w:ilvl w:val="0"/>
                <w:numId w:val="1061"/>
              </w:numPr>
            </w:pPr>
            <w:r>
              <w:rPr>
                <w:b/>
                <w:bCs/>
              </w:rPr>
              <w:t xml:space="preserve">Review Roadmap</w:t>
            </w:r>
          </w:p>
          <w:p>
            <w:pPr>
              <w:pStyle w:val="Compact"/>
              <w:numPr>
                <w:ilvl w:val="0"/>
                <w:numId w:val="1062"/>
              </w:numPr>
            </w:pPr>
            <w:r>
              <w:t xml:space="preserve">Review leadership priorities with the initial draft of the Roadmap’s presentation of initiatives or projects to improve maturity</w:t>
            </w:r>
          </w:p>
          <w:p>
            <w:pPr>
              <w:pStyle w:val="Compact"/>
              <w:numPr>
                <w:ilvl w:val="0"/>
                <w:numId w:val="1063"/>
              </w:numPr>
            </w:pPr>
            <w:r>
              <w:rPr>
                <w:b/>
                <w:bCs/>
              </w:rPr>
              <w:t xml:space="preserve">Finalize Roadmap</w:t>
            </w:r>
          </w:p>
          <w:p>
            <w:pPr>
              <w:pStyle w:val="Compact"/>
              <w:numPr>
                <w:ilvl w:val="1"/>
                <w:numId w:val="1064"/>
              </w:numPr>
            </w:pPr>
            <w:r>
              <w:t xml:space="preserve">If leadership priorities differ, update and finalize Roadmap to align with leadership’s direction</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C:\Users\smahoney\AppData\Local\Programs\Quarto\share\formats\docx\note.png" id="130"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 Update/Define Outcomes</w:t>
            </w:r>
          </w:p>
        </w:tc>
      </w:tr>
      <w:tr>
        <w:trPr>
          <w:cantSplit/>
        </w:trPr>
        <w:tc>
          <w:tcPr>
            <w:tcMar>
              <w:top w:w="108" w:type="dxa"/>
              <w:bottom w:w="108" w:type="dxa"/>
            </w:tcMar>
          </w:tcPr>
          <w:p>
            <w:pPr>
              <w:pStyle w:val="BodyText"/>
            </w:pPr>
            <w:pPr>
              <w:spacing w:before="16"/>
            </w:pPr>
            <w:r>
              <w:t xml:space="preserve">Update/Define Outcomes using Outcomes-Based process for initial priorities:</w:t>
            </w:r>
          </w:p>
          <w:p>
            <w:pPr>
              <w:pStyle w:val="BodyText"/>
            </w:pPr>
            <w:r>
              <w:rPr>
                <w:b/>
                <w:bCs/>
              </w:rPr>
              <w:t xml:space="preserve">Sub-activities:</w:t>
            </w:r>
          </w:p>
          <w:p>
            <w:pPr>
              <w:pStyle w:val="Compact"/>
              <w:numPr>
                <w:ilvl w:val="0"/>
                <w:numId w:val="1065"/>
              </w:numPr>
            </w:pPr>
            <w:r>
              <w:rPr>
                <w:b/>
                <w:bCs/>
              </w:rPr>
              <w:t xml:space="preserve">Work with SMEs</w:t>
            </w:r>
          </w:p>
          <w:p>
            <w:pPr>
              <w:pStyle w:val="Compact"/>
              <w:numPr>
                <w:ilvl w:val="1"/>
                <w:numId w:val="1066"/>
              </w:numPr>
            </w:pPr>
            <w:r>
              <w:t xml:space="preserve">Work with Subject Matter Experts (SMEs) to define desired outcomes or update previously developed outcomes and develop associated metrics</w:t>
            </w:r>
          </w:p>
          <w:p>
            <w:pPr>
              <w:pStyle w:val="Compact"/>
              <w:numPr>
                <w:ilvl w:val="0"/>
                <w:numId w:val="1065"/>
              </w:numPr>
            </w:pPr>
            <w:r>
              <w:rPr>
                <w:b/>
                <w:bCs/>
              </w:rPr>
              <w:t xml:space="preserve">Assess progress</w:t>
            </w:r>
          </w:p>
          <w:p>
            <w:pPr>
              <w:pStyle w:val="Compact"/>
              <w:numPr>
                <w:ilvl w:val="0"/>
                <w:numId w:val="1067"/>
              </w:numPr>
            </w:pPr>
            <w:r>
              <w:t xml:space="preserve">Use outcomes and related metrics to assess progress toward success</w:t>
            </w:r>
          </w:p>
          <w:p>
            <w:pPr>
              <w:pStyle w:val="FirstParagraph"/>
            </w:pPr>
            <w:r>
              <w:rPr>
                <w:b/>
                <w:bCs/>
              </w:rPr>
              <w:t xml:space="preserve">Decision Points:</w:t>
            </w:r>
          </w:p>
          <w:p>
            <w:pPr>
              <w:numPr>
                <w:ilvl w:val="0"/>
                <w:numId w:val="1068"/>
              </w:numPr>
            </w:pPr>
            <w:r>
              <w:rPr>
                <w:b/>
                <w:bCs/>
              </w:rPr>
              <w:t xml:space="preserve">If goal is successfully achieved:</w:t>
            </w:r>
            <w:r>
              <w:t xml:space="preserve"> </w:t>
            </w:r>
            <w:r>
              <w:t xml:space="preserve">Restart the OBP process to define new goals for next identified priority and work toward continued growth</w:t>
            </w:r>
          </w:p>
          <w:p>
            <w:pPr>
              <w:numPr>
                <w:ilvl w:val="0"/>
                <w:numId w:val="1068"/>
              </w:numPr>
            </w:pPr>
            <w:r>
              <w:rPr>
                <w:b/>
                <w:bCs/>
              </w:rPr>
              <w:t xml:space="preserve">If goal not achieved:</w:t>
            </w:r>
            <w:r>
              <w:t xml:space="preserve"> </w:t>
            </w:r>
            <w:r>
              <w:t xml:space="preserve">Continue tracking progress and reassess outcomes for initial priority</w:t>
            </w:r>
          </w:p>
          <w:p>
            <w:pPr>
              <w:numPr>
                <w:ilvl w:val="0"/>
                <w:numId w:val="1068"/>
              </w:numPr>
            </w:pPr>
            <w:r>
              <w:rPr>
                <w:b/>
                <w:bCs/>
              </w:rPr>
              <w:t xml:space="preserve">Routinely reassess:</w:t>
            </w:r>
            <w:r>
              <w:t xml:space="preserve"> </w:t>
            </w:r>
            <w:r>
              <w:t xml:space="preserve">Determine if goals have changed</w:t>
            </w:r>
          </w:p>
          <w:p>
            <w:pPr>
              <w:pStyle w:val="Compact"/>
              <w:numPr>
                <w:ilvl w:val="1"/>
                <w:numId w:val="1069"/>
              </w:numPr>
            </w:pPr>
            <w:r>
              <w:t xml:space="preserve">If goals have changed, restart the process with new priorities</w:t>
            </w:r>
          </w:p>
          <w:p>
            <w:pPr>
              <w:pStyle w:val="Compact"/>
              <w:numPr>
                <w:ilvl w:val="1"/>
                <w:numId w:val="1069"/>
              </w:numPr>
            </w:pPr>
            <w:r>
              <w:t xml:space="preserve">If goals have not changed, restart the process for continued growth</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1" name="Picture"/>
                  <a:graphic>
                    <a:graphicData uri="http://schemas.openxmlformats.org/drawingml/2006/picture">
                      <pic:pic>
                        <pic:nvPicPr>
                          <pic:cNvPr descr="C:\Users\smahoney\AppData\Local\Programs\Quarto\share\formats\docx\note.png" id="13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 Execute Projects</w:t>
            </w:r>
          </w:p>
        </w:tc>
      </w:tr>
      <w:tr>
        <w:trPr>
          <w:cantSplit/>
        </w:trPr>
        <w:tc>
          <w:tcPr>
            <w:tcMar>
              <w:top w:w="108" w:type="dxa"/>
              <w:bottom w:w="108" w:type="dxa"/>
            </w:tcMar>
          </w:tcPr>
          <w:p>
            <w:pPr>
              <w:pStyle w:val="BodyText"/>
            </w:pPr>
            <w:pPr>
              <w:spacing w:before="16"/>
            </w:pPr>
            <w:r>
              <w:t xml:space="preserve">Execute projects to achieve desired outcomes:</w:t>
            </w:r>
          </w:p>
          <w:p>
            <w:pPr>
              <w:pStyle w:val="Compact"/>
              <w:numPr>
                <w:ilvl w:val="0"/>
                <w:numId w:val="1070"/>
              </w:numPr>
            </w:pPr>
            <w:r>
              <w:t xml:space="preserve">Initiate project and periodically assess progress using metrics</w:t>
            </w:r>
          </w:p>
          <w:p/>
        </w:tc>
      </w:tr>
    </w:tbl>
    <w:p>
      <w:r>
        <w:pict>
          <v:rect style="width:0;height:1.5pt" o:hralign="center" o:hrstd="t" o:hr="t"/>
        </w:pict>
      </w:r>
    </w:p>
    <w:bookmarkEnd w:id="133"/>
    <w:bookmarkStart w:id="137" w:name="summary"/>
    <w:p>
      <w:pPr>
        <w:pStyle w:val="Heading2"/>
      </w:pPr>
      <w:r>
        <w:t xml:space="preserve">Summary</w:t>
      </w:r>
    </w:p>
    <w:p>
      <w:pPr>
        <w:pStyle w:val="FirstParagraph"/>
      </w:pPr>
      <w:r>
        <w:t xml:space="preserve">The MITA 4.0 Process is an iterative cycle that helps State Medicaid Agencies:</w:t>
      </w:r>
    </w:p>
    <w:p>
      <w:pPr>
        <w:pStyle w:val="Compact"/>
        <w:numPr>
          <w:ilvl w:val="0"/>
          <w:numId w:val="1071"/>
        </w:numPr>
      </w:pPr>
      <w:r>
        <w:t xml:space="preserve">Define clear, measurable outcomes (see</w:t>
      </w:r>
      <w:r>
        <w:t xml:space="preserve"> </w:t>
      </w:r>
      <w:hyperlink w:anchor="sec-step1">
        <w:r>
          <w:rPr>
            <w:rStyle w:val="Hyperlink"/>
          </w:rPr>
          <w:t xml:space="preserve">Section 7.2</w:t>
        </w:r>
      </w:hyperlink>
      <w:r>
        <w:t xml:space="preserve">)</w:t>
      </w:r>
    </w:p>
    <w:p>
      <w:pPr>
        <w:pStyle w:val="Compact"/>
        <w:numPr>
          <w:ilvl w:val="0"/>
          <w:numId w:val="1071"/>
        </w:numPr>
      </w:pPr>
      <w:r>
        <w:t xml:space="preserve">Identify and assess relevant capabilities (see</w:t>
      </w:r>
      <w:r>
        <w:t xml:space="preserve"> </w:t>
      </w:r>
      <w:hyperlink w:anchor="sec-step2">
        <w:r>
          <w:rPr>
            <w:rStyle w:val="Hyperlink"/>
          </w:rPr>
          <w:t xml:space="preserve">Section 7.3</w:t>
        </w:r>
      </w:hyperlink>
      <w:r>
        <w:t xml:space="preserve">)</w:t>
      </w:r>
    </w:p>
    <w:p>
      <w:pPr>
        <w:pStyle w:val="Compact"/>
        <w:numPr>
          <w:ilvl w:val="0"/>
          <w:numId w:val="1071"/>
        </w:numPr>
      </w:pPr>
      <w:r>
        <w:t xml:space="preserve">Define current and target architecture states (see</w:t>
      </w:r>
      <w:r>
        <w:t xml:space="preserve"> </w:t>
      </w:r>
      <w:hyperlink w:anchor="sec-step3">
        <w:r>
          <w:rPr>
            <w:rStyle w:val="Hyperlink"/>
          </w:rPr>
          <w:t xml:space="preserve">Section 7.4</w:t>
        </w:r>
      </w:hyperlink>
      <w:r>
        <w:t xml:space="preserve">)</w:t>
      </w:r>
    </w:p>
    <w:p>
      <w:pPr>
        <w:pStyle w:val="Compact"/>
        <w:numPr>
          <w:ilvl w:val="0"/>
          <w:numId w:val="1071"/>
        </w:numPr>
      </w:pPr>
      <w:r>
        <w:t xml:space="preserve">Document progress through State Self-Assessments (see</w:t>
      </w:r>
      <w:r>
        <w:t xml:space="preserve"> </w:t>
      </w:r>
      <w:hyperlink w:anchor="sec-step4">
        <w:r>
          <w:rPr>
            <w:rStyle w:val="Hyperlink"/>
          </w:rPr>
          <w:t xml:space="preserve">Section 7.5</w:t>
        </w:r>
      </w:hyperlink>
      <w:r>
        <w:t xml:space="preserve">)</w:t>
      </w:r>
    </w:p>
    <w:p>
      <w:pPr>
        <w:pStyle w:val="Compact"/>
        <w:numPr>
          <w:ilvl w:val="0"/>
          <w:numId w:val="1071"/>
        </w:numPr>
      </w:pPr>
      <w:r>
        <w:t xml:space="preserve">Continuously improve through measured execution</w:t>
      </w:r>
    </w:p>
    <w:p>
      <w:pPr>
        <w:pStyle w:val="FirstParagraph"/>
      </w:pPr>
      <w:r>
        <w:t xml:space="preserve">This cyclical approach ensures continuous alignment between business goals, technical capabilities, and measurable outcomes. The process is designed to be flexible and adaptable to each state’s unique context while maintaining consistency with federal requirements and best practices.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C:\Users\smahoney\AppData\Local\Programs\Quarto\share\formats\docx\tip.png" id="136"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Next Steps</w:t>
            </w:r>
          </w:p>
        </w:tc>
      </w:tr>
      <w:tr>
        <w:trPr>
          <w:cantSplit/>
        </w:trPr>
        <w:tc>
          <w:tcPr>
            <w:tcMar>
              <w:top w:w="108" w:type="dxa"/>
              <w:bottom w:w="108" w:type="dxa"/>
            </w:tcMar>
          </w:tcPr>
          <w:p>
            <w:pPr>
              <w:pStyle w:val="BodyText"/>
            </w:pPr>
            <w:pPr>
              <w:spacing w:before="16"/>
            </w:pPr>
            <w:r>
              <w:t xml:space="preserve">After completing the MITA 4.0 Process:</w:t>
            </w:r>
          </w:p>
          <w:p>
            <w:pPr>
              <w:pStyle w:val="Compact"/>
              <w:numPr>
                <w:ilvl w:val="0"/>
                <w:numId w:val="1072"/>
              </w:numPr>
            </w:pPr>
            <w:r>
              <w:t xml:space="preserve">Return to</w:t>
            </w:r>
            <w:r>
              <w:t xml:space="preserve"> </w:t>
            </w:r>
            <w:hyperlink w:anchor="sec-step1">
              <w:r>
                <w:rPr>
                  <w:rStyle w:val="Hyperlink"/>
                </w:rPr>
                <w:t xml:space="preserve">Section 7.2</w:t>
              </w:r>
            </w:hyperlink>
            <w:r>
              <w:t xml:space="preserve"> </w:t>
            </w:r>
            <w:r>
              <w:t xml:space="preserve">to identify new business challenges and opportunities</w:t>
            </w:r>
          </w:p>
          <w:p>
            <w:pPr>
              <w:pStyle w:val="Compact"/>
              <w:numPr>
                <w:ilvl w:val="0"/>
                <w:numId w:val="1072"/>
              </w:numPr>
            </w:pPr>
            <w:r>
              <w:t xml:space="preserve">Use lessons learned to refine your architectural approach</w:t>
            </w:r>
          </w:p>
          <w:p>
            <w:pPr>
              <w:pStyle w:val="Compact"/>
              <w:numPr>
                <w:ilvl w:val="0"/>
                <w:numId w:val="1072"/>
              </w:numPr>
            </w:pPr>
            <w:r>
              <w:t xml:space="preserve">Update maturity assessments regularly to track progress</w:t>
            </w:r>
          </w:p>
          <w:p>
            <w:pPr>
              <w:pStyle w:val="Compact"/>
              <w:numPr>
                <w:ilvl w:val="0"/>
                <w:numId w:val="1072"/>
              </w:numPr>
            </w:pPr>
            <w:r>
              <w:t xml:space="preserve">Engage stakeholders continuously throughout the iterative cycle</w:t>
            </w:r>
          </w:p>
          <w:p/>
        </w:tc>
      </w:tr>
    </w:tbl>
    <w:bookmarkEnd w:id="137"/>
    <w:bookmarkStart w:id="138" w:name="glossary-of-terms"/>
    <w:p>
      <w:pPr>
        <w:pStyle w:val="Heading2"/>
      </w:pPr>
      <w:r>
        <w:t xml:space="preserve">Glossary of Terms</w:t>
      </w:r>
    </w:p>
    <w:p>
      <w:pPr>
        <w:pStyle w:val="Compact"/>
        <w:numPr>
          <w:ilvl w:val="0"/>
          <w:numId w:val="1073"/>
        </w:numPr>
      </w:pPr>
      <w:r>
        <w:rPr>
          <w:b/>
          <w:bCs/>
        </w:rPr>
        <w:t xml:space="preserve">SMA</w:t>
      </w:r>
      <w:r>
        <w:t xml:space="preserve">: State Medicaid Agency</w:t>
      </w:r>
    </w:p>
    <w:p>
      <w:pPr>
        <w:pStyle w:val="Compact"/>
        <w:numPr>
          <w:ilvl w:val="0"/>
          <w:numId w:val="1073"/>
        </w:numPr>
      </w:pPr>
      <w:r>
        <w:rPr>
          <w:b/>
          <w:bCs/>
        </w:rPr>
        <w:t xml:space="preserve">OBP</w:t>
      </w:r>
      <w:r>
        <w:t xml:space="preserve">: Outcomes-Based Planning</w:t>
      </w:r>
    </w:p>
    <w:p>
      <w:pPr>
        <w:pStyle w:val="Compact"/>
        <w:numPr>
          <w:ilvl w:val="0"/>
          <w:numId w:val="1073"/>
        </w:numPr>
      </w:pPr>
      <w:r>
        <w:rPr>
          <w:b/>
          <w:bCs/>
        </w:rPr>
        <w:t xml:space="preserve">SS-A</w:t>
      </w:r>
      <w:r>
        <w:t xml:space="preserve">: State Self-Assessment</w:t>
      </w:r>
    </w:p>
    <w:p>
      <w:pPr>
        <w:pStyle w:val="Compact"/>
        <w:numPr>
          <w:ilvl w:val="0"/>
          <w:numId w:val="1073"/>
        </w:numPr>
      </w:pPr>
      <w:r>
        <w:rPr>
          <w:b/>
          <w:bCs/>
        </w:rPr>
        <w:t xml:space="preserve">BA</w:t>
      </w:r>
      <w:r>
        <w:t xml:space="preserve">: Business Architecture</w:t>
      </w:r>
    </w:p>
    <w:p>
      <w:pPr>
        <w:pStyle w:val="Compact"/>
        <w:numPr>
          <w:ilvl w:val="0"/>
          <w:numId w:val="1073"/>
        </w:numPr>
      </w:pPr>
      <w:r>
        <w:rPr>
          <w:b/>
          <w:bCs/>
        </w:rPr>
        <w:t xml:space="preserve">IA</w:t>
      </w:r>
      <w:r>
        <w:t xml:space="preserve">: Information Architecture</w:t>
      </w:r>
    </w:p>
    <w:p>
      <w:pPr>
        <w:pStyle w:val="Compact"/>
        <w:numPr>
          <w:ilvl w:val="0"/>
          <w:numId w:val="1073"/>
        </w:numPr>
      </w:pPr>
      <w:r>
        <w:rPr>
          <w:b/>
          <w:bCs/>
        </w:rPr>
        <w:t xml:space="preserve">TA</w:t>
      </w:r>
      <w:r>
        <w:t xml:space="preserve">: Technical Architecture</w:t>
      </w:r>
    </w:p>
    <w:p>
      <w:pPr>
        <w:pStyle w:val="Compact"/>
        <w:numPr>
          <w:ilvl w:val="0"/>
          <w:numId w:val="1073"/>
        </w:numPr>
      </w:pPr>
      <w:r>
        <w:rPr>
          <w:b/>
          <w:bCs/>
        </w:rPr>
        <w:t xml:space="preserve">CONOPS</w:t>
      </w:r>
      <w:r>
        <w:t xml:space="preserve">: Concept of Operations</w:t>
      </w:r>
    </w:p>
    <w:p>
      <w:pPr>
        <w:pStyle w:val="Compact"/>
        <w:numPr>
          <w:ilvl w:val="0"/>
          <w:numId w:val="1073"/>
        </w:numPr>
      </w:pPr>
      <w:r>
        <w:rPr>
          <w:b/>
          <w:bCs/>
        </w:rPr>
        <w:t xml:space="preserve">SME</w:t>
      </w:r>
      <w:r>
        <w:t xml:space="preserve">: Subject Matter Expert</w:t>
      </w:r>
    </w:p>
    <w:p>
      <w:pPr>
        <w:pStyle w:val="Compact"/>
        <w:numPr>
          <w:ilvl w:val="0"/>
          <w:numId w:val="1073"/>
        </w:numPr>
      </w:pPr>
      <w:r>
        <w:rPr>
          <w:b/>
          <w:bCs/>
        </w:rPr>
        <w:t xml:space="preserve">SMART</w:t>
      </w:r>
      <w:r>
        <w:t xml:space="preserve">: Specific, Measurable, Achievable, Relevant, Time-bound</w:t>
      </w:r>
    </w:p>
    <w:p>
      <w:pPr>
        <w:pStyle w:val="Compact"/>
        <w:numPr>
          <w:ilvl w:val="0"/>
          <w:numId w:val="1073"/>
        </w:numPr>
      </w:pPr>
      <w:r>
        <w:rPr>
          <w:b/>
          <w:bCs/>
        </w:rPr>
        <w:t xml:space="preserve">MESH</w:t>
      </w:r>
      <w:r>
        <w:t xml:space="preserve">: Medicaid Enterprise Systems Hub</w:t>
      </w:r>
    </w:p>
    <w:p>
      <w:pPr>
        <w:pStyle w:val="Compact"/>
        <w:numPr>
          <w:ilvl w:val="0"/>
          <w:numId w:val="1073"/>
        </w:numPr>
      </w:pPr>
      <w:r>
        <w:rPr>
          <w:b/>
          <w:bCs/>
        </w:rPr>
        <w:t xml:space="preserve">CMS</w:t>
      </w:r>
      <w:r>
        <w:t xml:space="preserve">: Centers for Medicare &amp; Medicaid Services</w:t>
      </w:r>
    </w:p>
    <w:bookmarkEnd w:id="138"/>
    <w:bookmarkEnd w:id="139"/>
    <w:bookmarkStart w:id="149" w:name="scope-your-assessment"/>
    <w:p>
      <w:pPr>
        <w:pStyle w:val="Heading1"/>
      </w:pPr>
      <w:r>
        <w:t xml:space="preserve">Scope your assessment</w:t>
      </w:r>
    </w:p>
    <w:p>
      <w:pPr>
        <w:pStyle w:val="FirstParagraph"/>
      </w:pPr>
    </w:p>
    <w:bookmarkStart w:id="141" w:name="what-overview"/>
    <w:p>
      <w:pPr>
        <w:pStyle w:val="Heading2"/>
      </w:pPr>
      <w:r>
        <w:t xml:space="preserve">What? | Overview</w:t>
      </w:r>
    </w:p>
    <w:p>
      <w:pPr>
        <w:pStyle w:val="FirstParagraph"/>
      </w:pPr>
      <w:hyperlink r:id="rId140">
        <w:r>
          <w:rPr>
            <w:rStyle w:val="Hyperlink"/>
          </w:rPr>
          <w:t xml:space="preserve">Outcomes-based planning (OBP)</w:t>
        </w:r>
      </w:hyperlink>
      <w:r>
        <w:t xml:space="preserve"> </w:t>
      </w:r>
      <w:r>
        <w:t xml:space="preserve">is the first step in a strategic planning process that places system improvements at the center of MES investments. It helps states define their needs, the value their system and business investments are expected to deliver, track progress through measurable indicators, and demonstrate return on investment—specifically when seeking enhanced federal financial participation (FFP).</w:t>
      </w:r>
    </w:p>
    <w:p>
      <w:pPr>
        <w:pStyle w:val="BodyText"/>
      </w:pPr>
      <w:r>
        <w:t xml:space="preserve">OBP is the process of:</w:t>
      </w:r>
    </w:p>
    <w:p>
      <w:pPr>
        <w:pStyle w:val="Compact"/>
        <w:numPr>
          <w:ilvl w:val="0"/>
          <w:numId w:val="1074"/>
        </w:numPr>
      </w:pPr>
      <w:r>
        <w:t xml:space="preserve">Identifying business challenges faced by a Medicaid program</w:t>
      </w:r>
    </w:p>
    <w:p>
      <w:pPr>
        <w:pStyle w:val="Compact"/>
        <w:numPr>
          <w:ilvl w:val="0"/>
          <w:numId w:val="1074"/>
        </w:numPr>
      </w:pPr>
      <w:r>
        <w:t xml:space="preserve">Defining the desired outcomes that address those challenges</w:t>
      </w:r>
    </w:p>
    <w:p>
      <w:pPr>
        <w:pStyle w:val="Compact"/>
        <w:numPr>
          <w:ilvl w:val="0"/>
          <w:numId w:val="1074"/>
        </w:numPr>
      </w:pPr>
      <w:r>
        <w:t xml:space="preserve">Establishing clear metrics and milestones to measure progress</w:t>
      </w:r>
    </w:p>
    <w:p>
      <w:pPr>
        <w:pStyle w:val="FirstParagraph"/>
      </w:pPr>
      <w:r>
        <w:t xml:space="preserve">Rather than focusing solely on technology deliverables, the OBP approach ensures that each system initiative is purpose-built to drive measurable, meaningful benefits to the Medicaid program.</w:t>
      </w:r>
    </w:p>
    <w:bookmarkEnd w:id="141"/>
    <w:bookmarkStart w:id="142" w:name="when-triggers"/>
    <w:p>
      <w:pPr>
        <w:pStyle w:val="Heading2"/>
      </w:pPr>
      <w:r>
        <w:t xml:space="preserve">When? | Triggers</w:t>
      </w:r>
    </w:p>
    <w:p>
      <w:pPr>
        <w:pStyle w:val="Compact"/>
        <w:numPr>
          <w:ilvl w:val="0"/>
          <w:numId w:val="1075"/>
        </w:numPr>
      </w:pPr>
      <w:r>
        <w:t xml:space="preserve">Initiating a new system modernization or module implementation</w:t>
      </w:r>
    </w:p>
    <w:p>
      <w:pPr>
        <w:pStyle w:val="Compact"/>
        <w:numPr>
          <w:ilvl w:val="0"/>
          <w:numId w:val="1075"/>
        </w:numPr>
      </w:pPr>
      <w:r>
        <w:t xml:space="preserve">Transitioning from legacy systems or vendors</w:t>
      </w:r>
    </w:p>
    <w:p>
      <w:pPr>
        <w:pStyle w:val="Compact"/>
        <w:numPr>
          <w:ilvl w:val="0"/>
          <w:numId w:val="1075"/>
        </w:numPr>
      </w:pPr>
      <w:r>
        <w:t xml:space="preserve">MITA State Self-Assessment Results</w:t>
      </w:r>
    </w:p>
    <w:p>
      <w:pPr>
        <w:pStyle w:val="Compact"/>
        <w:numPr>
          <w:ilvl w:val="0"/>
          <w:numId w:val="1075"/>
        </w:numPr>
      </w:pPr>
      <w:r>
        <w:t xml:space="preserve">Modernization of cross-module business processes</w:t>
      </w:r>
    </w:p>
    <w:p>
      <w:pPr>
        <w:pStyle w:val="Compact"/>
        <w:numPr>
          <w:ilvl w:val="0"/>
          <w:numId w:val="1075"/>
        </w:numPr>
      </w:pPr>
      <w:r>
        <w:t xml:space="preserve">Shifts in Medicaid policy or strategic direction</w:t>
      </w:r>
    </w:p>
    <w:p>
      <w:pPr>
        <w:pStyle w:val="Compact"/>
        <w:numPr>
          <w:ilvl w:val="0"/>
          <w:numId w:val="1075"/>
        </w:numPr>
      </w:pPr>
      <w:r>
        <w:t xml:space="preserve">Operational reviews or performance audits</w:t>
      </w:r>
    </w:p>
    <w:p>
      <w:pPr>
        <w:pStyle w:val="Compact"/>
        <w:numPr>
          <w:ilvl w:val="0"/>
          <w:numId w:val="1075"/>
        </w:numPr>
      </w:pPr>
      <w:r>
        <w:t xml:space="preserve">Response to ad hoc incidents and corrective actions</w:t>
      </w:r>
    </w:p>
    <w:bookmarkEnd w:id="142"/>
    <w:bookmarkStart w:id="143" w:name="why-objectives"/>
    <w:p>
      <w:pPr>
        <w:pStyle w:val="Heading2"/>
      </w:pPr>
      <w:r>
        <w:t xml:space="preserve">Why? | Objectives</w:t>
      </w:r>
    </w:p>
    <w:p>
      <w:pPr>
        <w:pStyle w:val="FirstParagraph"/>
      </w:pPr>
      <w:r>
        <w:t xml:space="preserve">Outcomes-based planning seeks to—</w:t>
      </w:r>
    </w:p>
    <w:p>
      <w:pPr>
        <w:pStyle w:val="Compact"/>
        <w:numPr>
          <w:ilvl w:val="0"/>
          <w:numId w:val="1076"/>
        </w:numPr>
      </w:pPr>
      <w:r>
        <w:t xml:space="preserve">Demonstrate the value of system investments</w:t>
      </w:r>
    </w:p>
    <w:p>
      <w:pPr>
        <w:pStyle w:val="Compact"/>
        <w:numPr>
          <w:ilvl w:val="0"/>
          <w:numId w:val="1076"/>
        </w:numPr>
      </w:pPr>
      <w:r>
        <w:t xml:space="preserve">Improve program performance through strategic alignment</w:t>
      </w:r>
    </w:p>
    <w:p>
      <w:pPr>
        <w:pStyle w:val="Compact"/>
        <w:numPr>
          <w:ilvl w:val="0"/>
          <w:numId w:val="1076"/>
        </w:numPr>
      </w:pPr>
      <w:r>
        <w:t xml:space="preserve">Strengthen organizational readiness and capability</w:t>
      </w:r>
    </w:p>
    <w:p>
      <w:pPr>
        <w:pStyle w:val="Compact"/>
        <w:numPr>
          <w:ilvl w:val="0"/>
          <w:numId w:val="1076"/>
        </w:numPr>
      </w:pPr>
      <w:r>
        <w:t xml:space="preserve">Create a culture of measurement and accountability</w:t>
      </w:r>
    </w:p>
    <w:p>
      <w:pPr>
        <w:pStyle w:val="Compact"/>
        <w:numPr>
          <w:ilvl w:val="0"/>
          <w:numId w:val="1076"/>
        </w:numPr>
      </w:pPr>
      <w:r>
        <w:t xml:space="preserve">Enable consistency and reusability across state projects</w:t>
      </w:r>
    </w:p>
    <w:bookmarkEnd w:id="143"/>
    <w:bookmarkStart w:id="144" w:name="who-key-players"/>
    <w:p>
      <w:pPr>
        <w:pStyle w:val="Heading2"/>
      </w:pPr>
      <w:r>
        <w:t xml:space="preserve">Who? | Key Players</w:t>
      </w:r>
    </w:p>
    <w:p>
      <w:pPr>
        <w:pStyle w:val="Compact"/>
        <w:numPr>
          <w:ilvl w:val="0"/>
          <w:numId w:val="1077"/>
        </w:numPr>
      </w:pPr>
      <w:r>
        <w:t xml:space="preserve">Program Subject Matter Experts</w:t>
      </w:r>
    </w:p>
    <w:p>
      <w:pPr>
        <w:pStyle w:val="Compact"/>
        <w:numPr>
          <w:ilvl w:val="0"/>
          <w:numId w:val="1077"/>
        </w:numPr>
      </w:pPr>
      <w:r>
        <w:t xml:space="preserve">State Medicaid Executives</w:t>
      </w:r>
    </w:p>
    <w:p>
      <w:pPr>
        <w:pStyle w:val="Compact"/>
        <w:numPr>
          <w:ilvl w:val="0"/>
          <w:numId w:val="1077"/>
        </w:numPr>
      </w:pPr>
      <w:r>
        <w:t xml:space="preserve">Senior Managers</w:t>
      </w:r>
    </w:p>
    <w:p>
      <w:pPr>
        <w:pStyle w:val="Compact"/>
        <w:numPr>
          <w:ilvl w:val="0"/>
          <w:numId w:val="1077"/>
        </w:numPr>
      </w:pPr>
      <w:r>
        <w:t xml:space="preserve">MITA Project Team</w:t>
      </w:r>
    </w:p>
    <w:bookmarkEnd w:id="144"/>
    <w:bookmarkStart w:id="145" w:name="how-key-steps-actions"/>
    <w:p>
      <w:pPr>
        <w:pStyle w:val="Heading2"/>
      </w:pPr>
      <w:r>
        <w:t xml:space="preserve">How? | Key Steps &amp; Actions</w:t>
      </w:r>
    </w:p>
    <w:p>
      <w:pPr>
        <w:pStyle w:val="FirstParagraph"/>
      </w:pPr>
      <w:r>
        <w:t xml:space="preserve">The SMA starts by identifying the business challenge. This could be a new initiative or a problem the SMA is trying to solve (e.g., the trigger for initiating OBP) and describes the</w:t>
      </w:r>
      <w:r>
        <w:t xml:space="preserve"> </w:t>
      </w:r>
      <w:r>
        <w:t xml:space="preserve">“as-is”</w:t>
      </w:r>
      <w:r>
        <w:t xml:space="preserve"> </w:t>
      </w:r>
      <w:r>
        <w:t xml:space="preserve">state if needed to tease out the business challenge and determine appropriate outcomes and metrics.</w:t>
      </w:r>
    </w:p>
    <w:p>
      <w:pPr>
        <w:pStyle w:val="Compact"/>
        <w:numPr>
          <w:ilvl w:val="0"/>
          <w:numId w:val="1078"/>
        </w:numPr>
      </w:pPr>
      <w:r>
        <w:rPr>
          <w:b/>
          <w:bCs/>
        </w:rPr>
        <w:t xml:space="preserve">Define the Business Challenge and Identify goals.</w:t>
      </w:r>
    </w:p>
    <w:p>
      <w:pPr>
        <w:pStyle w:val="Compact"/>
        <w:numPr>
          <w:ilvl w:val="1"/>
          <w:numId w:val="1079"/>
        </w:numPr>
      </w:pPr>
      <w:r>
        <w:t xml:space="preserve">Identify the main concern that explains why you are not already at your goal (e.g., something blocking you, something you need to fix, something you haven’t done).</w:t>
      </w:r>
    </w:p>
    <w:p>
      <w:pPr>
        <w:pStyle w:val="Compact"/>
        <w:numPr>
          <w:ilvl w:val="1"/>
          <w:numId w:val="1079"/>
        </w:numPr>
      </w:pPr>
      <w:r>
        <w:t xml:space="preserve">Identify the things that cause the concern or make it worse.</w:t>
      </w:r>
    </w:p>
    <w:p>
      <w:pPr>
        <w:pStyle w:val="Compact"/>
        <w:numPr>
          <w:ilvl w:val="1"/>
          <w:numId w:val="1079"/>
        </w:numPr>
      </w:pPr>
      <w:r>
        <w:t xml:space="preserve">Identify specific pain points that are tangible, real world and observable that you can change.</w:t>
      </w:r>
    </w:p>
    <w:p>
      <w:pPr>
        <w:pStyle w:val="Compact"/>
        <w:numPr>
          <w:ilvl w:val="1"/>
          <w:numId w:val="1079"/>
        </w:numPr>
      </w:pPr>
      <w:r>
        <w:t xml:space="preserve">Summarize the concern and drivers in a business challenge statement.</w:t>
      </w:r>
    </w:p>
    <w:p>
      <w:pPr>
        <w:pStyle w:val="Compact"/>
        <w:numPr>
          <w:ilvl w:val="0"/>
          <w:numId w:val="1078"/>
        </w:numPr>
      </w:pPr>
      <w:r>
        <w:rPr>
          <w:b/>
          <w:bCs/>
        </w:rPr>
        <w:t xml:space="preserve">Develop desired outcomes that identify what changes, improvements, or benefits will address the challenges and describe the</w:t>
      </w:r>
      <w:r>
        <w:rPr>
          <w:b/>
          <w:bCs/>
        </w:rPr>
        <w:t xml:space="preserve"> </w:t>
      </w:r>
      <w:r>
        <w:rPr>
          <w:b/>
          <w:bCs/>
        </w:rPr>
        <w:t xml:space="preserve">“to-be”</w:t>
      </w:r>
      <w:r>
        <w:rPr>
          <w:b/>
          <w:bCs/>
        </w:rPr>
        <w:t xml:space="preserve"> </w:t>
      </w:r>
      <w:r>
        <w:rPr>
          <w:b/>
          <w:bCs/>
        </w:rPr>
        <w:t xml:space="preserve">state.</w:t>
      </w:r>
    </w:p>
    <w:p>
      <w:pPr>
        <w:pStyle w:val="Compact"/>
        <w:numPr>
          <w:ilvl w:val="1"/>
          <w:numId w:val="1080"/>
        </w:numPr>
      </w:pPr>
      <w:r>
        <w:t xml:space="preserve">Reverse-engineer the concern and drivers, stating what they would look like when corrected. This is the first step in identifying the</w:t>
      </w:r>
      <w:r>
        <w:t xml:space="preserve"> </w:t>
      </w:r>
      <w:r>
        <w:t xml:space="preserve">“to-be”</w:t>
      </w:r>
      <w:r>
        <w:t xml:space="preserve"> </w:t>
      </w:r>
      <w:r>
        <w:t xml:space="preserve">state. An example would be,</w:t>
      </w:r>
      <w:r>
        <w:t xml:space="preserve"> </w:t>
      </w:r>
      <w:r>
        <w:t xml:space="preserve">“Organizations are able to share information electronically.”</w:t>
      </w:r>
    </w:p>
    <w:p>
      <w:pPr>
        <w:pStyle w:val="Compact"/>
        <w:numPr>
          <w:ilvl w:val="1"/>
          <w:numId w:val="1080"/>
        </w:numPr>
      </w:pPr>
      <w:r>
        <w:t xml:space="preserve">Identify the audience that would benefit from the outcome and the desired result from their perspective.</w:t>
      </w:r>
    </w:p>
    <w:p>
      <w:pPr>
        <w:pStyle w:val="Compact"/>
        <w:numPr>
          <w:ilvl w:val="1"/>
          <w:numId w:val="1080"/>
        </w:numPr>
      </w:pPr>
      <w:r>
        <w:t xml:space="preserve">Identify what new or improved capability is needed to correct the concerns or facilitate the drivers, and the actor to implement the capability.</w:t>
      </w:r>
    </w:p>
    <w:p>
      <w:pPr>
        <w:pStyle w:val="Compact"/>
        <w:numPr>
          <w:ilvl w:val="1"/>
          <w:numId w:val="1080"/>
        </w:numPr>
      </w:pPr>
      <w:r>
        <w:t xml:space="preserve">Summarize the capability and benefits in an Outcome Statement.</w:t>
      </w:r>
    </w:p>
    <w:p>
      <w:pPr>
        <w:pStyle w:val="Compact"/>
        <w:numPr>
          <w:ilvl w:val="0"/>
          <w:numId w:val="1078"/>
        </w:numPr>
      </w:pPr>
      <w:r>
        <w:rPr>
          <w:b/>
          <w:bCs/>
        </w:rPr>
        <w:t xml:space="preserve">Determine how to measure achievement or success.</w:t>
      </w:r>
      <w:r>
        <w:t xml:space="preserve"> </w:t>
      </w:r>
      <w:r>
        <w:t xml:space="preserve">Determine how to measure, monitor, and report on progress to ensure improvements or benefits are reached.</w:t>
      </w:r>
    </w:p>
    <w:p>
      <w:pPr>
        <w:pStyle w:val="Compact"/>
        <w:numPr>
          <w:ilvl w:val="1"/>
          <w:numId w:val="1081"/>
        </w:numPr>
      </w:pPr>
      <w:r>
        <w:t xml:space="preserve">Identify the success factors that provide the strongest indication of success and why.</w:t>
      </w:r>
    </w:p>
    <w:p>
      <w:pPr>
        <w:pStyle w:val="Compact"/>
        <w:numPr>
          <w:ilvl w:val="1"/>
          <w:numId w:val="1081"/>
        </w:numPr>
      </w:pPr>
      <w:r>
        <w:t xml:space="preserve">For each success factor, corrected driver, and benefit, identify how to measure their status and improvement (either a metric or milestone).</w:t>
      </w:r>
    </w:p>
    <w:p>
      <w:pPr>
        <w:pStyle w:val="Compact"/>
        <w:numPr>
          <w:ilvl w:val="0"/>
          <w:numId w:val="1078"/>
        </w:numPr>
      </w:pPr>
      <w:r>
        <w:rPr>
          <w:b/>
          <w:bCs/>
        </w:rPr>
        <w:t xml:space="preserve">Define what success looks like and how it can be validated.</w:t>
      </w:r>
    </w:p>
    <w:p>
      <w:pPr>
        <w:pStyle w:val="Compact"/>
        <w:numPr>
          <w:ilvl w:val="1"/>
          <w:numId w:val="1082"/>
        </w:numPr>
      </w:pPr>
      <w:r>
        <w:t xml:space="preserve">Determine the desired time frame for accomplishing a goal.</w:t>
      </w:r>
    </w:p>
    <w:p>
      <w:pPr>
        <w:pStyle w:val="Compact"/>
        <w:numPr>
          <w:ilvl w:val="1"/>
          <w:numId w:val="1082"/>
        </w:numPr>
      </w:pPr>
      <w:r>
        <w:t xml:space="preserve">Based on the metrics associated with the critical success factors, identify target measurements that will indicate success.</w:t>
      </w:r>
    </w:p>
    <w:p>
      <w:pPr>
        <w:pStyle w:val="Compact"/>
        <w:numPr>
          <w:ilvl w:val="1"/>
          <w:numId w:val="1082"/>
        </w:numPr>
      </w:pPr>
      <w:r>
        <w:t xml:space="preserve">Summarize the time frame and metrics into a definition of success. The definition should be framed as a specific, measurable, achievable, relevant, and time-bound (SMART) objective.</w:t>
      </w:r>
    </w:p>
    <w:bookmarkEnd w:id="145"/>
    <w:bookmarkStart w:id="148" w:name="references-tools"/>
    <w:p>
      <w:pPr>
        <w:pStyle w:val="Heading2"/>
      </w:pPr>
      <w:r>
        <w:t xml:space="preserve">References &amp; Tools</w:t>
      </w:r>
    </w:p>
    <w:bookmarkStart w:id="146" w:name="references"/>
    <w:p>
      <w:pPr>
        <w:pStyle w:val="Heading3"/>
      </w:pPr>
      <w:r>
        <w:t xml:space="preserve">References</w:t>
      </w:r>
    </w:p>
    <w:p>
      <w:pPr>
        <w:pStyle w:val="FirstParagraph"/>
      </w:pPr>
      <w:hyperlink r:id="rId140">
        <w:r>
          <w:rPr>
            <w:rStyle w:val="Hyperlink"/>
          </w:rPr>
          <w:t xml:space="preserve">Outcomes-based Planning topic page</w:t>
        </w:r>
      </w:hyperlink>
    </w:p>
    <w:bookmarkEnd w:id="146"/>
    <w:bookmarkStart w:id="147" w:name="tools"/>
    <w:p>
      <w:pPr>
        <w:pStyle w:val="Heading3"/>
      </w:pPr>
      <w:r>
        <w:t xml:space="preserve">Tools</w:t>
      </w:r>
    </w:p>
    <w:p>
      <w:pPr>
        <w:pStyle w:val="Compact"/>
        <w:numPr>
          <w:ilvl w:val="0"/>
          <w:numId w:val="1083"/>
        </w:numPr>
      </w:pPr>
      <w:r>
        <w:t xml:space="preserve">Outcomes based planning template tool</w:t>
      </w:r>
    </w:p>
    <w:bookmarkEnd w:id="147"/>
    <w:bookmarkEnd w:id="148"/>
    <w:bookmarkEnd w:id="149"/>
    <w:bookmarkStart w:id="158" w:name="choose-your-capabilities"/>
    <w:p>
      <w:pPr>
        <w:pStyle w:val="Heading1"/>
      </w:pPr>
      <w:r>
        <w:t xml:space="preserve">Choose your Capabilities</w:t>
      </w:r>
    </w:p>
    <w:p>
      <w:pPr>
        <w:pStyle w:val="FirstParagraph"/>
      </w:pPr>
    </w:p>
    <w:bookmarkStart w:id="150" w:name="what-overview-1"/>
    <w:p>
      <w:pPr>
        <w:pStyle w:val="Heading2"/>
      </w:pPr>
      <w:r>
        <w:t xml:space="preserve">What? | Overview</w:t>
      </w:r>
    </w:p>
    <w:p>
      <w:pPr>
        <w:pStyle w:val="FirstParagraph"/>
      </w:pPr>
      <w:r>
        <w:t xml:space="preserve">By identifying the required capabilities needed to achieve an outcome, SMAs can better align their information and technology resources and processes with their strategic business goals, which should enhance their insight for improving their CMS-required and state-specific outcomes.</w:t>
      </w:r>
    </w:p>
    <w:bookmarkEnd w:id="150"/>
    <w:bookmarkStart w:id="151" w:name="when-triggers-1"/>
    <w:p>
      <w:pPr>
        <w:pStyle w:val="Heading2"/>
      </w:pPr>
      <w:r>
        <w:t xml:space="preserve">When? | Triggers</w:t>
      </w:r>
    </w:p>
    <w:p>
      <w:pPr>
        <w:pStyle w:val="FirstParagraph"/>
      </w:pPr>
      <w:r>
        <w:t xml:space="preserve">Once outcomes and metrics have been developed, they should be mapped to the MITA architecture and SS-A processes to ensure a complete capture of an SMA’s maturity. This mapping will be helpful when assessing the maturity of each capability’s outcomes.</w:t>
      </w:r>
    </w:p>
    <w:bookmarkEnd w:id="151"/>
    <w:bookmarkStart w:id="152" w:name="why-objectives-1"/>
    <w:p>
      <w:pPr>
        <w:pStyle w:val="Heading2"/>
      </w:pPr>
      <w:r>
        <w:t xml:space="preserve">Why? | Objectives</w:t>
      </w:r>
    </w:p>
    <w:p>
      <w:pPr>
        <w:pStyle w:val="FirstParagraph"/>
      </w:pPr>
      <w:r>
        <w:t xml:space="preserve">Aligning information and technology resources and processes to goals should improve insight into how to address needed changes and improvements to achieve success. The capability maturity assessment scores may help to define the projects needed to achieve outcomes. The assessment may also help shape the initial identified outcomes and add more information.</w:t>
      </w:r>
    </w:p>
    <w:bookmarkEnd w:id="152"/>
    <w:bookmarkStart w:id="153" w:name="who-key-players-1"/>
    <w:p>
      <w:pPr>
        <w:pStyle w:val="Heading2"/>
      </w:pPr>
      <w:r>
        <w:t xml:space="preserve">Who? | Key Players</w:t>
      </w:r>
    </w:p>
    <w:p>
      <w:pPr>
        <w:pStyle w:val="Compact"/>
        <w:numPr>
          <w:ilvl w:val="0"/>
          <w:numId w:val="1084"/>
        </w:numPr>
      </w:pPr>
      <w:r>
        <w:t xml:space="preserve">Program Subject Matter Experts</w:t>
      </w:r>
    </w:p>
    <w:p>
      <w:pPr>
        <w:pStyle w:val="Compact"/>
        <w:numPr>
          <w:ilvl w:val="0"/>
          <w:numId w:val="1084"/>
        </w:numPr>
      </w:pPr>
      <w:r>
        <w:t xml:space="preserve">MITA Project Team</w:t>
      </w:r>
    </w:p>
    <w:bookmarkEnd w:id="153"/>
    <w:bookmarkStart w:id="154" w:name="how-key-steps-actions-1"/>
    <w:p>
      <w:pPr>
        <w:pStyle w:val="Heading2"/>
      </w:pPr>
      <w:r>
        <w:t xml:space="preserve">How? | Key Steps &amp; Actions</w:t>
      </w:r>
    </w:p>
    <w:p>
      <w:pPr>
        <w:pStyle w:val="Compact"/>
        <w:numPr>
          <w:ilvl w:val="0"/>
          <w:numId w:val="1085"/>
        </w:numPr>
      </w:pPr>
      <w:r>
        <w:rPr>
          <w:b/>
          <w:bCs/>
        </w:rPr>
        <w:t xml:space="preserve">Map outcomes to MITA capability areas.</w:t>
      </w:r>
    </w:p>
    <w:p>
      <w:pPr>
        <w:pStyle w:val="Compact"/>
        <w:numPr>
          <w:ilvl w:val="1"/>
          <w:numId w:val="1086"/>
        </w:numPr>
      </w:pPr>
      <w:r>
        <w:t xml:space="preserve">Use the MITA 4.0 Capability Model to determine the capabilities that impact the achievement of the goal.</w:t>
      </w:r>
    </w:p>
    <w:p>
      <w:pPr>
        <w:pStyle w:val="Compact"/>
        <w:numPr>
          <w:ilvl w:val="1"/>
          <w:numId w:val="1086"/>
        </w:numPr>
      </w:pPr>
      <w:r>
        <w:t xml:space="preserve">If already defined, map state specific capabilities to each MITA 4.0 Capability Area.</w:t>
      </w:r>
    </w:p>
    <w:p>
      <w:pPr>
        <w:pStyle w:val="Compact"/>
        <w:numPr>
          <w:ilvl w:val="1"/>
          <w:numId w:val="1086"/>
        </w:numPr>
      </w:pPr>
      <w:r>
        <w:t xml:space="preserve">If capabilities are not defined, map outcomes from previous step to MITA 4.0 Capability Area, potentially mapping multiple outcomes to one capability areas.</w:t>
      </w:r>
    </w:p>
    <w:p>
      <w:pPr>
        <w:pStyle w:val="Compact"/>
        <w:numPr>
          <w:ilvl w:val="0"/>
          <w:numId w:val="1085"/>
        </w:numPr>
      </w:pPr>
      <w:r>
        <w:rPr>
          <w:b/>
          <w:bCs/>
        </w:rPr>
        <w:t xml:space="preserve">If applicable, revisit the prior maturity assessment for those capabilities mapped to outcomes.</w:t>
      </w:r>
    </w:p>
    <w:p>
      <w:pPr>
        <w:pStyle w:val="Compact"/>
        <w:numPr>
          <w:ilvl w:val="1"/>
          <w:numId w:val="1087"/>
        </w:numPr>
      </w:pPr>
      <w:r>
        <w:t xml:space="preserve">Document the as is maturity for each capability area mapped to an outcome.</w:t>
      </w:r>
    </w:p>
    <w:p>
      <w:pPr>
        <w:pStyle w:val="Compact"/>
        <w:numPr>
          <w:ilvl w:val="1"/>
          <w:numId w:val="1087"/>
        </w:numPr>
      </w:pPr>
      <w:r>
        <w:t xml:space="preserve">Document the target maturity for each capability area mapped to an outcome.</w:t>
      </w:r>
    </w:p>
    <w:p>
      <w:pPr>
        <w:pStyle w:val="Compact"/>
        <w:numPr>
          <w:ilvl w:val="0"/>
          <w:numId w:val="1085"/>
        </w:numPr>
      </w:pPr>
      <w:r>
        <w:rPr>
          <w:b/>
          <w:bCs/>
        </w:rPr>
        <w:t xml:space="preserve">Update capability mapping as state specific capabilities are defined and as maturity assessments are conducted.</w:t>
      </w:r>
    </w:p>
    <w:bookmarkEnd w:id="154"/>
    <w:bookmarkStart w:id="157" w:name="references-tools-1"/>
    <w:p>
      <w:pPr>
        <w:pStyle w:val="Heading2"/>
      </w:pPr>
      <w:r>
        <w:t xml:space="preserve">References &amp; Tools</w:t>
      </w:r>
    </w:p>
    <w:bookmarkStart w:id="155" w:name="references-1"/>
    <w:p>
      <w:pPr>
        <w:pStyle w:val="Heading3"/>
      </w:pPr>
      <w:r>
        <w:t xml:space="preserve">References</w:t>
      </w:r>
    </w:p>
    <w:p>
      <w:pPr>
        <w:pStyle w:val="Compact"/>
        <w:numPr>
          <w:ilvl w:val="0"/>
          <w:numId w:val="1088"/>
        </w:numPr>
      </w:pPr>
      <w:r>
        <w:t xml:space="preserve">MITA 4.0 Capability Map</w:t>
      </w:r>
    </w:p>
    <w:bookmarkEnd w:id="155"/>
    <w:bookmarkStart w:id="156" w:name="tools-1"/>
    <w:p>
      <w:pPr>
        <w:pStyle w:val="Heading3"/>
      </w:pPr>
      <w:r>
        <w:t xml:space="preserve">Tools</w:t>
      </w:r>
    </w:p>
    <w:p>
      <w:pPr>
        <w:pStyle w:val="Compact"/>
        <w:numPr>
          <w:ilvl w:val="0"/>
          <w:numId w:val="1089"/>
        </w:numPr>
      </w:pPr>
      <w:r>
        <w:t xml:space="preserve">Outcomes-based Planning template tool</w:t>
      </w:r>
    </w:p>
    <w:bookmarkEnd w:id="156"/>
    <w:bookmarkEnd w:id="157"/>
    <w:bookmarkEnd w:id="158"/>
    <w:bookmarkStart w:id="169" w:name="define-your-architecture"/>
    <w:p>
      <w:pPr>
        <w:pStyle w:val="Heading1"/>
      </w:pPr>
      <w:r>
        <w:t xml:space="preserve">Define your Architecture</w:t>
      </w:r>
    </w:p>
    <w:p>
      <w:pPr>
        <w:pStyle w:val="FirstParagraph"/>
      </w:pPr>
    </w:p>
    <w:bookmarkStart w:id="159" w:name="what-overview-2"/>
    <w:p>
      <w:pPr>
        <w:pStyle w:val="Heading2"/>
      </w:pPr>
      <w:r>
        <w:t xml:space="preserve">What? | Overview</w:t>
      </w:r>
    </w:p>
    <w:p>
      <w:pPr>
        <w:pStyle w:val="FirstParagraph"/>
      </w:pPr>
      <w:r>
        <w:t xml:space="preserve">[Brief description of stage]</w:t>
      </w:r>
    </w:p>
    <w:bookmarkEnd w:id="159"/>
    <w:bookmarkStart w:id="160" w:name="when-triggers-2"/>
    <w:p>
      <w:pPr>
        <w:pStyle w:val="Heading2"/>
      </w:pPr>
      <w:r>
        <w:t xml:space="preserve">When? | Triggers</w:t>
      </w:r>
    </w:p>
    <w:p>
      <w:pPr>
        <w:pStyle w:val="FirstParagraph"/>
      </w:pPr>
      <w:r>
        <w:t xml:space="preserve">[Bullets or description of when to start this stage]</w:t>
      </w:r>
    </w:p>
    <w:bookmarkEnd w:id="160"/>
    <w:bookmarkStart w:id="161" w:name="why-objectives-2"/>
    <w:p>
      <w:pPr>
        <w:pStyle w:val="Heading2"/>
      </w:pPr>
      <w:r>
        <w:t xml:space="preserve">Why? | Objectives</w:t>
      </w:r>
    </w:p>
    <w:p>
      <w:pPr>
        <w:pStyle w:val="FirstParagraph"/>
      </w:pPr>
      <w:r>
        <w:t xml:space="preserve">By the end of this stage—</w:t>
      </w:r>
    </w:p>
    <w:p>
      <w:pPr>
        <w:pStyle w:val="Compact"/>
        <w:numPr>
          <w:ilvl w:val="0"/>
          <w:numId w:val="1090"/>
        </w:numPr>
      </w:pPr>
      <w:r>
        <w:t xml:space="preserve">[Objective 1]</w:t>
      </w:r>
    </w:p>
    <w:p>
      <w:pPr>
        <w:pStyle w:val="Compact"/>
        <w:numPr>
          <w:ilvl w:val="0"/>
          <w:numId w:val="1090"/>
        </w:numPr>
      </w:pPr>
      <w:r>
        <w:t xml:space="preserve">[Objective 2]</w:t>
      </w:r>
    </w:p>
    <w:p>
      <w:pPr>
        <w:pStyle w:val="Compact"/>
        <w:numPr>
          <w:ilvl w:val="0"/>
          <w:numId w:val="1090"/>
        </w:numPr>
      </w:pPr>
      <w:r>
        <w:t xml:space="preserve">[Objective n]</w:t>
      </w:r>
    </w:p>
    <w:bookmarkEnd w:id="161"/>
    <w:bookmarkStart w:id="162" w:name="who-key-players-2"/>
    <w:p>
      <w:pPr>
        <w:pStyle w:val="Heading2"/>
      </w:pPr>
      <w:r>
        <w:t xml:space="preserve">Who? | Key Players</w:t>
      </w:r>
    </w:p>
    <w:p>
      <w:pPr>
        <w:pStyle w:val="Compact"/>
        <w:numPr>
          <w:ilvl w:val="0"/>
          <w:numId w:val="1091"/>
        </w:numPr>
      </w:pPr>
      <w:r>
        <w:t xml:space="preserve">[Key player 1]</w:t>
      </w:r>
    </w:p>
    <w:p>
      <w:pPr>
        <w:pStyle w:val="Compact"/>
        <w:numPr>
          <w:ilvl w:val="0"/>
          <w:numId w:val="1091"/>
        </w:numPr>
      </w:pPr>
      <w:r>
        <w:t xml:space="preserve">[Key player 2]</w:t>
      </w:r>
    </w:p>
    <w:p>
      <w:pPr>
        <w:pStyle w:val="Compact"/>
        <w:numPr>
          <w:ilvl w:val="0"/>
          <w:numId w:val="1091"/>
        </w:numPr>
      </w:pPr>
      <w:r>
        <w:t xml:space="preserve">[Key player n]</w:t>
      </w:r>
    </w:p>
    <w:bookmarkEnd w:id="162"/>
    <w:bookmarkStart w:id="165" w:name="how-key-steps-actions-2"/>
    <w:p>
      <w:pPr>
        <w:pStyle w:val="Heading2"/>
      </w:pPr>
      <w:r>
        <w:t xml:space="preserve">How? | Key Steps &amp; Actions</w:t>
      </w:r>
    </w:p>
    <w:bookmarkStart w:id="163" w:name="step-1"/>
    <w:p>
      <w:pPr>
        <w:pStyle w:val="Heading3"/>
      </w:pPr>
      <w:r>
        <w:t xml:space="preserve">[Step 1]</w:t>
      </w:r>
    </w:p>
    <w:p>
      <w:pPr>
        <w:pStyle w:val="Compact"/>
        <w:numPr>
          <w:ilvl w:val="0"/>
          <w:numId w:val="1092"/>
        </w:numPr>
      </w:pPr>
      <w:r>
        <w:t xml:space="preserve">[Action 1 for Step 1]</w:t>
      </w:r>
    </w:p>
    <w:p>
      <w:pPr>
        <w:pStyle w:val="Compact"/>
        <w:numPr>
          <w:ilvl w:val="0"/>
          <w:numId w:val="1092"/>
        </w:numPr>
      </w:pPr>
      <w:r>
        <w:t xml:space="preserve">[Action 2 for Step 1]</w:t>
      </w:r>
    </w:p>
    <w:p>
      <w:pPr>
        <w:pStyle w:val="Compact"/>
        <w:numPr>
          <w:ilvl w:val="0"/>
          <w:numId w:val="1092"/>
        </w:numPr>
      </w:pPr>
      <w:r>
        <w:t xml:space="preserve">[Action n for Step 1]</w:t>
      </w:r>
    </w:p>
    <w:bookmarkEnd w:id="163"/>
    <w:bookmarkStart w:id="164" w:name="step-n"/>
    <w:p>
      <w:pPr>
        <w:pStyle w:val="Heading3"/>
      </w:pPr>
      <w:r>
        <w:t xml:space="preserve">[Step n]</w:t>
      </w:r>
    </w:p>
    <w:p>
      <w:pPr>
        <w:pStyle w:val="Compact"/>
        <w:numPr>
          <w:ilvl w:val="0"/>
          <w:numId w:val="1093"/>
        </w:numPr>
      </w:pPr>
      <w:r>
        <w:t xml:space="preserve">[Action 1 for Step n]</w:t>
      </w:r>
    </w:p>
    <w:p>
      <w:pPr>
        <w:pStyle w:val="Compact"/>
        <w:numPr>
          <w:ilvl w:val="0"/>
          <w:numId w:val="1093"/>
        </w:numPr>
      </w:pPr>
      <w:r>
        <w:t xml:space="preserve">[Action 2 for Step n]</w:t>
      </w:r>
    </w:p>
    <w:p>
      <w:pPr>
        <w:pStyle w:val="Compact"/>
        <w:numPr>
          <w:ilvl w:val="0"/>
          <w:numId w:val="1093"/>
        </w:numPr>
      </w:pPr>
      <w:r>
        <w:t xml:space="preserve">[Action n for Step n]</w:t>
      </w:r>
    </w:p>
    <w:bookmarkEnd w:id="164"/>
    <w:bookmarkEnd w:id="165"/>
    <w:bookmarkStart w:id="168" w:name="references-tools-2"/>
    <w:p>
      <w:pPr>
        <w:pStyle w:val="Heading2"/>
      </w:pPr>
      <w:r>
        <w:t xml:space="preserve">References &amp; Tools</w:t>
      </w:r>
    </w:p>
    <w:bookmarkStart w:id="166" w:name="references-2"/>
    <w:p>
      <w:pPr>
        <w:pStyle w:val="Heading3"/>
      </w:pPr>
      <w:r>
        <w:t xml:space="preserve">References</w:t>
      </w:r>
    </w:p>
    <w:p>
      <w:pPr>
        <w:pStyle w:val="Compact"/>
        <w:numPr>
          <w:ilvl w:val="0"/>
          <w:numId w:val="1094"/>
        </w:numPr>
      </w:pPr>
      <w:r>
        <w:t xml:space="preserve">[Reference 1]</w:t>
      </w:r>
    </w:p>
    <w:p>
      <w:pPr>
        <w:pStyle w:val="Compact"/>
        <w:numPr>
          <w:ilvl w:val="0"/>
          <w:numId w:val="1094"/>
        </w:numPr>
      </w:pPr>
      <w:r>
        <w:t xml:space="preserve">[Reference n]</w:t>
      </w:r>
    </w:p>
    <w:bookmarkEnd w:id="166"/>
    <w:bookmarkStart w:id="167" w:name="tools-2"/>
    <w:p>
      <w:pPr>
        <w:pStyle w:val="Heading3"/>
      </w:pPr>
      <w:r>
        <w:t xml:space="preserve">Tools</w:t>
      </w:r>
    </w:p>
    <w:p>
      <w:pPr>
        <w:pStyle w:val="Compact"/>
        <w:numPr>
          <w:ilvl w:val="0"/>
          <w:numId w:val="1095"/>
        </w:numPr>
      </w:pPr>
      <w:r>
        <w:t xml:space="preserve">[Tool 1]</w:t>
      </w:r>
    </w:p>
    <w:p>
      <w:pPr>
        <w:pStyle w:val="Compact"/>
        <w:numPr>
          <w:ilvl w:val="0"/>
          <w:numId w:val="1095"/>
        </w:numPr>
      </w:pPr>
      <w:r>
        <w:t xml:space="preserve">[Tool n]</w:t>
      </w:r>
    </w:p>
    <w:bookmarkEnd w:id="167"/>
    <w:bookmarkEnd w:id="168"/>
    <w:bookmarkEnd w:id="169"/>
    <w:bookmarkStart w:id="180" w:name="finalize-your-state-self-assessment"/>
    <w:p>
      <w:pPr>
        <w:pStyle w:val="Heading1"/>
      </w:pPr>
      <w:r>
        <w:t xml:space="preserve">Finalize your State Self-Assessment</w:t>
      </w:r>
    </w:p>
    <w:p>
      <w:pPr>
        <w:pStyle w:val="FirstParagraph"/>
      </w:pPr>
    </w:p>
    <w:bookmarkStart w:id="170" w:name="what-overview-3"/>
    <w:p>
      <w:pPr>
        <w:pStyle w:val="Heading2"/>
      </w:pPr>
      <w:r>
        <w:t xml:space="preserve">What? | Overview</w:t>
      </w:r>
    </w:p>
    <w:p>
      <w:pPr>
        <w:pStyle w:val="FirstParagraph"/>
      </w:pPr>
      <w:r>
        <w:t xml:space="preserve">[Brief description of stage]</w:t>
      </w:r>
    </w:p>
    <w:bookmarkEnd w:id="170"/>
    <w:bookmarkStart w:id="171" w:name="when-triggers-3"/>
    <w:p>
      <w:pPr>
        <w:pStyle w:val="Heading2"/>
      </w:pPr>
      <w:r>
        <w:t xml:space="preserve">When? | Triggers</w:t>
      </w:r>
    </w:p>
    <w:p>
      <w:pPr>
        <w:pStyle w:val="FirstParagraph"/>
      </w:pPr>
      <w:r>
        <w:t xml:space="preserve">[Bullets or description of when to start this stage]</w:t>
      </w:r>
    </w:p>
    <w:bookmarkEnd w:id="171"/>
    <w:bookmarkStart w:id="172" w:name="why-objectives-3"/>
    <w:p>
      <w:pPr>
        <w:pStyle w:val="Heading2"/>
      </w:pPr>
      <w:r>
        <w:t xml:space="preserve">Why? | Objectives</w:t>
      </w:r>
    </w:p>
    <w:p>
      <w:pPr>
        <w:pStyle w:val="FirstParagraph"/>
      </w:pPr>
      <w:r>
        <w:t xml:space="preserve">By the end of this stage—</w:t>
      </w:r>
    </w:p>
    <w:p>
      <w:pPr>
        <w:pStyle w:val="Compact"/>
        <w:numPr>
          <w:ilvl w:val="0"/>
          <w:numId w:val="1096"/>
        </w:numPr>
      </w:pPr>
      <w:r>
        <w:t xml:space="preserve">[Objective 1]</w:t>
      </w:r>
    </w:p>
    <w:p>
      <w:pPr>
        <w:pStyle w:val="Compact"/>
        <w:numPr>
          <w:ilvl w:val="0"/>
          <w:numId w:val="1096"/>
        </w:numPr>
      </w:pPr>
      <w:r>
        <w:t xml:space="preserve">[Objective 2]</w:t>
      </w:r>
    </w:p>
    <w:p>
      <w:pPr>
        <w:pStyle w:val="Compact"/>
        <w:numPr>
          <w:ilvl w:val="0"/>
          <w:numId w:val="1096"/>
        </w:numPr>
      </w:pPr>
      <w:r>
        <w:t xml:space="preserve">[Objective n]</w:t>
      </w:r>
    </w:p>
    <w:bookmarkEnd w:id="172"/>
    <w:bookmarkStart w:id="173" w:name="who-key-players-3"/>
    <w:p>
      <w:pPr>
        <w:pStyle w:val="Heading2"/>
      </w:pPr>
      <w:r>
        <w:t xml:space="preserve">Who? | Key Players</w:t>
      </w:r>
    </w:p>
    <w:p>
      <w:pPr>
        <w:pStyle w:val="Compact"/>
        <w:numPr>
          <w:ilvl w:val="0"/>
          <w:numId w:val="1097"/>
        </w:numPr>
      </w:pPr>
      <w:r>
        <w:t xml:space="preserve">[Key player 1]</w:t>
      </w:r>
    </w:p>
    <w:p>
      <w:pPr>
        <w:pStyle w:val="Compact"/>
        <w:numPr>
          <w:ilvl w:val="0"/>
          <w:numId w:val="1097"/>
        </w:numPr>
      </w:pPr>
      <w:r>
        <w:t xml:space="preserve">[Key player 2]</w:t>
      </w:r>
    </w:p>
    <w:p>
      <w:pPr>
        <w:pStyle w:val="Compact"/>
        <w:numPr>
          <w:ilvl w:val="0"/>
          <w:numId w:val="1097"/>
        </w:numPr>
      </w:pPr>
      <w:r>
        <w:t xml:space="preserve">[Key player n]</w:t>
      </w:r>
    </w:p>
    <w:bookmarkEnd w:id="173"/>
    <w:bookmarkStart w:id="176" w:name="how-key-steps-actions-3"/>
    <w:p>
      <w:pPr>
        <w:pStyle w:val="Heading2"/>
      </w:pPr>
      <w:r>
        <w:t xml:space="preserve">How? | Key Steps &amp; Actions</w:t>
      </w:r>
    </w:p>
    <w:bookmarkStart w:id="174" w:name="step-1-1"/>
    <w:p>
      <w:pPr>
        <w:pStyle w:val="Heading3"/>
      </w:pPr>
      <w:r>
        <w:t xml:space="preserve">[Step 1]</w:t>
      </w:r>
    </w:p>
    <w:p>
      <w:pPr>
        <w:pStyle w:val="Compact"/>
        <w:numPr>
          <w:ilvl w:val="0"/>
          <w:numId w:val="1098"/>
        </w:numPr>
      </w:pPr>
      <w:r>
        <w:t xml:space="preserve">[Action 1 for Step 1]</w:t>
      </w:r>
    </w:p>
    <w:p>
      <w:pPr>
        <w:pStyle w:val="Compact"/>
        <w:numPr>
          <w:ilvl w:val="0"/>
          <w:numId w:val="1098"/>
        </w:numPr>
      </w:pPr>
      <w:r>
        <w:t xml:space="preserve">[Action 2 for Step 1]</w:t>
      </w:r>
    </w:p>
    <w:p>
      <w:pPr>
        <w:pStyle w:val="Compact"/>
        <w:numPr>
          <w:ilvl w:val="0"/>
          <w:numId w:val="1098"/>
        </w:numPr>
      </w:pPr>
      <w:r>
        <w:t xml:space="preserve">[Action n for Step 1]</w:t>
      </w:r>
    </w:p>
    <w:bookmarkEnd w:id="174"/>
    <w:bookmarkStart w:id="175" w:name="step-n-1"/>
    <w:p>
      <w:pPr>
        <w:pStyle w:val="Heading3"/>
      </w:pPr>
      <w:r>
        <w:t xml:space="preserve">[Step n]</w:t>
      </w:r>
    </w:p>
    <w:p>
      <w:pPr>
        <w:pStyle w:val="Compact"/>
        <w:numPr>
          <w:ilvl w:val="0"/>
          <w:numId w:val="1099"/>
        </w:numPr>
      </w:pPr>
      <w:r>
        <w:t xml:space="preserve">[Action 1 for Step n]</w:t>
      </w:r>
    </w:p>
    <w:p>
      <w:pPr>
        <w:pStyle w:val="Compact"/>
        <w:numPr>
          <w:ilvl w:val="0"/>
          <w:numId w:val="1099"/>
        </w:numPr>
      </w:pPr>
      <w:r>
        <w:t xml:space="preserve">[Action 2 for Step n]</w:t>
      </w:r>
    </w:p>
    <w:p>
      <w:pPr>
        <w:pStyle w:val="Compact"/>
        <w:numPr>
          <w:ilvl w:val="0"/>
          <w:numId w:val="1099"/>
        </w:numPr>
      </w:pPr>
      <w:r>
        <w:t xml:space="preserve">[Action n for Step n]</w:t>
      </w:r>
    </w:p>
    <w:bookmarkEnd w:id="175"/>
    <w:bookmarkEnd w:id="176"/>
    <w:bookmarkStart w:id="179" w:name="references-tools-3"/>
    <w:p>
      <w:pPr>
        <w:pStyle w:val="Heading2"/>
      </w:pPr>
      <w:r>
        <w:t xml:space="preserve">References &amp; Tools</w:t>
      </w:r>
    </w:p>
    <w:bookmarkStart w:id="177" w:name="references-3"/>
    <w:p>
      <w:pPr>
        <w:pStyle w:val="Heading3"/>
      </w:pPr>
      <w:r>
        <w:t xml:space="preserve">References</w:t>
      </w:r>
    </w:p>
    <w:p>
      <w:pPr>
        <w:pStyle w:val="Compact"/>
        <w:numPr>
          <w:ilvl w:val="0"/>
          <w:numId w:val="1100"/>
        </w:numPr>
      </w:pPr>
      <w:r>
        <w:t xml:space="preserve">[Reference 1]</w:t>
      </w:r>
    </w:p>
    <w:p>
      <w:pPr>
        <w:pStyle w:val="Compact"/>
        <w:numPr>
          <w:ilvl w:val="0"/>
          <w:numId w:val="1100"/>
        </w:numPr>
      </w:pPr>
      <w:r>
        <w:t xml:space="preserve">[Reference n]</w:t>
      </w:r>
    </w:p>
    <w:bookmarkEnd w:id="177"/>
    <w:bookmarkStart w:id="178" w:name="tools-3"/>
    <w:p>
      <w:pPr>
        <w:pStyle w:val="Heading3"/>
      </w:pPr>
      <w:r>
        <w:t xml:space="preserve">Tools</w:t>
      </w:r>
    </w:p>
    <w:p>
      <w:pPr>
        <w:pStyle w:val="Compact"/>
        <w:numPr>
          <w:ilvl w:val="0"/>
          <w:numId w:val="1101"/>
        </w:numPr>
      </w:pPr>
      <w:r>
        <w:t xml:space="preserve">[Tool 1]</w:t>
      </w:r>
    </w:p>
    <w:p>
      <w:pPr>
        <w:pStyle w:val="Compact"/>
        <w:numPr>
          <w:ilvl w:val="0"/>
          <w:numId w:val="1101"/>
        </w:numPr>
      </w:pPr>
      <w:r>
        <w:t xml:space="preserve">[Tool n]</w:t>
      </w:r>
    </w:p>
    <w:bookmarkEnd w:id="178"/>
    <w:bookmarkEnd w:id="179"/>
    <w:bookmarkEnd w:id="180"/>
    <w:bookmarkStart w:id="181" w:name="outcomes-based-planning-1"/>
    <w:p>
      <w:pPr>
        <w:pStyle w:val="Heading1"/>
      </w:pPr>
      <w:r>
        <w:t xml:space="preserve">Outcomes-based Planning</w:t>
      </w:r>
    </w:p>
    <w:bookmarkEnd w:id="181"/>
    <w:bookmarkStart w:id="182" w:name="what-is-outcomes-based-planning"/>
    <w:p>
      <w:pPr>
        <w:pStyle w:val="Heading1"/>
      </w:pPr>
      <w:r>
        <w:t xml:space="preserve">What is Outcomes-based Planning?</w:t>
      </w:r>
    </w:p>
    <w:p>
      <w:pPr>
        <w:pStyle w:val="FirstParagraph"/>
      </w:pPr>
      <w:r>
        <w:t xml:space="preserve">Outcomes-based planning (OBP) places improved results at the center of Medicaid Enterprise Systems (MES) investments. OBP helps states define their needs, the value their system and business investments are expected to deliver, track progress through measurable indicators, and demonstrate return on investment—specifically when seeking enhanced federal financial participation (FFP).</w:t>
      </w:r>
    </w:p>
    <w:p>
      <w:pPr>
        <w:pStyle w:val="BodyText"/>
      </w:pPr>
      <w:r>
        <w:t xml:space="preserve">OBP is the process of:</w:t>
      </w:r>
    </w:p>
    <w:p>
      <w:pPr>
        <w:pStyle w:val="Compact"/>
        <w:numPr>
          <w:ilvl w:val="0"/>
          <w:numId w:val="1102"/>
        </w:numPr>
      </w:pPr>
      <w:r>
        <w:t xml:space="preserve">Identifying business challenges faced by a Medicaid program</w:t>
      </w:r>
    </w:p>
    <w:p>
      <w:pPr>
        <w:pStyle w:val="Compact"/>
        <w:numPr>
          <w:ilvl w:val="0"/>
          <w:numId w:val="1102"/>
        </w:numPr>
      </w:pPr>
      <w:r>
        <w:t xml:space="preserve">Defining the desired outcomes that address those challenges</w:t>
      </w:r>
    </w:p>
    <w:p>
      <w:pPr>
        <w:pStyle w:val="Compact"/>
        <w:numPr>
          <w:ilvl w:val="0"/>
          <w:numId w:val="1102"/>
        </w:numPr>
      </w:pPr>
      <w:r>
        <w:t xml:space="preserve">Establishing clear metrics and milestones to measure progress</w:t>
      </w:r>
    </w:p>
    <w:p>
      <w:pPr>
        <w:pStyle w:val="FirstParagraph"/>
      </w:pPr>
      <w:r>
        <w:t xml:space="preserve">Rather than focusing solely on technology deliverables, the OBP approach ensures that each system initiative is purpose-built to drive measurable, meaningful benefits to the Medicaid program.</w:t>
      </w:r>
    </w:p>
    <w:bookmarkEnd w:id="182"/>
    <w:bookmarkStart w:id="184" w:name="why-outcomes-based-planning-matters"/>
    <w:p>
      <w:pPr>
        <w:pStyle w:val="Heading1"/>
      </w:pPr>
      <w:r>
        <w:t xml:space="preserve">Why Outcomes-based Planning Matters</w:t>
      </w:r>
    </w:p>
    <w:p>
      <w:pPr>
        <w:pStyle w:val="FirstParagraph"/>
      </w:pPr>
      <w:r>
        <w:t xml:space="preserve">CMS-required outcomes are based on statutory or regulatory requirements and provide a baseline for what is required of a MES. CMS-required outcomes provide a baseline of requirements for an MES, yet to fully address programmatic needs, states should develop state-specific outcomes. The OBP process can help states develop state-specific outcomes.</w:t>
      </w:r>
    </w:p>
    <w:p>
      <w:pPr>
        <w:pStyle w:val="BodyText"/>
      </w:pPr>
      <w:r>
        <w:t xml:space="preserve">States can request enhanced FFP to fulfill state-specific needs. States requesting FFP should propose state-specific outcomes that demonstrate the successful achievement of the MES project, confirm the system functionality, and show benefit to the Medicaid program. State-specific outcomes should target achieving improvements to distinct business, operational, or policy challenges that produce direct benefits to the Medicaid program. These outcomes should respond to the unique needs of a state’s Medicaid program and represent operational improvements not specifically addressed by the CMS-required outcomes. State-specific outcomes should be measurable, achievable, and reflect the short-term goals of the MES project.</w:t>
      </w:r>
    </w:p>
    <w:p>
      <w:pPr>
        <w:pStyle w:val="BodyText"/>
      </w:pPr>
      <w:r>
        <w:t xml:space="preserve">Metrics must provide measurable evidence that the state is achieving outcomes on an ongoing basis. States are required to report on the system’s performance to CMS as a condition for receiving enhanced funding.</w:t>
      </w:r>
    </w:p>
    <w:p>
      <w:pPr>
        <w:pStyle w:val="BodyText"/>
      </w:pPr>
      <w:r>
        <w:t xml:space="preserve">CMS defines a good state-specific outcome as one that helps a state monitor the desired functionality and efficiency of its Medicaid program and operations.</w:t>
      </w:r>
    </w:p>
    <w:p>
      <w:pPr>
        <w:pStyle w:val="BodyText"/>
      </w:pPr>
      <w:r>
        <w:rPr>
          <w:b/>
          <w:bCs/>
        </w:rPr>
        <w:t xml:space="preserve">A good outcome should explain the following:</w:t>
      </w:r>
    </w:p>
    <w:p>
      <w:pPr>
        <w:pStyle w:val="Compact"/>
        <w:numPr>
          <w:ilvl w:val="0"/>
          <w:numId w:val="1103"/>
        </w:numPr>
      </w:pPr>
      <w:r>
        <w:rPr>
          <w:b/>
          <w:bCs/>
        </w:rPr>
        <w:t xml:space="preserve">Change</w:t>
      </w:r>
      <w:r>
        <w:t xml:space="preserve"> </w:t>
      </w:r>
      <w:r>
        <w:t xml:space="preserve">—What are we changing?</w:t>
      </w:r>
    </w:p>
    <w:p>
      <w:pPr>
        <w:pStyle w:val="Compact"/>
        <w:numPr>
          <w:ilvl w:val="0"/>
          <w:numId w:val="1103"/>
        </w:numPr>
      </w:pPr>
      <w:r>
        <w:rPr>
          <w:b/>
          <w:bCs/>
        </w:rPr>
        <w:t xml:space="preserve">Affected Stakeholders</w:t>
      </w:r>
      <w:r>
        <w:t xml:space="preserve"> </w:t>
      </w:r>
      <w:r>
        <w:t xml:space="preserve">—Who and what will it impact?</w:t>
      </w:r>
    </w:p>
    <w:p>
      <w:pPr>
        <w:pStyle w:val="Compact"/>
        <w:numPr>
          <w:ilvl w:val="0"/>
          <w:numId w:val="1103"/>
        </w:numPr>
      </w:pPr>
      <w:r>
        <w:rPr>
          <w:b/>
          <w:bCs/>
        </w:rPr>
        <w:t xml:space="preserve">Benefits</w:t>
      </w:r>
      <w:r>
        <w:t xml:space="preserve"> </w:t>
      </w:r>
      <w:r>
        <w:t xml:space="preserve">—What are the benefits of the change?</w:t>
      </w:r>
    </w:p>
    <w:bookmarkStart w:id="183" w:name="outcome-statement-example"/>
    <w:p>
      <w:pPr>
        <w:pStyle w:val="Heading3"/>
      </w:pPr>
      <w:r>
        <w:t xml:space="preserve">Outcome Statement Example</w:t>
      </w:r>
    </w:p>
    <w:p>
      <w:pPr>
        <w:pStyle w:val="FirstParagraph"/>
      </w:pPr>
      <w:r>
        <w:rPr>
          <w:i/>
          <w:iCs/>
        </w:rPr>
        <w:t xml:space="preserve">Improve provider satisfaction ratings by 15% within the next six months.</w:t>
      </w:r>
    </w:p>
    <w:p>
      <w:pPr>
        <w:pStyle w:val="BodyText"/>
      </w:pPr>
      <w:r>
        <w:rPr>
          <w:b/>
          <w:bCs/>
        </w:rPr>
        <w:t xml:space="preserve">Characteristics of the example Outcome statement:</w:t>
      </w:r>
    </w:p>
    <w:p>
      <w:pPr>
        <w:pStyle w:val="Compact"/>
        <w:numPr>
          <w:ilvl w:val="0"/>
          <w:numId w:val="1104"/>
        </w:numPr>
      </w:pPr>
      <w:r>
        <w:rPr>
          <w:b/>
          <w:bCs/>
        </w:rPr>
        <w:t xml:space="preserve">Change:</w:t>
      </w:r>
      <w:r>
        <w:t xml:space="preserve"> </w:t>
      </w:r>
      <w:r>
        <w:t xml:space="preserve">Improve satisfaction with the Provider Enrollment approval timeline by providing streamlined and automated workflows to resolve issues within the Provider Enrollment application. (What is the goal?)</w:t>
      </w:r>
    </w:p>
    <w:p>
      <w:pPr>
        <w:pStyle w:val="Compact"/>
        <w:numPr>
          <w:ilvl w:val="0"/>
          <w:numId w:val="1104"/>
        </w:numPr>
      </w:pPr>
      <w:r>
        <w:rPr>
          <w:b/>
          <w:bCs/>
        </w:rPr>
        <w:t xml:space="preserve">Affected Stakeholders:</w:t>
      </w:r>
      <w:r>
        <w:t xml:space="preserve"> </w:t>
      </w:r>
      <w:r>
        <w:t xml:space="preserve">Providers, Provider Organization, State users, etc. (Whose need does it address?)</w:t>
      </w:r>
    </w:p>
    <w:p>
      <w:pPr>
        <w:pStyle w:val="Compact"/>
        <w:numPr>
          <w:ilvl w:val="0"/>
          <w:numId w:val="1104"/>
        </w:numPr>
      </w:pPr>
      <w:r>
        <w:rPr>
          <w:b/>
          <w:bCs/>
        </w:rPr>
        <w:t xml:space="preserve">Benefits:</w:t>
      </w:r>
      <w:r>
        <w:t xml:space="preserve"> </w:t>
      </w:r>
      <w:r>
        <w:t xml:space="preserve">Leads to quicker onboarding of providers, improves provider retention, and decreases state staff workload. (Why is it important?)</w:t>
      </w:r>
    </w:p>
    <w:bookmarkEnd w:id="183"/>
    <w:bookmarkEnd w:id="184"/>
    <w:bookmarkStart w:id="185" w:name="why-outcomes-based-planning-works"/>
    <w:p>
      <w:pPr>
        <w:pStyle w:val="Heading1"/>
      </w:pPr>
      <w:r>
        <w:t xml:space="preserve">Why Outcomes-based Planning Works</w:t>
      </w:r>
    </w:p>
    <w:p>
      <w:pPr>
        <w:pStyle w:val="FirstParagraph"/>
      </w:pPr>
      <w:r>
        <w:t xml:space="preserve">The OBP process provides the following benefits:</w:t>
      </w:r>
    </w:p>
    <w:p>
      <w:pPr>
        <w:pStyle w:val="Compact"/>
        <w:numPr>
          <w:ilvl w:val="0"/>
          <w:numId w:val="1105"/>
        </w:numPr>
      </w:pPr>
      <w:r>
        <w:rPr>
          <w:b/>
          <w:bCs/>
        </w:rPr>
        <w:t xml:space="preserve">Consistent and repeatable process:</w:t>
      </w:r>
      <w:r>
        <w:t xml:space="preserve"> </w:t>
      </w:r>
      <w:r>
        <w:t xml:space="preserve">A structured process ensures that outcomes are identified consistently across the organization, making it easier to replicate, scale and identify trends.</w:t>
      </w:r>
    </w:p>
    <w:p>
      <w:pPr>
        <w:pStyle w:val="Compact"/>
        <w:numPr>
          <w:ilvl w:val="0"/>
          <w:numId w:val="1105"/>
        </w:numPr>
      </w:pPr>
      <w:r>
        <w:rPr>
          <w:b/>
          <w:bCs/>
        </w:rPr>
        <w:t xml:space="preserve">Sustainability:</w:t>
      </w:r>
      <w:r>
        <w:t xml:space="preserve"> </w:t>
      </w:r>
      <w:r>
        <w:t xml:space="preserve">A well-designed process is sustainable and can be applied irrespective of the team or individuals involved, thus reducing reliance on specific people.</w:t>
      </w:r>
    </w:p>
    <w:p>
      <w:pPr>
        <w:pStyle w:val="Compact"/>
        <w:numPr>
          <w:ilvl w:val="0"/>
          <w:numId w:val="1105"/>
        </w:numPr>
      </w:pPr>
      <w:r>
        <w:rPr>
          <w:b/>
          <w:bCs/>
        </w:rPr>
        <w:t xml:space="preserve">Transparency:</w:t>
      </w:r>
      <w:r>
        <w:t xml:space="preserve"> </w:t>
      </w:r>
      <w:r>
        <w:t xml:space="preserve">A clear process ensures transparency in outcome identification, making it easier to communicate, gain consensus, align with stakeholders, and build trust.</w:t>
      </w:r>
    </w:p>
    <w:p>
      <w:pPr>
        <w:pStyle w:val="Compact"/>
        <w:numPr>
          <w:ilvl w:val="0"/>
          <w:numId w:val="1105"/>
        </w:numPr>
      </w:pPr>
      <w:r>
        <w:rPr>
          <w:b/>
          <w:bCs/>
        </w:rPr>
        <w:t xml:space="preserve">Traceability:</w:t>
      </w:r>
      <w:r>
        <w:t xml:space="preserve"> </w:t>
      </w:r>
      <w:r>
        <w:t xml:space="preserve">A structured process ensures that states can trace outcomes to the original challenge or opportunity, which maintains focus and context.</w:t>
      </w:r>
    </w:p>
    <w:p>
      <w:pPr>
        <w:pStyle w:val="Compact"/>
        <w:numPr>
          <w:ilvl w:val="0"/>
          <w:numId w:val="1105"/>
        </w:numPr>
      </w:pPr>
      <w:r>
        <w:rPr>
          <w:b/>
          <w:bCs/>
        </w:rPr>
        <w:t xml:space="preserve">Continuous Improvement:</w:t>
      </w:r>
      <w:r>
        <w:t xml:space="preserve"> </w:t>
      </w:r>
      <w:r>
        <w:t xml:space="preserve">Increasing transparency promotes continuous improvement through regular review and refinement of outcomes.</w:t>
      </w:r>
    </w:p>
    <w:p>
      <w:pPr>
        <w:pStyle w:val="FirstParagraph"/>
      </w:pPr>
      <w:r>
        <w:rPr>
          <w:b/>
          <w:bCs/>
        </w:rPr>
        <w:t xml:space="preserve">Adopting OBP can promote:</w:t>
      </w:r>
    </w:p>
    <w:p>
      <w:pPr>
        <w:pStyle w:val="Compact"/>
        <w:numPr>
          <w:ilvl w:val="0"/>
          <w:numId w:val="1106"/>
        </w:numPr>
      </w:pPr>
      <w:r>
        <w:rPr>
          <w:b/>
          <w:bCs/>
        </w:rPr>
        <w:t xml:space="preserve">Efficient resource allocation:</w:t>
      </w:r>
      <w:r>
        <w:t xml:space="preserve"> </w:t>
      </w:r>
      <w:r>
        <w:t xml:space="preserve">A well-designed process helps to allocate resources to initiatives that drive meaningful change and align with strategic goals.</w:t>
      </w:r>
    </w:p>
    <w:p>
      <w:pPr>
        <w:pStyle w:val="Compact"/>
        <w:numPr>
          <w:ilvl w:val="0"/>
          <w:numId w:val="1106"/>
        </w:numPr>
      </w:pPr>
      <w:r>
        <w:rPr>
          <w:b/>
          <w:bCs/>
        </w:rPr>
        <w:t xml:space="preserve">Improved accountability:</w:t>
      </w:r>
      <w:r>
        <w:t xml:space="preserve"> </w:t>
      </w:r>
      <w:r>
        <w:t xml:space="preserve">A clear process promotes accountability among team members by ensuring everyone understands what needs to be achieved.</w:t>
      </w:r>
    </w:p>
    <w:p>
      <w:pPr>
        <w:pStyle w:val="Compact"/>
        <w:numPr>
          <w:ilvl w:val="0"/>
          <w:numId w:val="1106"/>
        </w:numPr>
      </w:pPr>
      <w:r>
        <w:rPr>
          <w:b/>
          <w:bCs/>
        </w:rPr>
        <w:t xml:space="preserve">Enhanced collaboration:</w:t>
      </w:r>
      <w:r>
        <w:t xml:space="preserve"> </w:t>
      </w:r>
      <w:r>
        <w:t xml:space="preserve">A structured process facilitates collaboration among stakeholders, ensuring that everyone is working toward common goals.</w:t>
      </w:r>
    </w:p>
    <w:bookmarkEnd w:id="185"/>
    <w:bookmarkStart w:id="191" w:name="key-objectives-of-outcome-based-planning"/>
    <w:p>
      <w:pPr>
        <w:pStyle w:val="Heading1"/>
      </w:pPr>
      <w:r>
        <w:t xml:space="preserve">Key Objectives of Outcome-based Planning</w:t>
      </w:r>
    </w:p>
    <w:bookmarkStart w:id="186" w:name="X4217145e31d5fcd41f0f72b78a4e65817f1c709"/>
    <w:p>
      <w:pPr>
        <w:pStyle w:val="Heading3"/>
      </w:pPr>
      <w:r>
        <w:t xml:space="preserve">Demonstrate the value of system investments</w:t>
      </w:r>
    </w:p>
    <w:p>
      <w:pPr>
        <w:pStyle w:val="FirstParagraph"/>
      </w:pPr>
      <w:r>
        <w:t xml:space="preserve">A central objective of OBP is to clearly articulate the value that system investments bring to achieving state Medicaid program goals, improving day-to-day operations, and delivering measurable benefits to enrollees. Rather than focusing solely on the technical delivery of information technology (IT) components, OBP encourages states to frame investments in terms of policy alignment, operational efficiency, access to care, and service quality.</w:t>
      </w:r>
    </w:p>
    <w:p>
      <w:pPr>
        <w:pStyle w:val="BodyText"/>
      </w:pPr>
      <w:r>
        <w:t xml:space="preserve">For example, although the technical gain of implementing a new provider enrollment module might be its successful deployment and functionality, the outcome for the state could be a 30% reduction in provider enrollment processing time. Such a reduction could lead to greater provider satisfaction with the enrollment experience, and improved retention and engagement. An additional benefit is that newly credentialed providers increase the number of providers participating in the Medicaid network and could serve patients more quickly by reduced time for beneficiaries to schedule and attend their first appointment.</w:t>
      </w:r>
    </w:p>
    <w:bookmarkEnd w:id="186"/>
    <w:bookmarkStart w:id="187" w:name="Xf2aea75f6cef732c38a7120a652aca770fe00f8"/>
    <w:p>
      <w:pPr>
        <w:pStyle w:val="Heading3"/>
      </w:pPr>
      <w:r>
        <w:t xml:space="preserve">Improve program performance through strategic alignment</w:t>
      </w:r>
    </w:p>
    <w:p>
      <w:pPr>
        <w:pStyle w:val="FirstParagraph"/>
      </w:pPr>
      <w:r>
        <w:t xml:space="preserve">OBP helps states align system investments with Medicaid priorities and operational needs by grounding modernization efforts in clear program goals, such as improving access, streamlining operations, or delivering measurable benefits. This approach avoids the common pitfall of investing in technically compliant solutions that fail to address core challenges. When outcomes are clearly articulated from the start, state teams are better positioned to ensure that vendor activities, solution architecture, and project milestones support broader Medicaid goals (such as reducing delays in beneficiary eligibility processing, enhancing provider participation, or improving claims accuracy).</w:t>
      </w:r>
    </w:p>
    <w:p>
      <w:pPr>
        <w:pStyle w:val="BodyText"/>
      </w:pPr>
      <w:r>
        <w:t xml:space="preserve">For example, a state facing eligibility delays might set a goal of real-time verification for 90% of cases, guiding system design, procurement, and vendor accountability. Similarly, in addressing manual claims reprocessing, a state could define an outcome that reduces the claims rework rate by 40% within 12 months of go-live, thus aligning operational issues directly with technology goals.</w:t>
      </w:r>
    </w:p>
    <w:p>
      <w:pPr>
        <w:pStyle w:val="BodyText"/>
      </w:pPr>
      <w:r>
        <w:t xml:space="preserve">By fostering collaboration among program, policy, and IT teams, OBP prioritizes resources, secures leadership support, and strengthens the case for APD and certification approvals. Anchoring projects in outcome-driven goals ensures Medicaid modernization delivers meaningful and measurable improvements.</w:t>
      </w:r>
    </w:p>
    <w:bookmarkEnd w:id="187"/>
    <w:bookmarkStart w:id="188" w:name="X7eec69b9cccd4fe27fda89459c9936265b43dfa"/>
    <w:p>
      <w:pPr>
        <w:pStyle w:val="Heading3"/>
      </w:pPr>
      <w:r>
        <w:t xml:space="preserve">Strengthen organizational readiness and capability</w:t>
      </w:r>
    </w:p>
    <w:p>
      <w:pPr>
        <w:pStyle w:val="FirstParagraph"/>
      </w:pPr>
      <w:r>
        <w:t xml:space="preserve">OBP ensures system improvements are supported by the organizational changes needed for success, such as updates to business processes, staffing, training, and workflows. States must consider internal readiness, capacity, and change adoption to maximize the long-term impact of MES investments.</w:t>
      </w:r>
    </w:p>
    <w:p>
      <w:pPr>
        <w:pStyle w:val="BodyText"/>
      </w:pPr>
      <w:r>
        <w:t xml:space="preserve">This involves integrating change management and workforce development into planning, ensuring staff, operations, and agency culture evolve with new functionality. Rather than treating these efforts as peripheral to technology implementation, OBP helps states define and measure how staff, operations, and agency culture will evolve alongside new functionality. For instance, launching a centralized eligibility center might aim to reduce eligibility determination time by 25% within six months or improve policy consistency through standardized workflows. Tracking such outcomes ensures system investments lead to better performance. OBP also enhances accountability, supports smooth transitions, and prepares states to manage future updates effectively.</w:t>
      </w:r>
    </w:p>
    <w:bookmarkEnd w:id="188"/>
    <w:bookmarkStart w:id="189" w:name="Xacf3ad8de6289c61111540cc6a1ca957f8bcaaa"/>
    <w:p>
      <w:pPr>
        <w:pStyle w:val="Heading3"/>
      </w:pPr>
      <w:r>
        <w:t xml:space="preserve">Create a culture of measurement and accountability</w:t>
      </w:r>
    </w:p>
    <w:p>
      <w:pPr>
        <w:pStyle w:val="FirstParagraph"/>
      </w:pPr>
      <w:r>
        <w:t xml:space="preserve">OBP helps states build a culture of results-oriented management, where success is measured by tangible improvements in Medicaid performance and beneficiary outcomes, not just system deployment. It shifts the focus from isolated IT milestones to using technology as a tool for continuous program improvement.</w:t>
      </w:r>
    </w:p>
    <w:p>
      <w:pPr>
        <w:pStyle w:val="BodyText"/>
      </w:pPr>
      <w:r>
        <w:t xml:space="preserve">States embed measurement and accountability into MES investments by:</w:t>
      </w:r>
    </w:p>
    <w:p>
      <w:pPr>
        <w:pStyle w:val="Compact"/>
        <w:numPr>
          <w:ilvl w:val="0"/>
          <w:numId w:val="1107"/>
        </w:numPr>
      </w:pPr>
      <w:r>
        <w:t xml:space="preserve">Identifying core business problems (e.g., service delays, provider friction, beneficiary churn)</w:t>
      </w:r>
    </w:p>
    <w:p>
      <w:pPr>
        <w:pStyle w:val="Compact"/>
        <w:numPr>
          <w:ilvl w:val="0"/>
          <w:numId w:val="1107"/>
        </w:numPr>
      </w:pPr>
      <w:r>
        <w:t xml:space="preserve">Defining actionable outcomes that link system functionality to Medicaid goals</w:t>
      </w:r>
    </w:p>
    <w:p>
      <w:pPr>
        <w:pStyle w:val="Compact"/>
        <w:numPr>
          <w:ilvl w:val="0"/>
          <w:numId w:val="1107"/>
        </w:numPr>
      </w:pPr>
      <w:r>
        <w:t xml:space="preserve">Selecting metrics that reflect operational and beneficiary impacts (e.g., time savings, cost avoidance, service accessibility)</w:t>
      </w:r>
    </w:p>
    <w:p>
      <w:pPr>
        <w:pStyle w:val="Compact"/>
        <w:numPr>
          <w:ilvl w:val="0"/>
          <w:numId w:val="1107"/>
        </w:numPr>
      </w:pPr>
      <w:r>
        <w:t xml:space="preserve">Tracking performance to enable evidence-based management and system iteration</w:t>
      </w:r>
    </w:p>
    <w:p>
      <w:pPr>
        <w:pStyle w:val="FirstParagraph"/>
      </w:pPr>
      <w:r>
        <w:t xml:space="preserve">For example, modernizing a pharmacy benefits module might include tracking reductions in prescription errors, improved compliance with drug utilization protocols, or fewer adverse drug events. KPIs established early serve as tools for learning and course correction.</w:t>
      </w:r>
    </w:p>
    <w:p>
      <w:pPr>
        <w:pStyle w:val="BodyText"/>
      </w:pPr>
      <w:r>
        <w:t xml:space="preserve">This approach embeds accountability into system design and operations, enabling strategic discussions about effectiveness, beneficiary impact, and return on investment. It strengthens executive buy-in, fosters cross-functional collaboration, and positions states for agile, data-driven program delivery while meeting CMS expectations.</w:t>
      </w:r>
    </w:p>
    <w:bookmarkEnd w:id="189"/>
    <w:bookmarkStart w:id="190" w:name="X452074ff3850eb36f96658e607b18e13b711e54"/>
    <w:p>
      <w:pPr>
        <w:pStyle w:val="Heading3"/>
      </w:pPr>
      <w:r>
        <w:t xml:space="preserve">Enable consistency and reusability across state projects</w:t>
      </w:r>
    </w:p>
    <w:p>
      <w:pPr>
        <w:pStyle w:val="FirstParagraph"/>
      </w:pPr>
      <w:r>
        <w:t xml:space="preserve">OBP helps states define Medicaid system goals using structured templates, common outcomes, and reusable language, ensuring consistency, reducing duplication, and streamlining APDs and certifications. This fosters alignment among teams, supports onboarding, and institutionalizes lessons learned.</w:t>
      </w:r>
    </w:p>
    <w:p>
      <w:pPr>
        <w:pStyle w:val="BodyText"/>
      </w:pPr>
      <w:r>
        <w:t xml:space="preserve">OBP also helps states identify cost-effective alternatives to large procurements, such as reusing existing modules, refining workflows (e.g., digital form intake for credentialing delays), or adopting shared tools like APIs. For example, delays in provider credentialing might be resolved with workflow refinements like digital form intake or better data integration with licensing boards. Similarly, data-sharing challenges could be addressed by adopting an existing API framework instead of building a new data warehouse.</w:t>
      </w:r>
    </w:p>
    <w:p>
      <w:pPr>
        <w:pStyle w:val="BodyText"/>
      </w:pPr>
      <w:r>
        <w:t xml:space="preserve">Outcomes addressing common Medicaid challenges (e.g., improving access, increasing automation, reducing delays) can be reused across agencies and states, enhancing CMS communication and supporting collaboration. Embedding reusability maximizes past investments, reduces future costs, and ensures every investment drives measurable Medicaid improvements.</w:t>
      </w:r>
    </w:p>
    <w:bookmarkEnd w:id="190"/>
    <w:bookmarkEnd w:id="191"/>
    <w:bookmarkStart w:id="199" w:name="when-to-use-outcomes-based-planning"/>
    <w:p>
      <w:pPr>
        <w:pStyle w:val="Heading1"/>
      </w:pPr>
      <w:r>
        <w:t xml:space="preserve">When to Use Outcomes-based Planning</w:t>
      </w:r>
    </w:p>
    <w:p>
      <w:pPr>
        <w:pStyle w:val="FirstParagraph"/>
      </w:pPr>
      <w:r>
        <w:t xml:space="preserve">OBP is not a one-size-fits-all requirement—it is a targeted strategy that delivers its greatest value when aligned with meaningful moments of system, program, or policy change. The following common triggers may initiate OBP efforts within MES modernization or operations. Recognizing these triggers helps states proactively define measurable value from the outset of MITA strategic planning, conducting the SS-A, APD development, and certification efforts.</w:t>
      </w:r>
    </w:p>
    <w:bookmarkStart w:id="192" w:name="X69d8463d59b66210198125ed30c422311a5527a"/>
    <w:p>
      <w:pPr>
        <w:pStyle w:val="Heading3"/>
      </w:pPr>
      <w:r>
        <w:t xml:space="preserve">1. Initiation of a new system modernization or module implementation</w:t>
      </w:r>
    </w:p>
    <w:p>
      <w:pPr>
        <w:pStyle w:val="FirstParagraph"/>
      </w:pPr>
      <w:r>
        <w:t xml:space="preserve">Implementing a new MES module is a key moment to initiate OBP. Rather than viewing these implementations as technical upgrades, states can define success by using measurable Medicaid program improvements and business value.</w:t>
      </w:r>
    </w:p>
    <w:p>
      <w:pPr>
        <w:pStyle w:val="BodyText"/>
      </w:pPr>
      <w:r>
        <w:t xml:space="preserve">States should use OBP to clarify what success looks like (e.g.,</w:t>
      </w:r>
      <w:r>
        <w:t xml:space="preserve"> </w:t>
      </w:r>
      <w:r>
        <w:t xml:space="preserve">“a 25% reduction in beneficiary wait times to receive eligibility determinations”</w:t>
      </w:r>
      <w:r>
        <w:t xml:space="preserve">), and to ensure that project investments produce real program value. This early focus on outcomes helps guide procurement language, vendor selection, and project milestones consistent with expectations that go beyond technical delivery.</w:t>
      </w:r>
    </w:p>
    <w:bookmarkEnd w:id="192"/>
    <w:bookmarkStart w:id="193" w:name="Xb2c11a337a106808c38668df8838cbb48f22df6"/>
    <w:p>
      <w:pPr>
        <w:pStyle w:val="Heading3"/>
      </w:pPr>
      <w:r>
        <w:t xml:space="preserve">2. Transition from legacy systems or vendors</w:t>
      </w:r>
    </w:p>
    <w:p>
      <w:pPr>
        <w:pStyle w:val="FirstParagraph"/>
      </w:pPr>
      <w:r>
        <w:t xml:space="preserve">When states decide to shift from legacy technology or change vendors, they have a natural reset point for strategic thinking. States should use this transition to reassess what the system needs to achieve, beyond replicating old functionality in a new platform.</w:t>
      </w:r>
    </w:p>
    <w:p>
      <w:pPr>
        <w:pStyle w:val="BodyText"/>
      </w:pPr>
      <w:r>
        <w:t xml:space="preserve">OBP helps states define transformational goals (such as enabling self-service portals to reduce call center volume), which lays a foundation for new investments that deliver policy and operational impact.</w:t>
      </w:r>
    </w:p>
    <w:bookmarkEnd w:id="193"/>
    <w:bookmarkStart w:id="194" w:name="mita-state-self-assessment-results"/>
    <w:p>
      <w:pPr>
        <w:pStyle w:val="Heading3"/>
      </w:pPr>
      <w:r>
        <w:t xml:space="preserve">3. MITA State Self-Assessment Results</w:t>
      </w:r>
    </w:p>
    <w:p>
      <w:pPr>
        <w:pStyle w:val="FirstParagraph"/>
      </w:pPr>
      <w:r>
        <w:t xml:space="preserve">One of the most strategic triggers for OBP is the completion (or planned completion) of a MITA State Self-Assessment (SS-A). The SS-A offers a structured view into the current and target maturity of Medicaid business capabilities and highlights gaps and areas for improvement.</w:t>
      </w:r>
    </w:p>
    <w:p>
      <w:pPr>
        <w:pStyle w:val="BodyText"/>
      </w:pPr>
      <w:r>
        <w:t xml:space="preserve">States can use SS-A findings to prioritize outcome areas based on lower maturity. For example, if a state identifies low maturity in its technology and business processes for claims processing, this can trigger an OBP process that focuses on increasing electronic claims submission rates or reducing claims rework due because of data quality issues. The SS-A helps turn abstract maturity aspirations into concrete improvement goals with measurable impacts, thus linking system improvement needs with actionable, trackable outcomes that can feed directly into an APD or modular procurement strategy. For example, when reviewing the SS-A results, states have an opportunity to prioritize areas for improvement by reviewing maturity levels. Once areas are prioritized states can then choose to utilize OBP to reach a higher maturity level.</w:t>
      </w:r>
    </w:p>
    <w:bookmarkEnd w:id="194"/>
    <w:bookmarkStart w:id="195" w:name="Xd48d7a2190e73f637c7a381314cedd9fd395e12"/>
    <w:p>
      <w:pPr>
        <w:pStyle w:val="Heading3"/>
      </w:pPr>
      <w:r>
        <w:t xml:space="preserve">4. Modernization of cross-module business processes</w:t>
      </w:r>
    </w:p>
    <w:p>
      <w:pPr>
        <w:pStyle w:val="FirstParagraph"/>
      </w:pPr>
      <w:r>
        <w:t xml:space="preserve">States often identify operational issues that cut across multiple systems, such as provider management, claims adjudication, or program integrity. When these issues arise, OBP can help define cross-cutting outcome statements that transcend single modules.</w:t>
      </w:r>
    </w:p>
    <w:p>
      <w:pPr>
        <w:pStyle w:val="BodyText"/>
      </w:pPr>
      <w:r>
        <w:t xml:space="preserve">For instance, if a state is addressing inefficiencies in provider onboarding across its Provider Enrollment module, it can develop outcomes that focus on improving onboarding timelines, enhancing provider data quality, or increasing provider retention rates. This strategic alignment helps unify disparate IT projects under a common business goal and facilitates modular but coordinated improvements.</w:t>
      </w:r>
    </w:p>
    <w:bookmarkEnd w:id="195"/>
    <w:bookmarkStart w:id="196" w:name="X559a89c66ef5ca2ae9f11a920c959901134ea26"/>
    <w:p>
      <w:pPr>
        <w:pStyle w:val="Heading3"/>
      </w:pPr>
      <w:r>
        <w:t xml:space="preserve">5. Shifts in Medicaid policy or strategic direction</w:t>
      </w:r>
    </w:p>
    <w:p>
      <w:pPr>
        <w:pStyle w:val="FirstParagraph"/>
      </w:pPr>
      <w:r>
        <w:t xml:space="preserve">Changes in Medicaid policy (such as new regulatory or statutory requirements, public health emergencies, or shifts in policy) may create new system demands. When policy drives new use cases, OBP ensures that system updates support these priorities effectively.</w:t>
      </w:r>
    </w:p>
    <w:p>
      <w:pPr>
        <w:pStyle w:val="BodyText"/>
      </w:pPr>
      <w:r>
        <w:t xml:space="preserve">States can respond to Medicaid policy changes by defining outcomes that reflect their evolving program goals. For example, implementing a new care coordination policy might prompt development of outcomes focused on closing care gaps or improving beneficiary engagement through system-supported interventions.</w:t>
      </w:r>
    </w:p>
    <w:bookmarkEnd w:id="196"/>
    <w:bookmarkStart w:id="197" w:name="Xda6779fce4e48cfaa14a39f69cdb0921e32f98e"/>
    <w:p>
      <w:pPr>
        <w:pStyle w:val="Heading3"/>
      </w:pPr>
      <w:r>
        <w:t xml:space="preserve">6. Operational reviews or performance audits</w:t>
      </w:r>
    </w:p>
    <w:p>
      <w:pPr>
        <w:pStyle w:val="FirstParagraph"/>
      </w:pPr>
      <w:r>
        <w:t xml:space="preserve">Performance audits, legislative oversight, or internal quality reviews often highlight systemic issues that may not require full module replacement but do call for focused improvement. These reviews may trigger an OBP that defines smaller-scale or business process-focused changes with measurable goals.</w:t>
      </w:r>
    </w:p>
    <w:p>
      <w:pPr>
        <w:pStyle w:val="BodyText"/>
      </w:pPr>
      <w:r>
        <w:t xml:space="preserve">For instance, if a review notes inefficiencies in processing pharmacy prior authorizations, a state might implement new workflows or automated tools supported by outcomes like faster turnaround times or reduced denial rates for incomplete documentation.</w:t>
      </w:r>
    </w:p>
    <w:bookmarkEnd w:id="197"/>
    <w:bookmarkStart w:id="198" w:name="Xc841ab06fb3aa3d0c2fb9448cec77bdb6084f64"/>
    <w:p>
      <w:pPr>
        <w:pStyle w:val="Heading3"/>
      </w:pPr>
      <w:r>
        <w:t xml:space="preserve">7. Response to ad hoc incidents and corrective actions</w:t>
      </w:r>
    </w:p>
    <w:p>
      <w:pPr>
        <w:pStyle w:val="FirstParagraph"/>
      </w:pPr>
      <w:r>
        <w:t xml:space="preserve">Unexpected events, such as data breaches, legal settlements, or formal corrective actions from CMS or other oversight bodies, often demand swift response. Yet these moments can also catalyze strategic reflection and planning for long-term improvement. OBP offers a way for states to shift from reactive fixes to proactive solutions by identifying root causes, defining specific outcome goals (e.g.,</w:t>
      </w:r>
      <w:r>
        <w:t xml:space="preserve"> </w:t>
      </w:r>
      <w:r>
        <w:t xml:space="preserve">“Reduce unauthorized access to beneficiary data by 95 percent within six months”</w:t>
      </w:r>
      <w:r>
        <w:t xml:space="preserve">), and tracking progress through metrics tied to strengthened policies, technical safeguards, and staff training.</w:t>
      </w:r>
    </w:p>
    <w:p>
      <w:pPr>
        <w:pStyle w:val="BodyText"/>
      </w:pPr>
      <w:r>
        <w:t xml:space="preserve">For example, after a provider credential data breach, a state may implement multifactor authentication and measure outcomes such as reductions in credential misuse or improved audit trail completeness. In the case of a legal review identifying inconsistent eligibility determinations, the state might launch corrective training or refine business rules, anchored by outcomes like increased accuracy rates or a decline in appeals. By applying OBP, states demonstrate to CMS and legislative stakeholders both their commitment to compliance as well as their investment in long-term program integrity, transparency, and continuous improvement.</w:t>
      </w:r>
    </w:p>
    <w:bookmarkEnd w:id="198"/>
    <w:bookmarkEnd w:id="199"/>
    <w:bookmarkStart w:id="201" w:name="download-outcome-based-planning-tool"/>
    <w:p>
      <w:pPr>
        <w:pStyle w:val="Heading1"/>
      </w:pPr>
      <w:r>
        <w:t xml:space="preserve">Download Outcome-based Planning Tool</w:t>
      </w:r>
    </w:p>
    <w:p>
      <w:pPr>
        <w:pStyle w:val="FirstParagraph"/>
      </w:pPr>
      <w:r>
        <w:t xml:space="preserve">Visit the</w:t>
      </w:r>
      <w:r>
        <w:t xml:space="preserve"> </w:t>
      </w:r>
      <w:hyperlink r:id="rId200">
        <w:r>
          <w:rPr>
            <w:rStyle w:val="Hyperlink"/>
          </w:rPr>
          <w:t xml:space="preserve">Outcomes-based Planning Tool</w:t>
        </w:r>
      </w:hyperlink>
      <w:r>
        <w:t xml:space="preserve"> </w:t>
      </w:r>
      <w:r>
        <w:t xml:space="preserve">page to access this helpful resource!</w:t>
      </w:r>
    </w:p>
    <w:bookmarkEnd w:id="201"/>
    <w:bookmarkStart w:id="203" w:name="Xe72def03d04ec14cb9c2c3241a6e72114599abb"/>
    <w:p>
      <w:pPr>
        <w:pStyle w:val="Heading1"/>
      </w:pPr>
      <w:r>
        <w:t xml:space="preserve">Business Architecture Development and Management Guidelines</w:t>
      </w:r>
    </w:p>
    <w:p>
      <w:pPr>
        <w:pStyle w:val="FirstParagraph"/>
      </w:pPr>
      <w:r>
        <w:t xml:space="preserve">This page provides guidelines for developing and managing business architecture within the MITA framework.</w:t>
      </w:r>
    </w:p>
    <w:bookmarkStart w:id="202" w:name="overview-1"/>
    <w:p>
      <w:pPr>
        <w:pStyle w:val="Heading2"/>
      </w:pPr>
      <w:r>
        <w:t xml:space="preserve">Overview</w:t>
      </w:r>
    </w:p>
    <w:p>
      <w:pPr>
        <w:pStyle w:val="FirstParagraph"/>
      </w:pPr>
      <w:r>
        <w:t xml:space="preserve">Content coming soon.</w:t>
      </w:r>
    </w:p>
    <w:bookmarkEnd w:id="202"/>
    <w:bookmarkEnd w:id="203"/>
    <w:bookmarkStart w:id="205" w:name="business-capability-reference-model"/>
    <w:p>
      <w:pPr>
        <w:pStyle w:val="Heading1"/>
      </w:pPr>
      <w:r>
        <w:t xml:space="preserve">Business Capability Reference Model</w:t>
      </w:r>
    </w:p>
    <w:p>
      <w:pPr>
        <w:pStyle w:val="FirstParagraph"/>
      </w:pPr>
      <w:r>
        <w:t xml:space="preserve">This page describes the Business Capability Reference Model within the MITA framework.</w:t>
      </w:r>
    </w:p>
    <w:bookmarkStart w:id="204" w:name="overview-2"/>
    <w:p>
      <w:pPr>
        <w:pStyle w:val="Heading2"/>
      </w:pPr>
      <w:r>
        <w:t xml:space="preserve">Overview</w:t>
      </w:r>
    </w:p>
    <w:p>
      <w:pPr>
        <w:pStyle w:val="FirstParagraph"/>
      </w:pPr>
      <w:r>
        <w:t xml:space="preserve">Content coming soon.</w:t>
      </w:r>
    </w:p>
    <w:bookmarkEnd w:id="204"/>
    <w:bookmarkEnd w:id="205"/>
    <w:bookmarkStart w:id="207" w:name="business-process-model"/>
    <w:p>
      <w:pPr>
        <w:pStyle w:val="Heading1"/>
      </w:pPr>
      <w:r>
        <w:t xml:space="preserve">Business Process Model</w:t>
      </w:r>
    </w:p>
    <w:p>
      <w:pPr>
        <w:pStyle w:val="FirstParagraph"/>
      </w:pPr>
      <w:r>
        <w:t xml:space="preserve">This page describes the Business Process Model within the MITA framework.</w:t>
      </w:r>
    </w:p>
    <w:bookmarkStart w:id="206" w:name="overview-3"/>
    <w:p>
      <w:pPr>
        <w:pStyle w:val="Heading2"/>
      </w:pPr>
      <w:r>
        <w:t xml:space="preserve">Overview</w:t>
      </w:r>
    </w:p>
    <w:p>
      <w:pPr>
        <w:pStyle w:val="FirstParagraph"/>
      </w:pPr>
      <w:r>
        <w:t xml:space="preserve">Content coming soon.</w:t>
      </w:r>
    </w:p>
    <w:bookmarkEnd w:id="206"/>
    <w:bookmarkEnd w:id="207"/>
    <w:bookmarkStart w:id="209" w:name="X51fa5ba5151a8beade6d12b792570243babdfc1"/>
    <w:p>
      <w:pPr>
        <w:pStyle w:val="Heading1"/>
      </w:pPr>
      <w:r>
        <w:t xml:space="preserve">Information Architecture Maturity Criteria</w:t>
      </w:r>
    </w:p>
    <w:p>
      <w:pPr>
        <w:pStyle w:val="FirstParagraph"/>
      </w:pPr>
      <w:r>
        <w:t xml:space="preserve">This page describes the maturity criteria for Information Architecture within the MITA framework.</w:t>
      </w:r>
    </w:p>
    <w:bookmarkStart w:id="208" w:name="overview-4"/>
    <w:p>
      <w:pPr>
        <w:pStyle w:val="Heading2"/>
      </w:pPr>
      <w:r>
        <w:t xml:space="preserve">Overview</w:t>
      </w:r>
    </w:p>
    <w:p>
      <w:pPr>
        <w:pStyle w:val="FirstParagraph"/>
      </w:pPr>
      <w:r>
        <w:t xml:space="preserve">Content coming soon.</w:t>
      </w:r>
    </w:p>
    <w:bookmarkEnd w:id="208"/>
    <w:bookmarkEnd w:id="209"/>
    <w:bookmarkStart w:id="211" w:name="Xfe1acfe1f907985dfeddffd439ccd725c681114"/>
    <w:p>
      <w:pPr>
        <w:pStyle w:val="Heading1"/>
      </w:pPr>
      <w:r>
        <w:t xml:space="preserve">Information Architecture Development and Management Guidelines</w:t>
      </w:r>
    </w:p>
    <w:p>
      <w:pPr>
        <w:pStyle w:val="FirstParagraph"/>
      </w:pPr>
      <w:r>
        <w:t xml:space="preserve">This page provides guidelines for developing and managing information architecture within the MITA framework.</w:t>
      </w:r>
    </w:p>
    <w:bookmarkStart w:id="210" w:name="overview-5"/>
    <w:p>
      <w:pPr>
        <w:pStyle w:val="Heading2"/>
      </w:pPr>
      <w:r>
        <w:t xml:space="preserve">Overview</w:t>
      </w:r>
    </w:p>
    <w:p>
      <w:pPr>
        <w:pStyle w:val="FirstParagraph"/>
      </w:pPr>
      <w:r>
        <w:t xml:space="preserve">Content coming soon.</w:t>
      </w:r>
    </w:p>
    <w:bookmarkEnd w:id="210"/>
    <w:bookmarkEnd w:id="211"/>
    <w:bookmarkStart w:id="213" w:name="X8c64a6953e371f02e4dc18b61d7d35f178461b5"/>
    <w:p>
      <w:pPr>
        <w:pStyle w:val="Heading1"/>
      </w:pPr>
      <w:r>
        <w:t xml:space="preserve">Data Management Capability Reference Model</w:t>
      </w:r>
    </w:p>
    <w:p>
      <w:pPr>
        <w:pStyle w:val="FirstParagraph"/>
      </w:pPr>
      <w:r>
        <w:t xml:space="preserve">This page describes the Data Management Capability Reference Model within the MITA framework.</w:t>
      </w:r>
    </w:p>
    <w:bookmarkStart w:id="212" w:name="overview-6"/>
    <w:p>
      <w:pPr>
        <w:pStyle w:val="Heading2"/>
      </w:pPr>
      <w:r>
        <w:t xml:space="preserve">Overview</w:t>
      </w:r>
    </w:p>
    <w:p>
      <w:pPr>
        <w:pStyle w:val="FirstParagraph"/>
      </w:pPr>
      <w:r>
        <w:t xml:space="preserve">Content coming soon.</w:t>
      </w:r>
    </w:p>
    <w:bookmarkEnd w:id="212"/>
    <w:bookmarkEnd w:id="213"/>
    <w:bookmarkStart w:id="215" w:name="data-reference-model"/>
    <w:p>
      <w:pPr>
        <w:pStyle w:val="Heading1"/>
      </w:pPr>
      <w:r>
        <w:t xml:space="preserve">Data Reference Model</w:t>
      </w:r>
    </w:p>
    <w:p>
      <w:pPr>
        <w:pStyle w:val="FirstParagraph"/>
      </w:pPr>
      <w:r>
        <w:t xml:space="preserve">This page describes the Data Reference Model within the MITA framework.</w:t>
      </w:r>
    </w:p>
    <w:bookmarkStart w:id="214" w:name="overview-7"/>
    <w:p>
      <w:pPr>
        <w:pStyle w:val="Heading2"/>
      </w:pPr>
      <w:r>
        <w:t xml:space="preserve">Overview</w:t>
      </w:r>
    </w:p>
    <w:p>
      <w:pPr>
        <w:pStyle w:val="FirstParagraph"/>
      </w:pPr>
      <w:r>
        <w:t xml:space="preserve">Content coming soon.</w:t>
      </w:r>
    </w:p>
    <w:bookmarkEnd w:id="214"/>
    <w:bookmarkEnd w:id="215"/>
    <w:bookmarkStart w:id="217" w:name="X8ab70b17cf8655df287d2141d760cebf9dc5c6c"/>
    <w:p>
      <w:pPr>
        <w:pStyle w:val="Heading1"/>
      </w:pPr>
      <w:r>
        <w:t xml:space="preserve">Information Architecture Maturity Criteria</w:t>
      </w:r>
    </w:p>
    <w:p>
      <w:pPr>
        <w:pStyle w:val="FirstParagraph"/>
      </w:pPr>
      <w:r>
        <w:t xml:space="preserve">This page describes the maturity criteria for Information Architecture within the MITA framework.</w:t>
      </w:r>
    </w:p>
    <w:bookmarkStart w:id="216" w:name="overview-8"/>
    <w:p>
      <w:pPr>
        <w:pStyle w:val="Heading2"/>
      </w:pPr>
      <w:r>
        <w:t xml:space="preserve">Overview</w:t>
      </w:r>
    </w:p>
    <w:p>
      <w:pPr>
        <w:pStyle w:val="FirstParagraph"/>
      </w:pPr>
      <w:r>
        <w:t xml:space="preserve">Content coming soon.</w:t>
      </w:r>
    </w:p>
    <w:bookmarkEnd w:id="216"/>
    <w:bookmarkEnd w:id="217"/>
    <w:bookmarkStart w:id="219" w:name="information-architecture-viewpoints"/>
    <w:p>
      <w:pPr>
        <w:pStyle w:val="Heading1"/>
      </w:pPr>
      <w:r>
        <w:t xml:space="preserve">Information Architecture Viewpoints</w:t>
      </w:r>
    </w:p>
    <w:p>
      <w:pPr>
        <w:pStyle w:val="FirstParagraph"/>
      </w:pPr>
      <w:r>
        <w:t xml:space="preserve">This page describes the viewpoints for Information Architecture within the MITA framework.</w:t>
      </w:r>
    </w:p>
    <w:bookmarkStart w:id="218" w:name="overview-9"/>
    <w:p>
      <w:pPr>
        <w:pStyle w:val="Heading2"/>
      </w:pPr>
      <w:r>
        <w:t xml:space="preserve">Overview</w:t>
      </w:r>
    </w:p>
    <w:p>
      <w:pPr>
        <w:pStyle w:val="FirstParagraph"/>
      </w:pPr>
      <w:r>
        <w:t xml:space="preserve">Content coming soon.</w:t>
      </w:r>
    </w:p>
    <w:bookmarkEnd w:id="218"/>
    <w:bookmarkEnd w:id="219"/>
    <w:bookmarkStart w:id="221" w:name="Xd4a6a8ff92b18ddf9a2d3689866a2abe3f3f8e0"/>
    <w:p>
      <w:pPr>
        <w:pStyle w:val="Heading1"/>
      </w:pPr>
      <w:r>
        <w:t xml:space="preserve">Technical Architecture Development and Management Guidelines</w:t>
      </w:r>
    </w:p>
    <w:p>
      <w:pPr>
        <w:pStyle w:val="FirstParagraph"/>
      </w:pPr>
      <w:r>
        <w:t xml:space="preserve">This page provides guidelines for developing and managing technical architecture within the MITA framework.</w:t>
      </w:r>
    </w:p>
    <w:bookmarkStart w:id="220" w:name="overview-10"/>
    <w:p>
      <w:pPr>
        <w:pStyle w:val="Heading2"/>
      </w:pPr>
      <w:r>
        <w:t xml:space="preserve">Overview</w:t>
      </w:r>
    </w:p>
    <w:p>
      <w:pPr>
        <w:pStyle w:val="FirstParagraph"/>
      </w:pPr>
      <w:r>
        <w:t xml:space="preserve">Content coming soon.</w:t>
      </w:r>
    </w:p>
    <w:bookmarkEnd w:id="220"/>
    <w:bookmarkEnd w:id="221"/>
    <w:bookmarkStart w:id="223" w:name="technical-capabilities-reference-model"/>
    <w:p>
      <w:pPr>
        <w:pStyle w:val="Heading1"/>
      </w:pPr>
      <w:r>
        <w:t xml:space="preserve">Technical Capabilities Reference Model</w:t>
      </w:r>
    </w:p>
    <w:p>
      <w:pPr>
        <w:pStyle w:val="FirstParagraph"/>
      </w:pPr>
      <w:r>
        <w:t xml:space="preserve">This page describes the Technical Capabilities Reference Model within the MITA framework.</w:t>
      </w:r>
    </w:p>
    <w:bookmarkStart w:id="222" w:name="overview-11"/>
    <w:p>
      <w:pPr>
        <w:pStyle w:val="Heading2"/>
      </w:pPr>
      <w:r>
        <w:t xml:space="preserve">Overview</w:t>
      </w:r>
    </w:p>
    <w:p>
      <w:pPr>
        <w:pStyle w:val="FirstParagraph"/>
      </w:pPr>
      <w:r>
        <w:t xml:space="preserve">Content coming soon.</w:t>
      </w:r>
    </w:p>
    <w:bookmarkEnd w:id="222"/>
    <w:bookmarkEnd w:id="223"/>
    <w:bookmarkStart w:id="225" w:name="technical-service-reference-model"/>
    <w:p>
      <w:pPr>
        <w:pStyle w:val="Heading1"/>
      </w:pPr>
      <w:r>
        <w:t xml:space="preserve">Technical Service Reference Model</w:t>
      </w:r>
    </w:p>
    <w:p>
      <w:pPr>
        <w:pStyle w:val="FirstParagraph"/>
      </w:pPr>
      <w:r>
        <w:t xml:space="preserve">This page describes the Technical Service Reference Model within the MITA framework.</w:t>
      </w:r>
    </w:p>
    <w:bookmarkStart w:id="224" w:name="overview-12"/>
    <w:p>
      <w:pPr>
        <w:pStyle w:val="Heading2"/>
      </w:pPr>
      <w:r>
        <w:t xml:space="preserve">Overview</w:t>
      </w:r>
    </w:p>
    <w:p>
      <w:pPr>
        <w:pStyle w:val="FirstParagraph"/>
      </w:pPr>
      <w:r>
        <w:t xml:space="preserve">Content coming soon.</w:t>
      </w:r>
    </w:p>
    <w:bookmarkEnd w:id="224"/>
    <w:bookmarkEnd w:id="225"/>
    <w:bookmarkStart w:id="227" w:name="technical-architecture-maturity-criteria"/>
    <w:p>
      <w:pPr>
        <w:pStyle w:val="Heading1"/>
      </w:pPr>
      <w:r>
        <w:t xml:space="preserve">Technical Architecture Maturity Criteria</w:t>
      </w:r>
    </w:p>
    <w:p>
      <w:pPr>
        <w:pStyle w:val="FirstParagraph"/>
      </w:pPr>
      <w:r>
        <w:t xml:space="preserve">This page describes the maturity criteria for Technical Architecture within the MITA framework.</w:t>
      </w:r>
    </w:p>
    <w:bookmarkStart w:id="226" w:name="overview-13"/>
    <w:p>
      <w:pPr>
        <w:pStyle w:val="Heading2"/>
      </w:pPr>
      <w:r>
        <w:t xml:space="preserve">Overview</w:t>
      </w:r>
    </w:p>
    <w:p>
      <w:pPr>
        <w:pStyle w:val="FirstParagraph"/>
      </w:pPr>
      <w:r>
        <w:t xml:space="preserve">Content coming soon.</w:t>
      </w:r>
    </w:p>
    <w:bookmarkEnd w:id="226"/>
    <w:bookmarkEnd w:id="227"/>
    <w:bookmarkStart w:id="229" w:name="technical-architecture-viewpoints"/>
    <w:p>
      <w:pPr>
        <w:pStyle w:val="Heading1"/>
      </w:pPr>
      <w:r>
        <w:t xml:space="preserve">Technical Architecture Viewpoints</w:t>
      </w:r>
    </w:p>
    <w:p>
      <w:pPr>
        <w:pStyle w:val="FirstParagraph"/>
      </w:pPr>
      <w:r>
        <w:t xml:space="preserve">This page describes the viewpoints for Technical Architecture within the MITA framework.</w:t>
      </w:r>
    </w:p>
    <w:bookmarkStart w:id="228" w:name="overview-14"/>
    <w:p>
      <w:pPr>
        <w:pStyle w:val="Heading2"/>
      </w:pPr>
      <w:r>
        <w:t xml:space="preserve">Overview</w:t>
      </w:r>
    </w:p>
    <w:p>
      <w:pPr>
        <w:pStyle w:val="FirstParagraph"/>
      </w:pPr>
      <w:r>
        <w:t xml:space="preserve">Content coming soon.</w:t>
      </w:r>
    </w:p>
    <w:bookmarkEnd w:id="228"/>
    <w:bookmarkEnd w:id="229"/>
    <w:bookmarkStart w:id="230" w:name="obp-tool"/>
    <w:p>
      <w:pPr>
        <w:pStyle w:val="Heading1"/>
      </w:pPr>
      <w:r>
        <w:t xml:space="preserve">OBP Tool</w:t>
      </w:r>
    </w:p>
    <w:p>
      <w:pPr>
        <w:pStyle w:val="FirstParagraph"/>
      </w:pPr>
      <w:r>
        <w:t xml:space="preserve"> </w:t>
      </w:r>
      <w:r>
        <w:t xml:space="preserve">Link to full image</w:t>
      </w:r>
    </w:p>
    <w:p>
      <w:pPr>
        <w:pStyle w:val="BodyText"/>
      </w:pPr>
    </w:p>
    <w:p>
      <w:pPr>
        <w:pStyle w:val="BodyText"/>
      </w:pPr>
      <w:r>
        <w:t xml:space="preserve">Outcomes Based Planning Process</w:t>
      </w:r>
      <w:r>
        <w:t xml:space="preserve"> </w:t>
      </w:r>
      <w:r>
        <w:t xml:space="preserve">(State Medicaid Agency)</w:t>
      </w:r>
    </w:p>
    <w:p>
      <w:pPr>
        <w:pStyle w:val="BodyText"/>
      </w:pPr>
      <w:r>
        <w:t xml:space="preserve">Identify goals</w:t>
      </w:r>
    </w:p>
    <w:p>
      <w:pPr>
        <w:pStyle w:val="BodyText"/>
      </w:pPr>
      <w:r>
        <w:t xml:space="preserve">Identify concerns, barriers, and specific pain points</w:t>
      </w:r>
    </w:p>
    <w:p>
      <w:pPr>
        <w:pStyle w:val="BodyText"/>
      </w:pPr>
      <w:r>
        <w:t xml:space="preserve">Develop challenge statement</w:t>
      </w:r>
    </w:p>
    <w:p>
      <w:pPr>
        <w:pStyle w:val="BodyText"/>
      </w:pPr>
      <w:r>
        <w:t xml:space="preserve">Develop outcomes</w:t>
      </w:r>
      <w:r>
        <w:t xml:space="preserve"> </w:t>
      </w:r>
      <w:r>
        <w:t xml:space="preserve">to address the challenge statement</w:t>
      </w:r>
    </w:p>
    <w:p>
      <w:pPr>
        <w:pStyle w:val="BodyText"/>
      </w:pPr>
      <w:r>
        <w:t xml:space="preserve">Determine metro metrics</w:t>
      </w:r>
      <w:r>
        <w:t xml:space="preserve"> </w:t>
      </w:r>
      <w:r>
        <w:t xml:space="preserve">to measure outcome success</w:t>
      </w:r>
    </w:p>
    <w:p>
      <w:pPr>
        <w:pStyle w:val="BodyText"/>
      </w:pPr>
      <w:r>
        <w:t xml:space="preserve">Determine success criteria</w:t>
      </w:r>
      <w:r>
        <w:t xml:space="preserve"> </w:t>
      </w:r>
      <w:r>
        <w:t xml:space="preserve">for goal completion</w:t>
      </w:r>
    </w:p>
    <w:p>
      <w:pPr>
        <w:pStyle w:val="BodyText"/>
      </w:pPr>
      <w:r>
        <w:t xml:space="preserve">Map outcomes</w:t>
      </w:r>
      <w:r>
        <w:t xml:space="preserve"> </w:t>
      </w:r>
      <w:r>
        <w:t xml:space="preserve">to MITA capability areas</w:t>
      </w:r>
    </w:p>
    <w:p>
      <w:pPr>
        <w:pStyle w:val="BodyText"/>
      </w:pPr>
      <w:r>
        <w:t xml:space="preserve">Revisit maturity assessment of capabilities</w:t>
      </w:r>
      <w:r>
        <w:t xml:space="preserve"> </w:t>
      </w:r>
      <w:r>
        <w:t xml:space="preserve">(if needed)</w:t>
      </w:r>
      <w:r>
        <w:t xml:space="preserve"> </w:t>
      </w:r>
      <w:r>
        <w:t xml:space="preserve">Step not required in all instances</w:t>
      </w:r>
    </w:p>
    <w:p>
      <w:pPr>
        <w:pStyle w:val="BodyText"/>
      </w:pPr>
      <w:r>
        <w:t xml:space="preserve">Define projects</w:t>
      </w:r>
      <w:r>
        <w:t xml:space="preserve"> </w:t>
      </w:r>
      <w:r>
        <w:t xml:space="preserve">that will achieve outcomes</w:t>
      </w:r>
    </w:p>
    <w:p>
      <w:pPr>
        <w:pStyle w:val="BodyText"/>
      </w:pPr>
      <w:r>
        <w:t xml:space="preserve">Periodically track progress</w:t>
      </w:r>
      <w:r>
        <w:t xml:space="preserve"> </w:t>
      </w:r>
      <w:r>
        <w:t xml:space="preserve">towards success</w:t>
      </w:r>
    </w:p>
    <w:p>
      <w:pPr>
        <w:pStyle w:val="BodyText"/>
      </w:pPr>
      <w:r>
        <w:t xml:space="preserve">Decision points</w:t>
      </w:r>
    </w:p>
    <w:p>
      <w:pPr>
        <w:pStyle w:val="BodyText"/>
      </w:pPr>
      <w:r>
        <w:t xml:space="preserve">Was success achieved?</w:t>
      </w:r>
    </w:p>
    <w:p>
      <w:pPr>
        <w:pStyle w:val="BodyText"/>
      </w:pPr>
      <w:r>
        <w:t xml:space="preserve">No:</w:t>
      </w:r>
      <w:r>
        <w:t xml:space="preserve"> </w:t>
      </w:r>
      <w:r>
        <w:t xml:space="preserve">Continue tracking progress</w:t>
      </w:r>
    </w:p>
    <w:p>
      <w:pPr>
        <w:pStyle w:val="BodyText"/>
      </w:pPr>
      <w:r>
        <w:t xml:space="preserve">Yes:</w:t>
      </w:r>
      <w:r>
        <w:t xml:space="preserve"> </w:t>
      </w:r>
      <w:r>
        <w:t xml:space="preserve">Restart the process for continued growth</w:t>
      </w:r>
    </w:p>
    <w:p>
      <w:pPr>
        <w:pStyle w:val="BodyText"/>
      </w:pPr>
      <w:r>
        <w:t xml:space="preserve">Have goals changed?</w:t>
      </w:r>
    </w:p>
    <w:p>
      <w:pPr>
        <w:pStyle w:val="BodyText"/>
      </w:pPr>
      <w:r>
        <w:t xml:space="preserve">Yes:</w:t>
      </w:r>
      <w:r>
        <w:t xml:space="preserve"> </w:t>
      </w:r>
      <w:r>
        <w:t xml:space="preserve">Restart the process with new priorities</w:t>
      </w:r>
    </w:p>
    <w:p>
      <w:pPr>
        <w:pStyle w:val="BodyText"/>
      </w:pPr>
      <w:r>
        <w:t xml:space="preserve">No:</w:t>
      </w:r>
      <w:r>
        <w:t xml:space="preserve"> </w:t>
      </w:r>
      <w:r>
        <w:t xml:space="preserve">Continue tracking progress</w:t>
      </w:r>
    </w:p>
    <w:bookmarkEnd w:id="230"/>
    <w:bookmarkStart w:id="231" w:name="ss-a-tool"/>
    <w:p>
      <w:pPr>
        <w:pStyle w:val="Heading1"/>
      </w:pPr>
      <w:r>
        <w:t xml:space="preserve">SS-A Tool</w:t>
      </w:r>
    </w:p>
    <w:bookmarkEnd w:id="231"/>
    <w:bookmarkStart w:id="238" w:name="state-self-assessment-tool"/>
    <w:p>
      <w:pPr>
        <w:pStyle w:val="Heading1"/>
      </w:pPr>
      <w:r>
        <w:t xml:space="preserve">State Self-Assessment Tool</w:t>
      </w:r>
    </w:p>
    <w:p>
      <w:pPr>
        <w:pStyle w:val="FirstParagraph"/>
      </w:pPr>
      <w:r>
        <w:t xml:space="preserve">A free, open-source tool for State Medicaid Agencies to evaluate capabilities across 75 areas and 5 ORBIT dimensions. Your data stays private—stored only in your browser.</w:t>
      </w:r>
    </w:p>
    <w:bookmarkStart w:id="235" w:name="how-it-works"/>
    <w:p>
      <w:pPr>
        <w:pStyle w:val="Heading2"/>
      </w:pPr>
      <w:r>
        <w:t xml:space="preserve">How It Works</w:t>
      </w:r>
    </w:p>
    <w:bookmarkStart w:id="232" w:name="select-a-capability"/>
    <w:p>
      <w:pPr>
        <w:pStyle w:val="Heading3"/>
      </w:pPr>
      <w:r>
        <w:t xml:space="preserve">1. Select a Capability</w:t>
      </w:r>
    </w:p>
    <w:p>
      <w:pPr>
        <w:pStyle w:val="FirstParagraph"/>
      </w:pPr>
      <w:r>
        <w:t xml:space="preserve">Browse the Dashboard to see all 75 capability areas organized by domain. Click any area to start its assessment.</w:t>
      </w:r>
    </w:p>
    <w:bookmarkEnd w:id="232"/>
    <w:bookmarkStart w:id="233" w:name="rate-each-dimension"/>
    <w:p>
      <w:pPr>
        <w:pStyle w:val="Heading3"/>
      </w:pPr>
      <w:r>
        <w:t xml:space="preserve">2. Rate Each Dimension</w:t>
      </w:r>
    </w:p>
    <w:p>
      <w:pPr>
        <w:pStyle w:val="FirstParagraph"/>
      </w:pPr>
      <w:r>
        <w:t xml:space="preserve">Evaluate your maturity across the five ORBIT dimensions using the guided questions. Add notes and attach evidence as you go.</w:t>
      </w:r>
    </w:p>
    <w:bookmarkEnd w:id="233"/>
    <w:bookmarkStart w:id="234" w:name="export-your-results"/>
    <w:p>
      <w:pPr>
        <w:pStyle w:val="Heading3"/>
      </w:pPr>
      <w:r>
        <w:t xml:space="preserve">3. Export Your Results</w:t>
      </w:r>
    </w:p>
    <w:p>
      <w:pPr>
        <w:pStyle w:val="FirstParagraph"/>
      </w:pPr>
      <w:r>
        <w:t xml:space="preserve">Finalize assessments and export reports. Use tags to organize your work and create backups to protect your data.</w:t>
      </w:r>
    </w:p>
    <w:bookmarkEnd w:id="234"/>
    <w:bookmarkEnd w:id="235"/>
    <w:bookmarkStart w:id="237" w:name="link-to-tool"/>
    <w:p>
      <w:pPr>
        <w:pStyle w:val="Heading2"/>
      </w:pPr>
      <w:r>
        <w:t xml:space="preserve">Link to Tool</w:t>
      </w:r>
    </w:p>
    <w:p>
      <w:pPr>
        <w:pStyle w:val="FirstParagraph"/>
      </w:pPr>
      <w:hyperlink r:id="rId236">
        <w:r>
          <w:rPr>
            <w:rStyle w:val="Hyperlink"/>
          </w:rPr>
          <w:t xml:space="preserve">Launch the State Self-Assessment Tool</w:t>
        </w:r>
      </w:hyperlink>
    </w:p>
    <w:bookmarkEnd w:id="237"/>
    <w:bookmarkEnd w:id="238"/>
    <w:bookmarkStart w:id="239" w:name="conops-template"/>
    <w:p>
      <w:pPr>
        <w:pStyle w:val="Heading1"/>
      </w:pPr>
      <w:r>
        <w:t xml:space="preserve">CONOPS Template</w:t>
      </w:r>
    </w:p>
    <w:p>
      <w:pPr>
        <w:pStyle w:val="FirstParagraph"/>
      </w:pPr>
      <w:r>
        <w:t xml:space="preserve">Content coming soon…</w:t>
      </w:r>
    </w:p>
    <w:bookmarkEnd w:id="239"/>
    <w:bookmarkStart w:id="240" w:name="roadmap-template"/>
    <w:p>
      <w:pPr>
        <w:pStyle w:val="Heading1"/>
      </w:pPr>
      <w:r>
        <w:t xml:space="preserve">Roadmap Template</w:t>
      </w:r>
    </w:p>
    <w:p>
      <w:pPr>
        <w:pStyle w:val="FirstParagraph"/>
      </w:pPr>
      <w:r>
        <w:t xml:space="preserve">Content coming soon…</w:t>
      </w:r>
    </w:p>
    <w:bookmarkEnd w:id="240"/>
    <w:bookmarkStart w:id="241" w:name="mita-scorecard"/>
    <w:p>
      <w:pPr>
        <w:pStyle w:val="Heading1"/>
      </w:pPr>
      <w:r>
        <w:t xml:space="preserve">MITA Scorecard</w:t>
      </w:r>
    </w:p>
    <w:p>
      <w:pPr>
        <w:pStyle w:val="FirstParagraph"/>
      </w:pPr>
      <w:r>
        <w:t xml:space="preserve">Content coming soon…</w:t>
      </w:r>
    </w:p>
    <w:bookmarkEnd w:id="241"/>
    <w:bookmarkStart w:id="242" w:name="ss-a-output-format"/>
    <w:p>
      <w:pPr>
        <w:pStyle w:val="Heading1"/>
      </w:pPr>
      <w:r>
        <w:t xml:space="preserve">SS-A Output Format</w:t>
      </w:r>
    </w:p>
    <w:p>
      <w:pPr>
        <w:pStyle w:val="FirstParagraph"/>
      </w:pPr>
      <w:r>
        <w:t xml:space="preserve">Content coming soon…</w:t>
      </w:r>
    </w:p>
    <w:bookmarkEnd w:id="242"/>
    <w:bookmarkStart w:id="243" w:name="quick-reference-guides"/>
    <w:p>
      <w:pPr>
        <w:pStyle w:val="Heading1"/>
      </w:pPr>
      <w:r>
        <w:t xml:space="preserve">Quick Reference Guides</w:t>
      </w:r>
    </w:p>
    <w:p>
      <w:pPr>
        <w:pStyle w:val="FirstParagraph"/>
      </w:pPr>
      <w:r>
        <w:t xml:space="preserve">Content coming soon…</w:t>
      </w:r>
    </w:p>
    <w:bookmarkEnd w:id="243"/>
    <w:bookmarkStart w:id="248" w:name="references-4"/>
    <w:p>
      <w:pPr>
        <w:pStyle w:val="Heading1"/>
      </w:pPr>
      <w:r>
        <w:t xml:space="preserve">References</w:t>
      </w:r>
    </w:p>
    <w:bookmarkStart w:id="244" w:name="frequently-asked-questions"/>
    <w:p>
      <w:pPr>
        <w:pStyle w:val="Heading2"/>
      </w:pPr>
      <w:r>
        <w:t xml:space="preserve">Frequently Asked Questions</w:t>
      </w:r>
    </w:p>
    <w:p>
      <w:pPr>
        <w:pStyle w:val="FirstParagraph"/>
      </w:pPr>
      <w:r>
        <w:t xml:space="preserve">Content coming soon…</w:t>
      </w:r>
    </w:p>
    <w:bookmarkEnd w:id="244"/>
    <w:bookmarkStart w:id="245" w:name="glossary-of-terms-and-acronyms"/>
    <w:p>
      <w:pPr>
        <w:pStyle w:val="Heading2"/>
      </w:pPr>
      <w:r>
        <w:t xml:space="preserve">Glossary of Terms and Acronyms</w:t>
      </w:r>
    </w:p>
    <w:p>
      <w:pPr>
        <w:pStyle w:val="FirstParagraph"/>
      </w:pPr>
      <w:r>
        <w:t xml:space="preserve">Content coming soon…</w:t>
      </w:r>
    </w:p>
    <w:bookmarkEnd w:id="245"/>
    <w:bookmarkStart w:id="246" w:name="support-channels"/>
    <w:p>
      <w:pPr>
        <w:pStyle w:val="Heading2"/>
      </w:pPr>
      <w:r>
        <w:t xml:space="preserve">Support Channels</w:t>
      </w:r>
    </w:p>
    <w:p>
      <w:pPr>
        <w:pStyle w:val="FirstParagraph"/>
      </w:pPr>
      <w:r>
        <w:t xml:space="preserve">Content coming soon…</w:t>
      </w:r>
    </w:p>
    <w:bookmarkEnd w:id="246"/>
    <w:bookmarkStart w:id="247" w:name="feedback-and-issue-reporting"/>
    <w:p>
      <w:pPr>
        <w:pStyle w:val="Heading2"/>
      </w:pPr>
      <w:r>
        <w:t xml:space="preserve">Feedback and Issue Reporting</w:t>
      </w:r>
    </w:p>
    <w:p>
      <w:pPr>
        <w:pStyle w:val="FirstParagraph"/>
      </w:pPr>
      <w:r>
        <w:t xml:space="preserve">Content coming soon…</w:t>
      </w:r>
    </w:p>
    <w:bookmarkEnd w:id="247"/>
    <w:bookmarkEnd w:id="2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13">
    <w:nsid w:val="00A9951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14">
    <w:nsid w:val="00A9951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1"/>
  </w:num>
  <w:num w:numId="1061">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1"/>
  </w:num>
  <w:num w:numId="1063">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4">
    <w:abstractNumId w:val="991"/>
  </w:num>
  <w:num w:numId="106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5" Target="media/rId115.png" /><Relationship Type="http://schemas.openxmlformats.org/officeDocument/2006/relationships/image" Id="rId80" Target="media/rId80.png" /><Relationship Type="http://schemas.openxmlformats.org/officeDocument/2006/relationships/image" Id="rId134" Target="media/rId134.png" /><Relationship Type="http://schemas.openxmlformats.org/officeDocument/2006/relationships/image" Id="rId74" Target="media/rId74.png" /><Relationship Type="http://schemas.openxmlformats.org/officeDocument/2006/relationships/hyperlink" Id="rId200" Target="OBPtool.html" TargetMode="External" /><Relationship Type="http://schemas.openxmlformats.org/officeDocument/2006/relationships/hyperlink" Id="rId65" Target="ORBIT.qmd" TargetMode="External" /><Relationship Type="http://schemas.openxmlformats.org/officeDocument/2006/relationships/hyperlink" Id="rId236" Target="https://enterprise-cmcs.github.io/mita-ssa-tool/" TargetMode="External" /><Relationship Type="http://schemas.openxmlformats.org/officeDocument/2006/relationships/hyperlink" Id="rId38" Target="mitaAdopt.qmd" TargetMode="External" /><Relationship Type="http://schemas.openxmlformats.org/officeDocument/2006/relationships/hyperlink" Id="rId140" Target="outcomesBasedPlanning.html" TargetMode="External" /><Relationship Type="http://schemas.openxmlformats.org/officeDocument/2006/relationships/hyperlink" Id="rId64" Target="outcomesObjectives.qmd" TargetMode="External" /><Relationship Type="http://schemas.openxmlformats.org/officeDocument/2006/relationships/hyperlink" Id="rId67" Target="references.qmd" TargetMode="External" /></Relationships>
</file>

<file path=word/_rels/footnotes.xml.rels><?xml version="1.0" encoding="UTF-8"?><Relationships xmlns="http://schemas.openxmlformats.org/package/2006/relationships"><Relationship Type="http://schemas.openxmlformats.org/officeDocument/2006/relationships/hyperlink" Id="rId200" Target="OBPtool.html" TargetMode="External" /><Relationship Type="http://schemas.openxmlformats.org/officeDocument/2006/relationships/hyperlink" Id="rId65" Target="ORBIT.qmd" TargetMode="External" /><Relationship Type="http://schemas.openxmlformats.org/officeDocument/2006/relationships/hyperlink" Id="rId236" Target="https://enterprise-cmcs.github.io/mita-ssa-tool/" TargetMode="External" /><Relationship Type="http://schemas.openxmlformats.org/officeDocument/2006/relationships/hyperlink" Id="rId38" Target="mitaAdopt.qmd" TargetMode="External" /><Relationship Type="http://schemas.openxmlformats.org/officeDocument/2006/relationships/hyperlink" Id="rId140" Target="outcomesBasedPlanning.html" TargetMode="External" /><Relationship Type="http://schemas.openxmlformats.org/officeDocument/2006/relationships/hyperlink" Id="rId64" Target="outcomesObjectives.qmd" TargetMode="External" /><Relationship Type="http://schemas.openxmlformats.org/officeDocument/2006/relationships/hyperlink" Id="rId67" Target="referenc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Medicaid Information Technology Architecture (MITA) 4.0 - TEST SITE</dc:title>
  <dc:creator/>
  <dc:description>This website is a staging environment and is intended for testing and development purposes only. The content, functionality, and features on this site may be incomplete, inaccurate, or subject to change.</dc:description>
  <cp:keywords/>
  <dcterms:created xsi:type="dcterms:W3CDTF">2026-03-06T14:47:57Z</dcterms:created>
  <dcterms:modified xsi:type="dcterms:W3CDTF">2026-03-06T14:47:57Z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emplate-partials">
    <vt:lpwstr/>
  </property>
  <property fmtid="{D5CDD505-2E9C-101B-9397-08002B2CF9AE}" pid="10" name="toc-title">
    <vt:lpwstr>Table of contents</vt:lpwstr>
  </property>
</Properties>
</file>