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1451d02cd2dbef6a3112f9c3c22875e6ccbf83"/>
    <w:p>
      <w:pPr>
        <w:pStyle w:val="Heading1"/>
      </w:pPr>
      <w:r>
        <w:t xml:space="preserve">Fragmented Experiences — How the University of Melbourne’s Web Estate Works Against Students</w:t>
      </w:r>
    </w:p>
    <w:p>
      <w:pPr>
        <w:pStyle w:val="FirstParagraph"/>
      </w:pPr>
      <w:r>
        <w:rPr>
          <w:b/>
          <w:bCs/>
        </w:rPr>
        <w:t xml:space="preserve">An evidence-based audit of 33,500+ pages across 18 domains, viewed through the lens of a single student trying to find what they need.</w:t>
      </w:r>
    </w:p>
    <w:p>
      <w:pPr>
        <w:pStyle w:val="BodyText"/>
      </w:pPr>
      <w:r>
        <w:t xml:space="preserve">June 2026 · Prepared for DEAG · Evidence from full-domain crawl and cross-lifecycle analysis</w:t>
      </w:r>
    </w:p>
    <w:p>
      <w:r>
        <w:pict>
          <v:rect style="width:0;height:1.5pt" o:hralign="center" o:hrstd="t" o:hr="t"/>
        </w:pict>
      </w:r>
    </w:p>
    <w:bookmarkStart w:id="9" w:name="executive-summary"/>
    <w:p>
      <w:pPr>
        <w:pStyle w:val="Heading2"/>
      </w:pPr>
      <w:r>
        <w:t xml:space="preserve">Executive Summary</w:t>
      </w:r>
    </w:p>
    <w:p>
      <w:pPr>
        <w:pStyle w:val="FirstParagraph"/>
      </w:pPr>
      <w:r>
        <w:t xml:space="preserve">A student at the University of Melbourne moves through three stages in their relationship with the institution — prospective, current, and alumni. On the web, that journey crosses</w:t>
      </w:r>
      <w:r>
        <w:t xml:space="preserve"> </w:t>
      </w:r>
      <w:r>
        <w:rPr>
          <w:b/>
          <w:bCs/>
        </w:rPr>
        <w:t xml:space="preserve">four different domains, four different information architectures, and four different vocabularies</w:t>
      </w:r>
      <w:r>
        <w:t xml:space="preserve"> </w:t>
      </w:r>
      <w:r>
        <w:t xml:space="preserve">with no shared navigation, no consistent labels, and no visible handoffs between stages.</w:t>
      </w:r>
    </w:p>
    <w:p>
      <w:pPr>
        <w:pStyle w:val="BodyText"/>
      </w:pPr>
      <w:r>
        <w:t xml:space="preserve">This report is based on a comprehensive crawl of</w:t>
      </w:r>
      <w:r>
        <w:t xml:space="preserve"> </w:t>
      </w:r>
      <w:r>
        <w:rPr>
          <w:b/>
          <w:bCs/>
        </w:rPr>
        <w:t xml:space="preserve">18 domains totalling more than 33,500 pages</w:t>
      </w:r>
      <w:r>
        <w:t xml:space="preserve"> </w:t>
      </w:r>
      <w:r>
        <w:t xml:space="preserve">— every faculty site, the central student hub, the scholarship platform, the study site, and the alumni section — and a cross-lifecycle analysis that traces 22 topic areas from the moment a student first searches for a course through to graduation and beyond.</w:t>
      </w:r>
    </w:p>
    <w:p>
      <w:pPr>
        <w:pStyle w:val="BodyText"/>
      </w:pPr>
      <w:r>
        <w:rPr>
          <w:b/>
          <w:bCs/>
        </w:rPr>
        <w:t xml:space="preserve">The central finding is not that content is duplicated — it is that the same student is being served the same information in different places, under different names, with no way to know which version is authoritative.</w:t>
      </w:r>
      <w:r>
        <w:t xml:space="preserve"> </w:t>
      </w:r>
      <w:r>
        <w:t xml:space="preserve">The University’s web estate is organised by who owns the page, not by where the student is in their life. The cost is borne by students who must learn through trial and error which of four parallel systems handles each of their needs.</w:t>
      </w:r>
    </w:p>
    <w:p>
      <w:pPr>
        <w:pStyle w:val="BodyText"/>
      </w:pPr>
      <w:r>
        <w:t xml:space="preserve">This report presents the evidence across three dimensions — the current-student experience, the topic-by-topic duplication, and the broken lifecycle — and recommends a set of priority fixes that connect rather than consolidate, standardise rather than rebuild, and close the seams where students currently fall through.</w:t>
      </w:r>
    </w:p>
    <w:p>
      <w:r>
        <w:pict>
          <v:rect style="width:0;height:1.5pt" o:hralign="center" o:hrstd="t" o:hr="t"/>
        </w:pict>
      </w:r>
    </w:p>
    <w:bookmarkEnd w:id="9"/>
    <w:bookmarkStart w:id="14" w:name="X3ebb9991a9d624ddf0365ba49b1b71e80c9f595"/>
    <w:p>
      <w:pPr>
        <w:pStyle w:val="Heading2"/>
      </w:pPr>
      <w:r>
        <w:t xml:space="preserve">1. The Student’s Experience — Four Sites, No Map</w:t>
      </w:r>
    </w:p>
    <w:p>
      <w:pPr>
        <w:pStyle w:val="FirstParagraph"/>
      </w:pPr>
      <w:r>
        <w:t xml:space="preserve">A current student who needs to find something — a form, a scholarship, career advice, a course plan — faces a landscape with no consistent addressing, no shared vocabulary, and no guidance about which of the parallel systems to use.</w:t>
      </w:r>
    </w:p>
    <w:bookmarkStart w:id="10" w:name="Xdfb545171d0a7d367bed9290b5b98fe2f6587f4"/>
    <w:p>
      <w:pPr>
        <w:pStyle w:val="Heading3"/>
      </w:pPr>
      <w:r>
        <w:t xml:space="preserve">1.1 Five different URL patterns for the same thing</w:t>
      </w:r>
    </w:p>
    <w:p>
      <w:pPr>
        <w:pStyle w:val="FirstParagraph"/>
      </w:pPr>
      <w:r>
        <w:t xml:space="preserve">The concept</w:t>
      </w:r>
      <w:r>
        <w:t xml:space="preserve"> </w:t>
      </w:r>
      <w:r>
        <w:t xml:space="preserve">“information for current students”</w:t>
      </w:r>
      <w:r>
        <w:t xml:space="preserve"> </w:t>
      </w:r>
      <w:r>
        <w:t xml:space="preserve">lives at five different URL conventions across the University, with no discoverable logic: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URL Pattern</w:t>
            </w:r>
          </w:p>
        </w:tc>
        <w:tc>
          <w:tcPr/>
          <w:p>
            <w:pPr>
              <w:pStyle w:val="Compact"/>
            </w:pPr>
            <w:r>
              <w:t xml:space="preserve">Who Uses It</w:t>
            </w:r>
          </w:p>
        </w:tc>
      </w:tr>
      <w:tr>
        <w:tc>
          <w:tcPr/>
          <w:p>
            <w:pPr>
              <w:pStyle w:val="Compact"/>
            </w:pPr>
            <w:r>
              <w:rPr>
                <w:rStyle w:val="VerbatimChar"/>
              </w:rPr>
              <w:t xml:space="preserve">/students</w:t>
            </w:r>
          </w:p>
        </w:tc>
        <w:tc>
          <w:tcPr/>
          <w:p>
            <w:pPr>
              <w:pStyle w:val="Compact"/>
            </w:pPr>
            <w:r>
              <w:t xml:space="preserve">Law, Arts, Engineering, Science, Business</w:t>
            </w:r>
          </w:p>
        </w:tc>
      </w:tr>
      <w:tr>
        <w:tc>
          <w:tcPr/>
          <w:p>
            <w:pPr>
              <w:pStyle w:val="Compact"/>
            </w:pPr>
            <w:r>
              <w:rPr>
                <w:rStyle w:val="VerbatimChar"/>
              </w:rPr>
              <w:t xml:space="preserve">/current-students</w:t>
            </w:r>
          </w:p>
        </w:tc>
        <w:tc>
          <w:tcPr/>
          <w:p>
            <w:pPr>
              <w:pStyle w:val="Compact"/>
            </w:pPr>
            <w:r>
              <w:t xml:space="preserve">Architecture (MSD), Fine Arts &amp; Music</w:t>
            </w:r>
          </w:p>
        </w:tc>
      </w:tr>
      <w:tr>
        <w:tc>
          <w:tcPr/>
          <w:p>
            <w:pPr>
              <w:pStyle w:val="Compact"/>
            </w:pPr>
            <w:r>
              <w:rPr>
                <w:rStyle w:val="VerbatimChar"/>
              </w:rPr>
              <w:t xml:space="preserve">/study/current-students</w:t>
            </w:r>
          </w:p>
        </w:tc>
        <w:tc>
          <w:tcPr/>
          <w:p>
            <w:pPr>
              <w:pStyle w:val="Compact"/>
            </w:pPr>
            <w:r>
              <w:t xml:space="preserve">Education, Medicine (MDHS)</w:t>
            </w:r>
          </w:p>
        </w:tc>
      </w:tr>
      <w:tr>
        <w:tc>
          <w:tcPr/>
          <w:p>
            <w:pPr>
              <w:pStyle w:val="Compact"/>
            </w:pPr>
            <w:r>
              <w:rPr>
                <w:rStyle w:val="VerbatimChar"/>
              </w:rPr>
              <w:t xml:space="preserve">/study/student-resources</w:t>
            </w:r>
          </w:p>
        </w:tc>
        <w:tc>
          <w:tcPr/>
          <w:p>
            <w:pPr>
              <w:pStyle w:val="Compact"/>
            </w:pPr>
            <w:r>
              <w:t xml:space="preserve">Dental School</w:t>
            </w:r>
          </w:p>
        </w:tc>
      </w:tr>
      <w:tr>
        <w:tc>
          <w:tcPr/>
          <w:p>
            <w:pPr>
              <w:pStyle w:val="Compact"/>
            </w:pPr>
            <w:r>
              <w:rPr>
                <w:rStyle w:val="VerbatimChar"/>
              </w:rPr>
              <w:t xml:space="preserve">/study/current-student-information</w:t>
            </w:r>
          </w:p>
        </w:tc>
        <w:tc>
          <w:tcPr/>
          <w:p>
            <w:pPr>
              <w:pStyle w:val="Compact"/>
            </w:pPr>
            <w:r>
              <w:t xml:space="preserve">Biomedical Sciences School</w:t>
            </w:r>
          </w:p>
        </w:tc>
      </w:tr>
    </w:tbl>
    <w:p>
      <w:pPr>
        <w:pStyle w:val="BodyText"/>
      </w:pPr>
      <w:r>
        <w:t xml:space="preserve">A student who knows their faculty uses</w:t>
      </w:r>
      <w:r>
        <w:t xml:space="preserve"> </w:t>
      </w:r>
      <w:r>
        <w:rPr>
          <w:rStyle w:val="VerbatimChar"/>
        </w:rPr>
        <w:t xml:space="preserve">/students</w:t>
      </w:r>
      <w:r>
        <w:t xml:space="preserve"> </w:t>
      </w:r>
      <w:r>
        <w:t xml:space="preserve">cannot guess another faculty’s current-students section. Even within a single faculty — MDHS — three different schools use three different URL patterns. There is no convention a student can learn.</w:t>
      </w:r>
    </w:p>
    <w:bookmarkEnd w:id="10"/>
    <w:bookmarkStart w:id="11" w:name="Xb87331b530b484f39be774807067218c2b796db"/>
    <w:p>
      <w:pPr>
        <w:pStyle w:val="Heading3"/>
      </w:pPr>
      <w:r>
        <w:t xml:space="preserve">1.2 No shared vocabulary — same function, different name everywhere</w:t>
      </w:r>
    </w:p>
    <w:p>
      <w:pPr>
        <w:pStyle w:val="FirstParagraph"/>
      </w:pPr>
      <w:r>
        <w:t xml:space="preserve">Across the nine faculty navigation menus, not one label is shared by all. The careers function alone appears under five different names:</w:t>
      </w:r>
      <w:r>
        <w:t xml:space="preserve"> </w:t>
      </w:r>
      <w:r>
        <w:t xml:space="preserve">“Employability in Arts,”</w:t>
      </w:r>
      <w:r>
        <w:t xml:space="preserve"> </w:t>
      </w:r>
      <w:r>
        <w:t xml:space="preserve">“Career Elevation”</w:t>
      </w:r>
      <w:r>
        <w:t xml:space="preserve"> </w:t>
      </w:r>
      <w:r>
        <w:t xml:space="preserve">(MBS),</w:t>
      </w:r>
      <w:r>
        <w:t xml:space="preserve"> </w:t>
      </w:r>
      <w:r>
        <w:t xml:space="preserve">“Career Launchpad”</w:t>
      </w:r>
      <w:r>
        <w:t xml:space="preserve"> </w:t>
      </w:r>
      <w:r>
        <w:t xml:space="preserve">(Business),</w:t>
      </w:r>
      <w:r>
        <w:t xml:space="preserve"> </w:t>
      </w:r>
      <w:r>
        <w:t xml:space="preserve">“MLS Career Services”</w:t>
      </w:r>
      <w:r>
        <w:t xml:space="preserve"> </w:t>
      </w:r>
      <w:r>
        <w:t xml:space="preserve">(Law),</w:t>
      </w:r>
      <w:r>
        <w:t xml:space="preserve"> </w:t>
      </w:r>
      <w:r>
        <w:t xml:space="preserve">“Careers &amp; Employability”</w:t>
      </w:r>
      <w:r>
        <w:t xml:space="preserve"> </w:t>
      </w:r>
      <w:r>
        <w:t xml:space="preserve">(Science).</w:t>
      </w:r>
      <w:r>
        <w:t xml:space="preserve"> </w:t>
      </w:r>
      <w:r>
        <w:t xml:space="preserve">“Orientation”</w:t>
      </w:r>
      <w:r>
        <w:t xml:space="preserve"> </w:t>
      </w:r>
      <w:r>
        <w:t xml:space="preserve">is used as a page title by five faculties but labeled differently in every navigation menu.</w:t>
      </w:r>
    </w:p>
    <w:p>
      <w:pPr>
        <w:pStyle w:val="BodyText"/>
      </w:pPr>
      <w:r>
        <w:t xml:space="preserve">A student who learns that</w:t>
      </w:r>
      <w:r>
        <w:t xml:space="preserve"> </w:t>
      </w:r>
      <w:r>
        <w:t xml:space="preserve">“Academic Skills”</w:t>
      </w:r>
      <w:r>
        <w:t xml:space="preserve"> </w:t>
      </w:r>
      <w:r>
        <w:t xml:space="preserve">means something on the central hub finds no such label on their faculty site. A student who transfers between faculties must re-learn the naming system from scratch.</w:t>
      </w:r>
    </w:p>
    <w:bookmarkEnd w:id="11"/>
    <w:bookmarkStart w:id="12" w:name="X2d4914708ec39ec31211fe42c37f91e868876e0"/>
    <w:p>
      <w:pPr>
        <w:pStyle w:val="Heading3"/>
      </w:pPr>
      <w:r>
        <w:t xml:space="preserve">1.3 No</w:t>
      </w:r>
      <w:r>
        <w:t xml:space="preserve"> </w:t>
      </w:r>
      <w:r>
        <w:t xml:space="preserve">“what’s where”</w:t>
      </w:r>
      <w:r>
        <w:t xml:space="preserve"> </w:t>
      </w:r>
      <w:r>
        <w:t xml:space="preserve">— students navigate by trial and error</w:t>
      </w:r>
    </w:p>
    <w:p>
      <w:pPr>
        <w:pStyle w:val="FirstParagraph"/>
      </w:pPr>
      <w:r>
        <w:t xml:space="preserve">No page anywhere in the estate tells a student:</w:t>
      </w:r>
      <w:r>
        <w:t xml:space="preserve"> </w:t>
      </w:r>
      <w:r>
        <w:t xml:space="preserve">“For enrolment and fees, go to students.unimelb.edu.au. For your degree-specific course plan, stay here. For scholarships, go to scholarships.unimelb.edu.au. For career advice, check both.”</w:t>
      </w:r>
      <w:r>
        <w:t xml:space="preserve"> </w:t>
      </w:r>
      <w:r>
        <w:t xml:space="preserve">Instead, faculty pages often re-explain services the central hub already covers — Architecture’s enrolment section re-describes special consideration, leave of absence, and overloading, all of which students.unimelb.edu.au covers definitively.</w:t>
      </w:r>
    </w:p>
    <w:p>
      <w:pPr>
        <w:pStyle w:val="BodyText"/>
      </w:pPr>
      <w:r>
        <w:t xml:space="preserve">The result: students must discover through experience which system handles which need, and they accumulate this knowledge just as they’re about to graduate and never use it again.</w:t>
      </w:r>
    </w:p>
    <w:bookmarkEnd w:id="12"/>
    <w:bookmarkStart w:id="13" w:name="Xeb4e58dbc4cef544868ea1138ed8994ca7fbdb7"/>
    <w:p>
      <w:pPr>
        <w:pStyle w:val="Heading3"/>
      </w:pPr>
      <w:r>
        <w:t xml:space="preserve">1.4 The navigation is broken in opposite directions</w:t>
      </w:r>
    </w:p>
    <w:p>
      <w:pPr>
        <w:pStyle w:val="FirstParagraph"/>
      </w:pPr>
      <w:r>
        <w:t xml:space="preserve">Faculties share no rule for how deep or wide their navigation should be. Engineering buries content up to ten levels deep. Law piles 66 items under a single heading. One-off pages — a vaccination requirement page, an equipment-loan page — sit at the top navigation level alongside major categories. Education and Arts sit in a sensible middle, proving the inconsistency is not a house style — it is the absence of any standard at all.</w:t>
      </w:r>
    </w:p>
    <w:p>
      <w:r>
        <w:pict>
          <v:rect style="width:0;height:1.5pt" o:hralign="center" o:hrstd="t" o:hr="t"/>
        </w:pict>
      </w:r>
    </w:p>
    <w:bookmarkEnd w:id="13"/>
    <w:bookmarkEnd w:id="14"/>
    <w:bookmarkStart w:id="17" w:name="X8bce698481c17a317b51bdf432782d13a002dda"/>
    <w:p>
      <w:pPr>
        <w:pStyle w:val="Heading2"/>
      </w:pPr>
      <w:r>
        <w:t xml:space="preserve">2. The Fragmentation Spectrum — How Nine Faculties Diverged</w:t>
      </w:r>
    </w:p>
    <w:p>
      <w:pPr>
        <w:pStyle w:val="FirstParagraph"/>
      </w:pPr>
      <w:r>
        <w:t xml:space="preserve">The nine faculties do not represent nine variations on a shared model. They represent a</w:t>
      </w:r>
      <w:r>
        <w:t xml:space="preserve"> </w:t>
      </w:r>
      <w:r>
        <w:rPr>
          <w:b/>
          <w:bCs/>
        </w:rPr>
        <w:t xml:space="preserve">spectrum</w:t>
      </w:r>
      <w:r>
        <w:t xml:space="preserve"> </w:t>
      </w:r>
      <w:r>
        <w:t xml:space="preserve">from</w:t>
      </w:r>
      <w:r>
        <w:t xml:space="preserve"> </w:t>
      </w:r>
      <w:r>
        <w:t xml:space="preserve">“we mostly send students to the central hub”</w:t>
      </w:r>
      <w:r>
        <w:t xml:space="preserve"> </w:t>
      </w:r>
      <w:r>
        <w:t xml:space="preserve">to</w:t>
      </w:r>
      <w:r>
        <w:t xml:space="preserve"> </w:t>
      </w:r>
      <w:r>
        <w:t xml:space="preserve">“we built our own parallel university.”</w:t>
      </w:r>
    </w:p>
    <w:bookmarkStart w:id="15" w:name="the-spectrum"/>
    <w:p>
      <w:pPr>
        <w:pStyle w:val="Heading3"/>
      </w:pPr>
      <w:r>
        <w:t xml:space="preserve">2.1 The spectrum</w:t>
      </w:r>
    </w:p>
    <w:p>
      <w:pPr>
        <w:pStyle w:val="SourceCode"/>
      </w:pPr>
      <w:r>
        <w:rPr>
          <w:rStyle w:val="VerbatimChar"/>
        </w:rPr>
        <w:t xml:space="preserve">Central-dependent ←————————————————————————————————→ Self-contained</w:t>
      </w:r>
      <w:r>
        <w:br/>
      </w:r>
      <w:r>
        <w:rPr>
          <w:rStyle w:val="VerbatimChar"/>
        </w:rPr>
        <w:t xml:space="preserve"> ABP/MSD   FBE   Education   Arts   Science   MDHS   Law   FFAM   FEIT</w:t>
      </w:r>
    </w:p>
    <w:p>
      <w:pPr>
        <w:pStyle w:val="FirstParagraph"/>
      </w:pPr>
      <w:r>
        <w:rPr>
          <w:b/>
          <w:bCs/>
        </w:rPr>
        <w:t xml:space="preserve">Architecture &amp; Business (ABP/MSD) and Business (FBE):</w:t>
      </w:r>
      <w:r>
        <w:t xml:space="preserve"> </w:t>
      </w:r>
      <w:r>
        <w:t xml:space="preserve">The current-students landing page is mostly a directory of links. Most student needs are delegated to students.unimelb.edu.au. When these faculties do create local content, they risk restating rather than adding.</w:t>
      </w:r>
    </w:p>
    <w:p>
      <w:pPr>
        <w:pStyle w:val="BodyText"/>
      </w:pPr>
      <w:r>
        <w:rPr>
          <w:b/>
          <w:bCs/>
        </w:rPr>
        <w:t xml:space="preserve">Education:</w:t>
      </w:r>
      <w:r>
        <w:t xml:space="preserve"> </w:t>
      </w:r>
      <w:r>
        <w:t xml:space="preserve">The best balance in the estate. Unique program content — teaching placements, LANTITE requirements, professional experience — sits alongside clear central-redirect links for transactional services. A model others could adopt.</w:t>
      </w:r>
    </w:p>
    <w:p>
      <w:pPr>
        <w:pStyle w:val="BodyText"/>
      </w:pPr>
      <w:r>
        <w:rPr>
          <w:b/>
          <w:bCs/>
        </w:rPr>
        <w:t xml:space="preserve">Arts and Science:</w:t>
      </w:r>
      <w:r>
        <w:t xml:space="preserve"> </w:t>
      </w:r>
      <w:r>
        <w:t xml:space="preserve">Well-structured local hubs with real faculty content — course planning guides, discipline-specific academic skills, mentoring programs — plus moderate links to students.unimelb.edu.au. Students here get a functional blended experience.</w:t>
      </w:r>
    </w:p>
    <w:p>
      <w:pPr>
        <w:pStyle w:val="BodyText"/>
      </w:pPr>
      <w:r>
        <w:rPr>
          <w:b/>
          <w:bCs/>
        </w:rPr>
        <w:t xml:space="preserve">MDHS (Medicine, Dentistry &amp; Health Sciences):</w:t>
      </w:r>
      <w:r>
        <w:t xml:space="preserve"> </w:t>
      </w:r>
      <w:r>
        <w:t xml:space="preserve">The most organisationally fragmented. Three schools — Biomedical Sciences, Dental School, and the MSPGH — run their own current-students sections on separate subdomains with separate URL conventions. The faculty-level landing page is a thin four-card gateway. A student in Biomedical Sciences has a fundamentally different web experience from a student in the Medical School, despite being in the same faculty.</w:t>
      </w:r>
    </w:p>
    <w:p>
      <w:pPr>
        <w:pStyle w:val="BodyText"/>
      </w:pPr>
      <w:r>
        <w:rPr>
          <w:b/>
          <w:bCs/>
        </w:rPr>
        <w:t xml:space="preserve">Law and Engineering (FEIT):</w:t>
      </w:r>
      <w:r>
        <w:t xml:space="preserve"> </w:t>
      </w:r>
      <w:r>
        <w:t xml:space="preserve">Almost entirely self-contained. Run parallel systems for course planning, careers, scholarships, forms, academic skills, and orientation. Minimal links to students.unimelb.edu.au. A Law or Engineering student could complete their entire degree without ever discovering the central careers service, scholarship catalogue, or academic skills platform — because everything is duplicated locally.</w:t>
      </w:r>
    </w:p>
    <w:p>
      <w:pPr>
        <w:pStyle w:val="BodyText"/>
      </w:pPr>
      <w:r>
        <w:rPr>
          <w:b/>
          <w:bCs/>
        </w:rPr>
        <w:t xml:space="preserve">Fine Arts &amp; Music (FFAM):</w:t>
      </w:r>
      <w:r>
        <w:t xml:space="preserve"> </w:t>
      </w:r>
      <w:r>
        <w:t xml:space="preserve">Completely self-contained. The conservatorium and art-school model does not fit the students.unimelb.edu.au taxonomy — performance ensembles, audition mechanics, studio practice, and exhibition requirements have no central equivalent. This is legitimate, but it means FFAM students live in an entirely separate information world from the rest of the University.</w:t>
      </w:r>
    </w:p>
    <w:bookmarkEnd w:id="15"/>
    <w:bookmarkStart w:id="16" w:name="why-this-happened"/>
    <w:p>
      <w:pPr>
        <w:pStyle w:val="Heading3"/>
      </w:pPr>
      <w:r>
        <w:t xml:space="preserve">2.2 Why this happened</w:t>
      </w:r>
    </w:p>
    <w:p>
      <w:pPr>
        <w:pStyle w:val="FirstParagraph"/>
      </w:pPr>
      <w:r>
        <w:t xml:space="preserve">Five structural causes produced this divergence, and they are still in place:</w:t>
      </w:r>
    </w:p>
    <w:p>
      <w:pPr>
        <w:numPr>
          <w:ilvl w:val="0"/>
          <w:numId w:val="1001"/>
        </w:numPr>
      </w:pPr>
      <w:r>
        <w:rPr>
          <w:b/>
          <w:bCs/>
        </w:rPr>
        <w:t xml:space="preserve">No content ownership governance.</w:t>
      </w:r>
      <w:r>
        <w:t xml:space="preserve"> </w:t>
      </w:r>
      <w:r>
        <w:t xml:space="preserve">No published rule states which services are centrally-owned and which are faculty-owned. Each faculty decides independently, and their default is</w:t>
      </w:r>
      <w:r>
        <w:t xml:space="preserve"> </w:t>
      </w:r>
      <w:r>
        <w:t xml:space="preserve">“our students need to find everything on our site.”</w:t>
      </w:r>
    </w:p>
    <w:p>
      <w:pPr>
        <w:numPr>
          <w:ilvl w:val="0"/>
          <w:numId w:val="1001"/>
        </w:numPr>
      </w:pPr>
      <w:r>
        <w:rPr>
          <w:b/>
          <w:bCs/>
        </w:rPr>
        <w:t xml:space="preserve">The IA template drives completeness.</w:t>
      </w:r>
      <w:r>
        <w:t xml:space="preserve"> </w:t>
      </w:r>
      <w:r>
        <w:t xml:space="preserve">Faculty current-students sections inherit a template with headings like</w:t>
      </w:r>
      <w:r>
        <w:t xml:space="preserve"> </w:t>
      </w:r>
      <w:r>
        <w:t xml:space="preserve">“Support,”</w:t>
      </w:r>
      <w:r>
        <w:t xml:space="preserve"> </w:t>
      </w:r>
      <w:r>
        <w:t xml:space="preserve">“Careers,”</w:t>
      </w:r>
      <w:r>
        <w:t xml:space="preserve"> </w:t>
      </w:r>
      <w:r>
        <w:t xml:space="preserve">and</w:t>
      </w:r>
      <w:r>
        <w:t xml:space="preserve"> </w:t>
      </w:r>
      <w:r>
        <w:t xml:space="preserve">“Wellbeing.”</w:t>
      </w:r>
      <w:r>
        <w:t xml:space="preserve"> </w:t>
      </w:r>
      <w:r>
        <w:t xml:space="preserve">Those headings say</w:t>
      </w:r>
      <w:r>
        <w:t xml:space="preserve"> </w:t>
      </w:r>
      <w:r>
        <w:t xml:space="preserve">“fill in content,”</w:t>
      </w:r>
      <w:r>
        <w:t xml:space="preserve"> </w:t>
      </w:r>
      <w:r>
        <w:t xml:space="preserve">not</w:t>
      </w:r>
      <w:r>
        <w:t xml:space="preserve"> </w:t>
      </w:r>
      <w:r>
        <w:t xml:space="preserve">“link to the central service.”</w:t>
      </w:r>
      <w:r>
        <w:t xml:space="preserve"> </w:t>
      </w:r>
      <w:r>
        <w:t xml:space="preserve">The template manufactures duplication.</w:t>
      </w:r>
    </w:p>
    <w:p>
      <w:pPr>
        <w:numPr>
          <w:ilvl w:val="0"/>
          <w:numId w:val="1001"/>
        </w:numPr>
      </w:pPr>
      <w:r>
        <w:rPr>
          <w:b/>
          <w:bCs/>
        </w:rPr>
        <w:t xml:space="preserve">Accountability sits at the faculty; authority sits nowhere.</w:t>
      </w:r>
      <w:r>
        <w:t xml:space="preserve"> </w:t>
      </w:r>
      <w:r>
        <w:t xml:space="preserve">Faculty web managers answer to their dean for student satisfaction. If a student cannot find careers support, the complaint goes to the faculty — not to the central Careers service. Faculties have every incentive to duplicate; no counter-incentive exists.</w:t>
      </w:r>
    </w:p>
    <w:p>
      <w:pPr>
        <w:numPr>
          <w:ilvl w:val="0"/>
          <w:numId w:val="1001"/>
        </w:numPr>
      </w:pPr>
      <w:r>
        <w:rPr>
          <w:b/>
          <w:bCs/>
        </w:rPr>
        <w:t xml:space="preserve">Central content is sometimes too generic.</w:t>
      </w:r>
      <w:r>
        <w:t xml:space="preserve"> </w:t>
      </w:r>
      <w:r>
        <w:t xml:space="preserve">The central Employability page covers general career tools. The Faculty of Science’s Employability in Science page covers the Science Career Enrichment Program, industry-specific pathways, and employer partnerships — genuinely more useful to a Science student. Faculties started building parallel content to fill real gaps, then expanded into restating what the centre already covered.</w:t>
      </w:r>
    </w:p>
    <w:p>
      <w:pPr>
        <w:numPr>
          <w:ilvl w:val="0"/>
          <w:numId w:val="1001"/>
        </w:numPr>
      </w:pPr>
      <w:r>
        <w:rPr>
          <w:b/>
          <w:bCs/>
        </w:rPr>
        <w:t xml:space="preserve">Addition is automatic; retirement takes a committee.</w:t>
      </w:r>
      <w:r>
        <w:t xml:space="preserve"> </w:t>
      </w:r>
      <w:r>
        <w:t xml:space="preserve">A faculty adds an Academic Skills page when the central offering is thin. The central hub builds out its Academic Skills section three years later. The faculty page persists because someone owns it, it appears in the sitemap, and retiring it requires a decision-maker willing to accept the consequence. The estate only grows.</w:t>
      </w:r>
    </w:p>
    <w:p>
      <w:r>
        <w:pict>
          <v:rect style="width:0;height:1.5pt" o:hralign="center" o:hrstd="t" o:hr="t"/>
        </w:pict>
      </w:r>
    </w:p>
    <w:bookmarkEnd w:id="16"/>
    <w:bookmarkEnd w:id="17"/>
    <w:bookmarkStart w:id="22" w:name="Xdbc619dd3ce4a62c9fc00aec2274b64eda5ddcf"/>
    <w:p>
      <w:pPr>
        <w:pStyle w:val="Heading2"/>
      </w:pPr>
      <w:r>
        <w:t xml:space="preserve">3. Topic-by-Topic — Where the Duplication Hurts Most</w:t>
      </w:r>
    </w:p>
    <w:p>
      <w:pPr>
        <w:pStyle w:val="FirstParagraph"/>
      </w:pPr>
      <w:r>
        <w:t xml:space="preserve">A comprehensive analysis of 22 topic areas across all crawled domains reveals which content is legitimately faculty-owned, which is outright duplicated, and where the central hub has gaps that faculties are filling — badly — on their own.</w:t>
      </w:r>
    </w:p>
    <w:bookmarkStart w:id="18" w:name="X4b343913847538970d8c981fdf16bd8e4d8552b"/>
    <w:p>
      <w:pPr>
        <w:pStyle w:val="Heading3"/>
      </w:pPr>
      <w:r>
        <w:t xml:space="preserve">3.1 The consolidation targets — central already owns these</w:t>
      </w:r>
    </w:p>
    <w:p>
      <w:pPr>
        <w:pStyle w:val="FirstParagraph"/>
      </w:pPr>
      <w:r>
        <w:rPr>
          <w:b/>
          <w:bCs/>
        </w:rPr>
        <w:t xml:space="preserve">Transactional administration (enrolment, fees, exams, special consideration, graduation).</w:t>
      </w:r>
      <w:r>
        <w:t xml:space="preserve"> </w:t>
      </w:r>
      <w:r>
        <w:t xml:space="preserve">Only 6 of 227 pages tagged</w:t>
      </w:r>
      <w:r>
        <w:t xml:space="preserve"> </w:t>
      </w:r>
      <w:r>
        <w:t xml:space="preserve">“transactional-admin”</w:t>
      </w:r>
      <w:r>
        <w:t xml:space="preserve"> </w:t>
      </w:r>
      <w:r>
        <w:t xml:space="preserve">sit on the students.unimelb.edu.au domain. The remaining 221 are faculty restatements, local wrappers, or outright duplicates. Special consideration is the purest case: 25 faculty pages describe a process governed by a single central policy (MPF1326), with students.unimelb.edu.au already holding the canonical procedure. Every faculty page adds zero information and creates a maintenance liability — when the policy changes, 25 pages must be updated simultaneously, and they will not be.</w:t>
      </w:r>
    </w:p>
    <w:p>
      <w:pPr>
        <w:pStyle w:val="BodyText"/>
      </w:pPr>
      <w:r>
        <w:rPr>
          <w:b/>
          <w:bCs/>
        </w:rPr>
        <w:t xml:space="preserve">Scholarships.</w:t>
      </w:r>
      <w:r>
        <w:t xml:space="preserve"> </w:t>
      </w:r>
      <w:r>
        <w:t xml:space="preserve">scholarships.unimelb.edu.au operates as a functional centralised awards system. Arts already links directly into it. Yet students.unimelb.edu.au holds</w:t>
      </w:r>
      <w:r>
        <w:t xml:space="preserve"> </w:t>
      </w:r>
      <w:r>
        <w:rPr>
          <w:b/>
          <w:bCs/>
        </w:rPr>
        <w:t xml:space="preserve">zero</w:t>
      </w:r>
      <w:r>
        <w:t xml:space="preserve"> </w:t>
      </w:r>
      <w:r>
        <w:t xml:space="preserve">scholarship pages — an enrolled student looking for scholarships on the central hub finds nothing. Engineering’s response was to build a 71-page shadow scholarship sub-site with per-round application pages, per-year Dean’s Honours Lists (2022–2024), and per-year Community Awards galleries (2022–2025), served from two parallel URL trees. This is a faculty filling a central vacuum.</w:t>
      </w:r>
    </w:p>
    <w:p>
      <w:pPr>
        <w:pStyle w:val="BodyText"/>
      </w:pPr>
      <w:r>
        <w:t xml:space="preserve">“</w:t>
      </w:r>
      <w:r>
        <w:rPr>
          <w:b/>
          <w:bCs/>
        </w:rPr>
        <w:t xml:space="preserve">Employability in X</w:t>
      </w:r>
      <w:r>
        <w:t xml:space="preserve">”</w:t>
      </w:r>
      <w:r>
        <w:t xml:space="preserve"> </w:t>
      </w:r>
      <w:r>
        <w:t xml:space="preserve">landing pages. Seven faculties publish structurally identical careers landing pages — same introduction to the faculty’s careers culture, same three-to-four service callout boxes, same links to the central Careers platform. The legitimate content underneath (credit-bearing internship subjects, accreditation pathways, regulated clinical requirements) is a small subset. These wrapper pages are the single clearest signal that central and faculty careers teams have never agreed on ownership boundaries.</w:t>
      </w:r>
    </w:p>
    <w:p>
      <w:pPr>
        <w:pStyle w:val="BodyText"/>
      </w:pPr>
      <w:r>
        <w:rPr>
          <w:b/>
          <w:bCs/>
        </w:rPr>
        <w:t xml:space="preserve">Wellbeing and inclusion.</w:t>
      </w:r>
      <w:r>
        <w:t xml:space="preserve"> </w:t>
      </w:r>
      <w:r>
        <w:t xml:space="preserve">Six near-identical</w:t>
      </w:r>
      <w:r>
        <w:t xml:space="preserve"> </w:t>
      </w:r>
      <w:r>
        <w:t xml:space="preserve">“Wellbeing + Ambassadors”</w:t>
      </w:r>
      <w:r>
        <w:t xml:space="preserve"> </w:t>
      </w:r>
      <w:r>
        <w:t xml:space="preserve">landing pages repeat pastoral care content. Indigenous student support is fragmented across at least four faculties with no central coordination and no cross-faculty linking — a welfare area where the cost of fragmentation falls heaviest on the students it serves.</w:t>
      </w:r>
    </w:p>
    <w:bookmarkEnd w:id="18"/>
    <w:bookmarkStart w:id="19" w:name="X700f31c6435138a5de6c7038036c84d022e60f6"/>
    <w:p>
      <w:pPr>
        <w:pStyle w:val="Heading3"/>
      </w:pPr>
      <w:r>
        <w:t xml:space="preserve">3.2 The legitimate faculty domain — do not centralise these</w:t>
      </w:r>
    </w:p>
    <w:p>
      <w:pPr>
        <w:pStyle w:val="FirstParagraph"/>
      </w:pPr>
      <w:r>
        <w:rPr>
          <w:b/>
          <w:bCs/>
        </w:rPr>
        <w:t xml:space="preserve">Placements and Work-Integrated Learning (207 pages, every faculty).</w:t>
      </w:r>
      <w:r>
        <w:t xml:space="preserve"> </w:t>
      </w:r>
      <w:r>
        <w:t xml:space="preserve">The single largest genuinely faculty-owned topic. MDHS holds 47% (clinical placement compliance), Law runs legal internships and clinical programs, Engineering runs industry placements, Education runs teaching placements. The central hub has no placements content at all — this is not duplication, it is a central gap. The fix is a placements</w:t>
      </w:r>
      <w:r>
        <w:t xml:space="preserve"> </w:t>
      </w:r>
      <w:r>
        <w:rPr>
          <w:b/>
          <w:bCs/>
        </w:rPr>
        <w:t xml:space="preserve">discovery</w:t>
      </w:r>
      <w:r>
        <w:t xml:space="preserve"> </w:t>
      </w:r>
      <w:r>
        <w:t xml:space="preserve">page on students.unimelb.edu.au that links to faculty placement offices, not an attempt to centralise clinical compliance checklists.</w:t>
      </w:r>
    </w:p>
    <w:p>
      <w:pPr>
        <w:pStyle w:val="BodyText"/>
      </w:pPr>
      <w:r>
        <w:rPr>
          <w:b/>
          <w:bCs/>
        </w:rPr>
        <w:t xml:space="preserve">Course plans and degree-specific planning (207 pages).</w:t>
      </w:r>
      <w:r>
        <w:t xml:space="preserve"> </w:t>
      </w:r>
      <w:r>
        <w:t xml:space="preserve">Degree-specific sample course plans — MSD’s ten master’s course plans, Law’s JD/MLM pathways, Science’s first-year subject sets, Biomedical’s major sequences — are legitimately owned by the faculties that teach those degrees. The duplication to remove is the thin layer of generic</w:t>
      </w:r>
      <w:r>
        <w:t xml:space="preserve"> </w:t>
      </w:r>
      <w:r>
        <w:t xml:space="preserve">“how to plan your course”</w:t>
      </w:r>
      <w:r>
        <w:t xml:space="preserve"> </w:t>
      </w:r>
      <w:r>
        <w:t xml:space="preserve">advice and re-hosted My Course Planner links that sit on top of the legitimate planning content.</w:t>
      </w:r>
    </w:p>
    <w:p>
      <w:pPr>
        <w:pStyle w:val="BodyText"/>
      </w:pPr>
      <w:r>
        <w:rPr>
          <w:b/>
          <w:bCs/>
        </w:rPr>
        <w:t xml:space="preserve">Clubs, discipline societies, and student community.</w:t>
      </w:r>
      <w:r>
        <w:t xml:space="preserve"> </w:t>
      </w:r>
      <w:r>
        <w:t xml:space="preserve">Named engineering clubs, conservatorium performance ensembles (each with audition mechanics and registration), flagship competitions like the FEIT Hackathon Festival and the Law Mooting circuit — these are discipline-bound by definition. The central hub cannot meaningfully own Hackathon Festival content requiring knowledge of discipline calendars, judging criteria, and sponsor relationships. The fix is a</w:t>
      </w:r>
      <w:r>
        <w:t xml:space="preserve"> </w:t>
      </w:r>
      <w:r>
        <w:t xml:space="preserve">“find your community”</w:t>
      </w:r>
      <w:r>
        <w:t xml:space="preserve"> </w:t>
      </w:r>
      <w:r>
        <w:t xml:space="preserve">directory on students.unimelb.edu.au that links out to each faculty’s clubs and societies — centralising discovery, not content.</w:t>
      </w:r>
    </w:p>
    <w:p>
      <w:pPr>
        <w:pStyle w:val="BodyText"/>
      </w:pPr>
      <w:r>
        <w:rPr>
          <w:b/>
          <w:bCs/>
        </w:rPr>
        <w:t xml:space="preserve">Academic skills with discipline-specific methods.</w:t>
      </w:r>
      <w:r>
        <w:t xml:space="preserve"> </w:t>
      </w:r>
      <w:r>
        <w:t xml:space="preserve">Legal research and writing, laboratory report skills, studio critique practice, clinical communication — these are genuinely discipline-bound. The central hub’s generic academic skills platform is the right home for general essay-writing and study techniques. The duplication to resolve is the generic landing pages that restate central services.</w:t>
      </w:r>
    </w:p>
    <w:bookmarkEnd w:id="19"/>
    <w:bookmarkStart w:id="20" w:name="Xc40389640d92f861ac55f2d66c2b5be56e4729a"/>
    <w:p>
      <w:pPr>
        <w:pStyle w:val="Heading3"/>
      </w:pPr>
      <w:r>
        <w:t xml:space="preserve">3.3 The grey areas — legitimate seed, duplicative overgrowth</w:t>
      </w:r>
    </w:p>
    <w:p>
      <w:pPr>
        <w:pStyle w:val="FirstParagraph"/>
      </w:pPr>
      <w:r>
        <w:rPr>
          <w:b/>
          <w:bCs/>
        </w:rPr>
        <w:t xml:space="preserve">Careers and employability (141 faculty pages across eight faculties).</w:t>
      </w:r>
      <w:r>
        <w:t xml:space="preserve"> </w:t>
      </w:r>
      <w:r>
        <w:t xml:space="preserve">The underlying reality is nuanced. Regulated professional pathways (Law’s</w:t>
      </w:r>
      <w:r>
        <w:t xml:space="preserve"> </w:t>
      </w:r>
      <w:r>
        <w:t xml:space="preserve">“Steps to Practising Law,”</w:t>
      </w:r>
      <w:r>
        <w:t xml:space="preserve"> </w:t>
      </w:r>
      <w:r>
        <w:t xml:space="preserve">Education’s teacher registration, MDHS clinical accreditation) cannot be centralised — they are faculty-specific by law. Credit-bearing internship subjects and industry mentoring programs have real faculty content. But around this legitimate core, every faculty has wrapped a</w:t>
      </w:r>
      <w:r>
        <w:t xml:space="preserve"> </w:t>
      </w:r>
      <w:r>
        <w:t xml:space="preserve">“Careers gateway”</w:t>
      </w:r>
      <w:r>
        <w:t xml:space="preserve"> </w:t>
      </w:r>
      <w:r>
        <w:t xml:space="preserve">page that restates central services in different words. The fix is not to centralise careers but to separate the regulatory/programmatic layer (keep with faculties) from the gateway/discovery layer (centralise on students.unimelb.edu.au).</w:t>
      </w:r>
    </w:p>
    <w:p>
      <w:pPr>
        <w:pStyle w:val="BodyText"/>
      </w:pPr>
      <w:r>
        <w:rPr>
          <w:b/>
          <w:bCs/>
        </w:rPr>
        <w:t xml:space="preserve">Research candidature (241 pages, all faculties).</w:t>
      </w:r>
      <w:r>
        <w:t xml:space="preserve"> </w:t>
      </w:r>
      <w:r>
        <w:t xml:space="preserve">This differs structurally from careers or wellbeing: the central hub never built the HDR lifecycle content. So multiple faculties (Arts, Engineering, Business) independently built their own candidature spines — confirmation milestones, progress reviews, thesis submission — with no model to converge on. The duplication is horizontal (faculties duplicated each other) rather than vertical (faculties duplicated the centre). Adding a central HDR candidature section to students.unimelb.edu.au could provide the convergent model that was missing.</w:t>
      </w:r>
    </w:p>
    <w:bookmarkEnd w:id="20"/>
    <w:bookmarkStart w:id="21" w:name="what-students.unimelb.edu.au-is-missing"/>
    <w:p>
      <w:pPr>
        <w:pStyle w:val="Heading3"/>
      </w:pPr>
      <w:r>
        <w:t xml:space="preserve">3.4 What students.unimelb.edu.au is missing</w:t>
      </w:r>
    </w:p>
    <w:p>
      <w:pPr>
        <w:pStyle w:val="FirstParagraph"/>
      </w:pPr>
      <w:r>
        <w:t xml:space="preserve">The central hub covers transactional administration and general support well. But it has genuine gaps that drive faculty duplication:</w:t>
      </w:r>
    </w:p>
    <w:p>
      <w:pPr>
        <w:pStyle w:val="Compact"/>
        <w:numPr>
          <w:ilvl w:val="0"/>
          <w:numId w:val="1002"/>
        </w:numPr>
      </w:pPr>
      <w:r>
        <w:rPr>
          <w:b/>
          <w:bCs/>
        </w:rPr>
        <w:t xml:space="preserve">Placements &amp; WIL discovery.</w:t>
      </w:r>
      <w:r>
        <w:t xml:space="preserve"> </w:t>
      </w:r>
      <w:r>
        <w:t xml:space="preserve">Zero content. Students must know their faculty has a placement program to find it.</w:t>
      </w:r>
    </w:p>
    <w:p>
      <w:pPr>
        <w:pStyle w:val="Compact"/>
        <w:numPr>
          <w:ilvl w:val="0"/>
          <w:numId w:val="1002"/>
        </w:numPr>
      </w:pPr>
      <w:r>
        <w:rPr>
          <w:b/>
          <w:bCs/>
        </w:rPr>
        <w:t xml:space="preserve">Scholarships for enrolled students.</w:t>
      </w:r>
      <w:r>
        <w:t xml:space="preserve"> </w:t>
      </w:r>
      <w:r>
        <w:t xml:space="preserve">Zero pages. A student on students.unimelb.edu.au looking for scholarships finds nothing.</w:t>
      </w:r>
    </w:p>
    <w:p>
      <w:pPr>
        <w:pStyle w:val="Compact"/>
        <w:numPr>
          <w:ilvl w:val="0"/>
          <w:numId w:val="1002"/>
        </w:numPr>
      </w:pPr>
      <w:r>
        <w:rPr>
          <w:b/>
          <w:bCs/>
        </w:rPr>
        <w:t xml:space="preserve">The apply-to-graduate spine.</w:t>
      </w:r>
      <w:r>
        <w:t xml:space="preserve"> </w:t>
      </w:r>
      <w:r>
        <w:t xml:space="preserve">The graduation milestone — the natural exit from the current-students estate — has no page on students.unimelb.edu.au.</w:t>
      </w:r>
    </w:p>
    <w:p>
      <w:pPr>
        <w:pStyle w:val="Compact"/>
        <w:numPr>
          <w:ilvl w:val="0"/>
          <w:numId w:val="1002"/>
        </w:numPr>
      </w:pPr>
      <w:r>
        <w:rPr>
          <w:b/>
          <w:bCs/>
        </w:rPr>
        <w:t xml:space="preserve">Inbound international student support.</w:t>
      </w:r>
      <w:r>
        <w:t xml:space="preserve"> </w:t>
      </w:r>
      <w:r>
        <w:t xml:space="preserve">Visa information, OSHC, ESOS compliance — absent from the central hub.</w:t>
      </w:r>
    </w:p>
    <w:p>
      <w:pPr>
        <w:pStyle w:val="Compact"/>
        <w:numPr>
          <w:ilvl w:val="0"/>
          <w:numId w:val="1002"/>
        </w:numPr>
      </w:pPr>
      <w:r>
        <w:rPr>
          <w:b/>
          <w:bCs/>
        </w:rPr>
        <w:t xml:space="preserve">A course-planning gateway.</w:t>
      </w:r>
      <w:r>
        <w:t xml:space="preserve"> </w:t>
      </w:r>
      <w:r>
        <w:t xml:space="preserve">My Course Planner exists as a tool but has no surrounding degree-guide content.</w:t>
      </w:r>
    </w:p>
    <w:p>
      <w:pPr>
        <w:pStyle w:val="FirstParagraph"/>
      </w:pPr>
      <w:r>
        <w:t xml:space="preserve">Each of these gaps has been filled — differently, inconsistently, and at varying levels of quality — by individual faculties acting independently.</w:t>
      </w:r>
    </w:p>
    <w:p>
      <w:r>
        <w:pict>
          <v:rect style="width:0;height:1.5pt" o:hralign="center" o:hrstd="t" o:hr="t"/>
        </w:pict>
      </w:r>
    </w:p>
    <w:bookmarkEnd w:id="21"/>
    <w:bookmarkEnd w:id="22"/>
    <w:bookmarkStart w:id="27" w:name="X06bdcec6154b13ad9edaad2dac8ce2fd991b8a6"/>
    <w:p>
      <w:pPr>
        <w:pStyle w:val="Heading2"/>
      </w:pPr>
      <w:r>
        <w:t xml:space="preserve">4. The Lifecycle Problem — Four Websites Pretending to Be One University</w:t>
      </w:r>
    </w:p>
    <w:p>
      <w:pPr>
        <w:pStyle w:val="FirstParagraph"/>
      </w:pPr>
      <w:r>
        <w:t xml:space="preserve">A student’s relationship with the University runs</w:t>
      </w:r>
      <w:r>
        <w:t xml:space="preserve"> </w:t>
      </w:r>
      <w:r>
        <w:rPr>
          <w:b/>
          <w:bCs/>
        </w:rPr>
        <w:t xml:space="preserve">prospective → current → alumni</w:t>
      </w:r>
      <w:r>
        <w:t xml:space="preserve">, but the web journey crosses domains, architectures, and vocabularies with no shared addressing and no visible handoffs. The fragmentation inside the current-students estate is repeated, identically, one stage earlier and one stage later.</w:t>
      </w:r>
    </w:p>
    <w:bookmarkStart w:id="23" w:name="the-four-domains"/>
    <w:p>
      <w:pPr>
        <w:pStyle w:val="Heading3"/>
      </w:pPr>
      <w:r>
        <w:t xml:space="preserve">4.1 The four domains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Domain</w:t>
            </w:r>
          </w:p>
        </w:tc>
        <w:tc>
          <w:tcPr/>
          <w:p>
            <w:pPr>
              <w:pStyle w:val="Compact"/>
            </w:pPr>
            <w:r>
              <w:t xml:space="preserve">What it does</w:t>
            </w:r>
          </w:p>
        </w:tc>
        <w:tc>
          <w:tcPr/>
          <w:p>
            <w:pPr>
              <w:pStyle w:val="Compact"/>
            </w:pPr>
            <w:r>
              <w:t xml:space="preserve">Vocabulary</w:t>
            </w:r>
          </w:p>
        </w:tc>
      </w:tr>
      <w:tr>
        <w:tc>
          <w:tcPr/>
          <w:p>
            <w:pPr>
              <w:pStyle w:val="Compact"/>
            </w:pPr>
            <w:r>
              <w:t xml:space="preserve">Prospective</w:t>
            </w:r>
          </w:p>
        </w:tc>
        <w:tc>
          <w:tcPr/>
          <w:p>
            <w:pPr>
              <w:pStyle w:val="Compact"/>
            </w:pPr>
            <w:r>
              <w:t xml:space="preserve">study.unimelb.edu.au</w:t>
            </w:r>
          </w:p>
        </w:tc>
        <w:tc>
          <w:tcPr/>
          <w:p>
            <w:pPr>
              <w:pStyle w:val="Compact"/>
            </w:pPr>
            <w:r>
              <w:t xml:space="preserve">Course finder, how to apply, campus life</w:t>
            </w:r>
          </w:p>
        </w:tc>
        <w:tc>
          <w:tcPr/>
          <w:p>
            <w:pPr>
              <w:pStyle w:val="Compact"/>
            </w:pPr>
            <w:r>
              <w:rPr>
                <w:rStyle w:val="VerbatimChar"/>
              </w:rPr>
              <w:t xml:space="preserve">find</w:t>
            </w:r>
            <w:r>
              <w:t xml:space="preserve">,</w:t>
            </w:r>
            <w:r>
              <w:t xml:space="preserve"> </w:t>
            </w:r>
            <w:r>
              <w:rPr>
                <w:rStyle w:val="VerbatimChar"/>
              </w:rPr>
              <w:t xml:space="preserve">how-to-apply</w:t>
            </w:r>
            <w:r>
              <w:t xml:space="preserve">,</w:t>
            </w:r>
            <w:r>
              <w:t xml:space="preserve"> </w:t>
            </w:r>
            <w:r>
              <w:rPr>
                <w:rStyle w:val="VerbatimChar"/>
              </w:rPr>
              <w:t xml:space="preserve">study-with-us</w:t>
            </w:r>
          </w:p>
        </w:tc>
      </w:tr>
      <w:tr>
        <w:tc>
          <w:tcPr/>
          <w:p>
            <w:pPr>
              <w:pStyle w:val="Compact"/>
            </w:pPr>
            <w:r>
              <w:t xml:space="preserve">Current (central)</w:t>
            </w:r>
          </w:p>
        </w:tc>
        <w:tc>
          <w:tcPr/>
          <w:p>
            <w:pPr>
              <w:pStyle w:val="Compact"/>
            </w:pPr>
            <w:r>
              <w:t xml:space="preserve">students.unimelb.edu.au</w:t>
            </w:r>
          </w:p>
        </w:tc>
        <w:tc>
          <w:tcPr/>
          <w:p>
            <w:pPr>
              <w:pStyle w:val="Compact"/>
            </w:pPr>
            <w:r>
              <w:t xml:space="preserve">Enrolment, support, admin</w:t>
            </w:r>
          </w:p>
        </w:tc>
        <w:tc>
          <w:tcPr/>
          <w:p>
            <w:pPr>
              <w:pStyle w:val="Compact"/>
            </w:pPr>
            <w:r>
              <w:rPr>
                <w:rStyle w:val="VerbatimChar"/>
              </w:rPr>
              <w:t xml:space="preserve">academic-skills</w:t>
            </w:r>
            <w:r>
              <w:t xml:space="preserve">,</w:t>
            </w:r>
            <w:r>
              <w:t xml:space="preserve"> </w:t>
            </w:r>
            <w:r>
              <w:rPr>
                <w:rStyle w:val="VerbatimChar"/>
              </w:rPr>
              <w:t xml:space="preserve">student-support</w:t>
            </w:r>
          </w:p>
        </w:tc>
      </w:tr>
      <w:tr>
        <w:tc>
          <w:tcPr/>
          <w:p>
            <w:pPr>
              <w:pStyle w:val="Compact"/>
            </w:pPr>
            <w:r>
              <w:t xml:space="preserve">Current (faculty)</w:t>
            </w:r>
          </w:p>
        </w:tc>
        <w:tc>
          <w:tcPr/>
          <w:p>
            <w:pPr>
              <w:pStyle w:val="Compact"/>
            </w:pPr>
            <w:r>
              <w:t xml:space="preserve">{faculty}.unimelb.edu.au</w:t>
            </w:r>
          </w:p>
        </w:tc>
        <w:tc>
          <w:tcPr/>
          <w:p>
            <w:pPr>
              <w:pStyle w:val="Compact"/>
            </w:pPr>
            <w:r>
              <w:t xml:space="preserve">Course plans, placements, forms</w:t>
            </w:r>
          </w:p>
        </w:tc>
        <w:tc>
          <w:tcPr/>
          <w:p>
            <w:pPr>
              <w:pStyle w:val="Compact"/>
            </w:pPr>
            <w:r>
              <w:rPr>
                <w:rStyle w:val="VerbatimChar"/>
              </w:rPr>
              <w:t xml:space="preserve">students</w:t>
            </w:r>
            <w:r>
              <w:t xml:space="preserve">,</w:t>
            </w:r>
            <w:r>
              <w:t xml:space="preserve"> </w:t>
            </w:r>
            <w:r>
              <w:rPr>
                <w:rStyle w:val="VerbatimChar"/>
              </w:rPr>
              <w:t xml:space="preserve">current-students</w:t>
            </w:r>
            <w:r>
              <w:t xml:space="preserve">,</w:t>
            </w:r>
            <w:r>
              <w:t xml:space="preserve"> </w:t>
            </w:r>
            <w:r>
              <w:rPr>
                <w:rStyle w:val="VerbatimChar"/>
              </w:rPr>
              <w:t xml:space="preserve">study</w:t>
            </w:r>
          </w:p>
        </w:tc>
      </w:tr>
      <w:tr>
        <w:tc>
          <w:tcPr/>
          <w:p>
            <w:pPr>
              <w:pStyle w:val="Compact"/>
            </w:pPr>
            <w:r>
              <w:t xml:space="preserve">Alumni</w:t>
            </w:r>
          </w:p>
        </w:tc>
        <w:tc>
          <w:tcPr/>
          <w:p>
            <w:pPr>
              <w:pStyle w:val="Compact"/>
            </w:pPr>
            <w:r>
              <w:t xml:space="preserve">www.unimelb.edu.au/alumni</w:t>
            </w:r>
          </w:p>
        </w:tc>
        <w:tc>
          <w:tcPr/>
          <w:p>
            <w:pPr>
              <w:pStyle w:val="Compact"/>
            </w:pPr>
            <w:r>
              <w:t xml:space="preserve">Career tools, benefits, chapters</w:t>
            </w:r>
          </w:p>
        </w:tc>
        <w:tc>
          <w:tcPr/>
          <w:p>
            <w:pPr>
              <w:pStyle w:val="Compact"/>
            </w:pPr>
            <w:r>
              <w:rPr>
                <w:rStyle w:val="VerbatimChar"/>
              </w:rPr>
              <w:t xml:space="preserve">alumni</w:t>
            </w:r>
            <w:r>
              <w:t xml:space="preserve">,</w:t>
            </w:r>
            <w:r>
              <w:t xml:space="preserve"> </w:t>
            </w:r>
            <w:r>
              <w:rPr>
                <w:rStyle w:val="VerbatimChar"/>
              </w:rPr>
              <w:t xml:space="preserve">stay-connected</w:t>
            </w:r>
            <w:r>
              <w:t xml:space="preserve">,</w:t>
            </w:r>
            <w:r>
              <w:t xml:space="preserve"> </w:t>
            </w:r>
            <w:r>
              <w:rPr>
                <w:rStyle w:val="VerbatimChar"/>
              </w:rPr>
              <w:t xml:space="preserve">get-involved</w:t>
            </w:r>
          </w:p>
        </w:tc>
      </w:tr>
    </w:tbl>
    <w:p>
      <w:pPr>
        <w:pStyle w:val="BodyText"/>
      </w:pPr>
      <w:r>
        <w:t xml:space="preserve">There is</w:t>
      </w:r>
      <w:r>
        <w:t xml:space="preserve"> </w:t>
      </w:r>
      <w:r>
        <w:rPr>
          <w:b/>
          <w:bCs/>
        </w:rPr>
        <w:t xml:space="preserve">no word in common</w:t>
      </w:r>
      <w:r>
        <w:t xml:space="preserve"> </w:t>
      </w:r>
      <w:r>
        <w:t xml:space="preserve">across the four domains’ navigation systems. A student does not experience one University website that follows them through life. They experience four unrelated sites that happen to share a logo.</w:t>
      </w:r>
    </w:p>
    <w:bookmarkEnd w:id="23"/>
    <w:bookmarkStart w:id="24" w:name="the-broken-handoffs"/>
    <w:p>
      <w:pPr>
        <w:pStyle w:val="Heading3"/>
      </w:pPr>
      <w:r>
        <w:t xml:space="preserve">4.2 The broken handoffs</w:t>
      </w:r>
    </w:p>
    <w:p>
      <w:pPr>
        <w:pStyle w:val="FirstParagraph"/>
      </w:pPr>
      <w:r>
        <w:rPr>
          <w:b/>
          <w:bCs/>
        </w:rPr>
        <w:t xml:space="preserve">Prospective → Current.</w:t>
      </w:r>
      <w:r>
        <w:t xml:space="preserve"> </w:t>
      </w:r>
      <w:r>
        <w:t xml:space="preserve">529 outbound links from current-student pages point back to study.unimelb.edu.au — students are being sent backwards to a site framed for people who have not yet enrolled. The Graduate Degree Package — an enrolled-student pathway product that lets students activate guaranteed progression from bachelor’s to master’s — lives entirely on the prospective site with 14+ substantive pages written for applicants, not for the Year 2 students who actually need to use it. There is no</w:t>
      </w:r>
      <w:r>
        <w:t xml:space="preserve"> </w:t>
      </w:r>
      <w:r>
        <w:t xml:space="preserve">“you’re enrolled: start here”</w:t>
      </w:r>
      <w:r>
        <w:t xml:space="preserve"> </w:t>
      </w:r>
      <w:r>
        <w:t xml:space="preserve">pathway from the prospective site into the current-students estate.</w:t>
      </w:r>
    </w:p>
    <w:p>
      <w:pPr>
        <w:pStyle w:val="BodyText"/>
      </w:pPr>
      <w:r>
        <w:rPr>
          <w:b/>
          <w:bCs/>
        </w:rPr>
        <w:t xml:space="preserve">Current → Alumni.</w:t>
      </w:r>
      <w:r>
        <w:t xml:space="preserve"> </w:t>
      </w:r>
      <w:r>
        <w:t xml:space="preserve">Zero links from any current-students page — faculty or central — point to the alumni site. The graduation milestone has no</w:t>
      </w:r>
      <w:r>
        <w:t xml:space="preserve"> </w:t>
      </w:r>
      <w:r>
        <w:t xml:space="preserve">“what comes next”</w:t>
      </w:r>
      <w:r>
        <w:t xml:space="preserve"> </w:t>
      </w:r>
      <w:r>
        <w:t xml:space="preserve">signpost anywhere in the web experience. A graduating student does not discover that the University offers them lifetime library access, an alumni email address, career tools, language learning, and a global chapter network — because that information lives on a domain invisible from the enrolled-student experience. The alumni mentoring pipeline — graduates offering mentorship to current students — is disconnected from the faculty mentoring programs it would naturally feed.</w:t>
      </w:r>
    </w:p>
    <w:bookmarkEnd w:id="24"/>
    <w:bookmarkStart w:id="25" w:name="services-authored-three-times"/>
    <w:p>
      <w:pPr>
        <w:pStyle w:val="Heading3"/>
      </w:pPr>
      <w:r>
        <w:t xml:space="preserve">4.3 Services authored three times</w:t>
      </w:r>
    </w:p>
    <w:p>
      <w:pPr>
        <w:pStyle w:val="FirstParagraph"/>
      </w:pPr>
      <w:r>
        <w:t xml:space="preserve">Every cross-cutting pastoral service appears in three independent versions across the lifecycle: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Prospective pages</w:t>
            </w:r>
          </w:p>
        </w:tc>
        <w:tc>
          <w:tcPr/>
          <w:p>
            <w:pPr>
              <w:pStyle w:val="Compact"/>
            </w:pPr>
            <w:r>
              <w:t xml:space="preserve">Current pages</w:t>
            </w:r>
          </w:p>
        </w:tc>
        <w:tc>
          <w:tcPr/>
          <w:p>
            <w:pPr>
              <w:pStyle w:val="Compact"/>
            </w:pPr>
            <w:r>
              <w:t xml:space="preserve">Alumni pages</w:t>
            </w:r>
          </w:p>
        </w:tc>
      </w:tr>
      <w:tr>
        <w:tc>
          <w:tcPr/>
          <w:p>
            <w:pPr>
              <w:pStyle w:val="Compact"/>
            </w:pPr>
            <w:r>
              <w:t xml:space="preserve">Careers &amp; employability</w:t>
            </w:r>
          </w:p>
        </w:tc>
        <w:tc>
          <w:tcPr/>
          <w:p>
            <w:pPr>
              <w:pStyle w:val="Compact"/>
            </w:pPr>
            <w:r>
              <w:t xml:space="preserve">37</w:t>
            </w:r>
          </w:p>
        </w:tc>
        <w:tc>
          <w:tcPr/>
          <w:p>
            <w:pPr>
              <w:pStyle w:val="Compact"/>
            </w:pPr>
            <w:r>
              <w:t xml:space="preserve">80</w:t>
            </w:r>
          </w:p>
        </w:tc>
        <w:tc>
          <w:tcPr/>
          <w:p>
            <w:pPr>
              <w:pStyle w:val="Compact"/>
            </w:pPr>
            <w:r>
              <w:t xml:space="preserve">38</w:t>
            </w:r>
          </w:p>
        </w:tc>
      </w:tr>
      <w:tr>
        <w:tc>
          <w:tcPr/>
          <w:p>
            <w:pPr>
              <w:pStyle w:val="Compact"/>
            </w:pPr>
            <w:r>
              <w:t xml:space="preserve">Student life &amp; community</w:t>
            </w:r>
          </w:p>
        </w:tc>
        <w:tc>
          <w:tcPr/>
          <w:p>
            <w:pPr>
              <w:pStyle w:val="Compact"/>
            </w:pPr>
            <w:r>
              <w:t xml:space="preserve">156</w:t>
            </w:r>
          </w:p>
        </w:tc>
        <w:tc>
          <w:tcPr/>
          <w:p>
            <w:pPr>
              <w:pStyle w:val="Compact"/>
            </w:pPr>
            <w:r>
              <w:t xml:space="preserve">108</w:t>
            </w:r>
          </w:p>
        </w:tc>
        <w:tc>
          <w:tcPr/>
          <w:p>
            <w:pPr>
              <w:pStyle w:val="Compact"/>
            </w:pPr>
            <w:r>
              <w:t xml:space="preserve">21</w:t>
            </w:r>
          </w:p>
        </w:tc>
      </w:tr>
      <w:tr>
        <w:tc>
          <w:tcPr/>
          <w:p>
            <w:pPr>
              <w:pStyle w:val="Compact"/>
            </w:pPr>
            <w:r>
              <w:t xml:space="preserve">International student support</w:t>
            </w:r>
          </w:p>
        </w:tc>
        <w:tc>
          <w:tcPr/>
          <w:p>
            <w:pPr>
              <w:pStyle w:val="Compact"/>
            </w:pPr>
            <w:r>
              <w:t xml:space="preserve">121</w:t>
            </w:r>
          </w:p>
        </w:tc>
        <w:tc>
          <w:tcPr/>
          <w:p>
            <w:pPr>
              <w:pStyle w:val="Compact"/>
            </w:pPr>
            <w:r>
              <w:t xml:space="preserve">100</w:t>
            </w:r>
          </w:p>
        </w:tc>
        <w:tc>
          <w:tcPr/>
          <w:p>
            <w:pPr>
              <w:pStyle w:val="Compact"/>
            </w:pPr>
            <w:r>
              <w:t xml:space="preserve">20</w:t>
            </w:r>
          </w:p>
        </w:tc>
      </w:tr>
      <w:tr>
        <w:tc>
          <w:tcPr/>
          <w:p>
            <w:pPr>
              <w:pStyle w:val="Compact"/>
            </w:pPr>
            <w:r>
              <w:t xml:space="preserve">Wellbeing &amp; health</w:t>
            </w:r>
          </w:p>
        </w:tc>
        <w:tc>
          <w:tcPr/>
          <w:p>
            <w:pPr>
              <w:pStyle w:val="Compact"/>
            </w:pPr>
            <w:r>
              <w:t xml:space="preserve">17</w:t>
            </w:r>
          </w:p>
        </w:tc>
        <w:tc>
          <w:tcPr/>
          <w:p>
            <w:pPr>
              <w:pStyle w:val="Compact"/>
            </w:pPr>
            <w:r>
              <w:t xml:space="preserve">46</w:t>
            </w:r>
          </w:p>
        </w:tc>
        <w:tc>
          <w:tcPr/>
          <w:p>
            <w:pPr>
              <w:pStyle w:val="Compact"/>
            </w:pPr>
            <w:r>
              <w:t xml:space="preserve">17</w:t>
            </w:r>
          </w:p>
        </w:tc>
      </w:tr>
      <w:tr>
        <w:tc>
          <w:tcPr/>
          <w:p>
            <w:pPr>
              <w:pStyle w:val="Compact"/>
            </w:pPr>
            <w:r>
              <w:t xml:space="preserve">Scholarships</w:t>
            </w:r>
          </w:p>
        </w:tc>
        <w:tc>
          <w:tcPr/>
          <w:p>
            <w:pPr>
              <w:pStyle w:val="Compact"/>
            </w:pPr>
            <w:r>
              <w:t xml:space="preserve">75</w:t>
            </w:r>
          </w:p>
        </w:tc>
        <w:tc>
          <w:tcPr/>
          <w:p>
            <w:pPr>
              <w:pStyle w:val="Compact"/>
            </w:pPr>
            <w:r>
              <w:t xml:space="preserve">113</w:t>
            </w:r>
          </w:p>
        </w:tc>
        <w:tc>
          <w:tcPr/>
          <w:p>
            <w:pPr>
              <w:pStyle w:val="Compact"/>
            </w:pPr>
            <w:r>
              <w:t xml:space="preserve">1</w:t>
            </w:r>
          </w:p>
        </w:tc>
      </w:tr>
    </w:tbl>
    <w:p>
      <w:pPr>
        <w:pStyle w:val="BodyText"/>
      </w:pPr>
      <w:r>
        <w:t xml:space="preserve">These are the same services —</w:t>
      </w:r>
      <w:r>
        <w:t xml:space="preserve"> </w:t>
      </w:r>
      <w:r>
        <w:t xml:space="preserve">“help me find work,”</w:t>
      </w:r>
      <w:r>
        <w:t xml:space="preserve"> </w:t>
      </w:r>
      <w:r>
        <w:t xml:space="preserve">“help me belong,”</w:t>
      </w:r>
      <w:r>
        <w:t xml:space="preserve"> </w:t>
      </w:r>
      <w:r>
        <w:t xml:space="preserve">“help me stay well”</w:t>
      </w:r>
      <w:r>
        <w:t xml:space="preserve"> </w:t>
      </w:r>
      <w:r>
        <w:t xml:space="preserve">— written three times in three different voices (glossy/marketing, functional/transactional, nostalgic/networked) for the same person at different ages. The genuinely stage-specific content — placements, course plans, research candidature — is exactly the content that should stay with faculties.</w:t>
      </w:r>
    </w:p>
    <w:bookmarkEnd w:id="25"/>
    <w:bookmarkStart w:id="26" w:name="the-research-paradox"/>
    <w:p>
      <w:pPr>
        <w:pStyle w:val="Heading3"/>
      </w:pPr>
      <w:r>
        <w:t xml:space="preserve">4.4 The research paradox</w:t>
      </w:r>
    </w:p>
    <w:p>
      <w:pPr>
        <w:pStyle w:val="FirstParagraph"/>
      </w:pPr>
      <w:r>
        <w:t xml:space="preserve">The faculties with the largest research profiles support their research students the least. MDHS — 63 research pages, the largest research estate in the University — provides exactly</w:t>
      </w:r>
      <w:r>
        <w:t xml:space="preserve"> </w:t>
      </w:r>
      <w:r>
        <w:rPr>
          <w:b/>
          <w:bCs/>
        </w:rPr>
        <w:t xml:space="preserve">one</w:t>
      </w:r>
      <w:r>
        <w:t xml:space="preserve"> </w:t>
      </w:r>
      <w:r>
        <w:t xml:space="preserve">page of HDR candidature support for its research students. Science (60 research pages) provides six. Education (44 research pages) provides zero. The research function is run as a reputation asset, decoupled from the research-student experience.</w:t>
      </w:r>
    </w:p>
    <w:p>
      <w:r>
        <w:pict>
          <v:rect style="width:0;height:1.5pt" o:hralign="center" o:hrstd="t" o:hr="t"/>
        </w:pict>
      </w:r>
    </w:p>
    <w:bookmarkEnd w:id="26"/>
    <w:bookmarkEnd w:id="27"/>
    <w:bookmarkStart w:id="32" w:name="priority-recommendations"/>
    <w:p>
      <w:pPr>
        <w:pStyle w:val="Heading2"/>
      </w:pPr>
      <w:r>
        <w:t xml:space="preserve">5. Priority Recommendations</w:t>
      </w:r>
    </w:p>
    <w:p>
      <w:pPr>
        <w:pStyle w:val="FirstParagraph"/>
      </w:pPr>
      <w:r>
        <w:t xml:space="preserve">These recommendations follow a</w:t>
      </w:r>
      <w:r>
        <w:t xml:space="preserve"> </w:t>
      </w:r>
      <w:r>
        <w:t xml:space="preserve">“connect, don’t consolidate”</w:t>
      </w:r>
      <w:r>
        <w:t xml:space="preserve"> </w:t>
      </w:r>
      <w:r>
        <w:t xml:space="preserve">principle. The majority of faculty content — placements, course plans, discipline-specific skills, clubs — is legitimately faculty-owned and should not be centralised. The target is the thin duplicative layer sitting on top of legitimate content, and the missing seams between lifecycle stages.</w:t>
      </w:r>
    </w:p>
    <w:bookmarkStart w:id="28" w:name="high-priority-fix-the-seams"/>
    <w:p>
      <w:pPr>
        <w:pStyle w:val="Heading3"/>
      </w:pPr>
      <w:r>
        <w:t xml:space="preserve">High Priority — Fix the seams</w:t>
      </w:r>
    </w:p>
    <w:p>
      <w:pPr>
        <w:pStyle w:val="FirstParagraph"/>
      </w:pPr>
      <w:r>
        <w:rPr>
          <w:b/>
          <w:bCs/>
        </w:rPr>
        <w:t xml:space="preserve">1. Add a graduation → alumni bridge.</w:t>
      </w:r>
      <w:r>
        <w:t xml:space="preserve"> </w:t>
      </w:r>
      <w:r>
        <w:t xml:space="preserve">Create a page at students.unimelb.edu.au/graduating that introduces graduate benefits (lifetime library access, alumni email, career tools, global chapters), links to the Welcome New Alumni page, and surfaces the alumni mentoring connection. This is a single page that closes the most broken handoff in the estate.</w:t>
      </w:r>
    </w:p>
    <w:p>
      <w:pPr>
        <w:pStyle w:val="BodyText"/>
      </w:pPr>
      <w:r>
        <w:rPr>
          <w:b/>
          <w:bCs/>
        </w:rPr>
        <w:t xml:space="preserve">2. Connect faculty careers to alumni mentoring.</w:t>
      </w:r>
      <w:r>
        <w:t xml:space="preserve"> </w:t>
      </w:r>
      <w:r>
        <w:t xml:space="preserve">Add cross-links between the eight faculty careers/mentoring pages and the alumni mentoring network. A final-year student in a faculty mentoring program and the program they graduate into should reference each other. This is a linking exercise, not a content migration.</w:t>
      </w:r>
    </w:p>
    <w:p>
      <w:pPr>
        <w:pStyle w:val="BodyText"/>
      </w:pPr>
      <w:r>
        <w:rPr>
          <w:b/>
          <w:bCs/>
        </w:rPr>
        <w:t xml:space="preserve">3. Add a placements discovery page to students.unimelb.edu.au.</w:t>
      </w:r>
      <w:r>
        <w:t xml:space="preserve"> </w:t>
      </w:r>
      <w:r>
        <w:t xml:space="preserve">Placements are the largest genuinely faculty-owned topic (207 pages) and the central hub has zero content. A single page linking to each faculty’s placement office, framed as</w:t>
      </w:r>
      <w:r>
        <w:t xml:space="preserve"> </w:t>
      </w:r>
      <w:r>
        <w:t xml:space="preserve">“find placements and internships in your discipline,”</w:t>
      </w:r>
      <w:r>
        <w:t xml:space="preserve"> </w:t>
      </w:r>
      <w:r>
        <w:t xml:space="preserve">would close the most significant central gap without attempting to centralise what belongs with faculties.</w:t>
      </w:r>
    </w:p>
    <w:p>
      <w:pPr>
        <w:pStyle w:val="BodyText"/>
      </w:pPr>
      <w:r>
        <w:rPr>
          <w:b/>
          <w:bCs/>
        </w:rPr>
        <w:t xml:space="preserve">4. Decommission faculty special consideration pages.</w:t>
      </w:r>
      <w:r>
        <w:t xml:space="preserve"> </w:t>
      </w:r>
      <w:r>
        <w:t xml:space="preserve">25 pages restating a single central policy with no faculty-specific content. Replace with redirects to the students.unimelb.edu.au canonical URL. The highest-impact, lowest-effort consolidation in the estate.</w:t>
      </w:r>
    </w:p>
    <w:bookmarkEnd w:id="28"/>
    <w:bookmarkStart w:id="29" w:name="high-priority-standardise-the-experience"/>
    <w:p>
      <w:pPr>
        <w:pStyle w:val="Heading3"/>
      </w:pPr>
      <w:r>
        <w:t xml:space="preserve">High Priority — Standardise the experience</w:t>
      </w:r>
    </w:p>
    <w:p>
      <w:pPr>
        <w:pStyle w:val="FirstParagraph"/>
      </w:pPr>
      <w:r>
        <w:rPr>
          <w:b/>
          <w:bCs/>
        </w:rPr>
        <w:t xml:space="preserve">5. Standardise one URL convention.</w:t>
      </w:r>
      <w:r>
        <w:t xml:space="preserve"> </w:t>
      </w:r>
      <w:r>
        <w:t xml:space="preserve">Adopt</w:t>
      </w:r>
      <w:r>
        <w:t xml:space="preserve"> </w:t>
      </w:r>
      <w:r>
        <w:rPr>
          <w:rStyle w:val="VerbatimChar"/>
        </w:rPr>
        <w:t xml:space="preserve">/students</w:t>
      </w:r>
      <w:r>
        <w:t xml:space="preserve"> </w:t>
      </w:r>
      <w:r>
        <w:t xml:space="preserve">as the single URL path for current-student content across all faculties and schools. The current five-convention mess means no student can guess where their faculty’s information lives.</w:t>
      </w:r>
    </w:p>
    <w:p>
      <w:pPr>
        <w:pStyle w:val="BodyText"/>
      </w:pPr>
      <w:r>
        <w:rPr>
          <w:b/>
          <w:bCs/>
        </w:rPr>
        <w:t xml:space="preserve">6. Establish a shared vocabulary.</w:t>
      </w:r>
      <w:r>
        <w:t xml:space="preserve"> </w:t>
      </w:r>
      <w:r>
        <w:t xml:space="preserve">Agree one canonical label per function —</w:t>
      </w:r>
      <w:r>
        <w:t xml:space="preserve"> </w:t>
      </w:r>
      <w:r>
        <w:t xml:space="preserve">“Careers”</w:t>
      </w:r>
      <w:r>
        <w:t xml:space="preserve"> </w:t>
      </w:r>
      <w:r>
        <w:t xml:space="preserve">(not</w:t>
      </w:r>
      <w:r>
        <w:t xml:space="preserve"> </w:t>
      </w:r>
      <w:r>
        <w:t xml:space="preserve">“Employability in X”</w:t>
      </w:r>
      <w:r>
        <w:t xml:space="preserve"> </w:t>
      </w:r>
      <w:r>
        <w:t xml:space="preserve">/</w:t>
      </w:r>
      <w:r>
        <w:t xml:space="preserve"> </w:t>
      </w:r>
      <w:r>
        <w:t xml:space="preserve">“Career Elevation”</w:t>
      </w:r>
      <w:r>
        <w:t xml:space="preserve"> </w:t>
      </w:r>
      <w:r>
        <w:t xml:space="preserve">/</w:t>
      </w:r>
      <w:r>
        <w:t xml:space="preserve"> </w:t>
      </w:r>
      <w:r>
        <w:t xml:space="preserve">“Career Launchpad”</w:t>
      </w:r>
      <w:r>
        <w:t xml:space="preserve">),</w:t>
      </w:r>
      <w:r>
        <w:t xml:space="preserve"> </w:t>
      </w:r>
      <w:r>
        <w:t xml:space="preserve">“Student forms”</w:t>
      </w:r>
      <w:r>
        <w:t xml:space="preserve"> </w:t>
      </w:r>
      <w:r>
        <w:t xml:space="preserve">(not five different labels),</w:t>
      </w:r>
      <w:r>
        <w:t xml:space="preserve"> </w:t>
      </w:r>
      <w:r>
        <w:t xml:space="preserve">“Orientation”</w:t>
      </w:r>
      <w:r>
        <w:t xml:space="preserve"> </w:t>
      </w:r>
      <w:r>
        <w:t xml:space="preserve">— and enforce them across page titles, navigation, and search facets before any navigation redesign.</w:t>
      </w:r>
    </w:p>
    <w:p>
      <w:pPr>
        <w:pStyle w:val="BodyText"/>
      </w:pPr>
      <w:r>
        <w:rPr>
          <w:b/>
          <w:bCs/>
        </w:rPr>
        <w:t xml:space="preserve">7. Issue the Education/Arts model as a mandated standard.</w:t>
      </w:r>
      <w:r>
        <w:t xml:space="preserve"> </w:t>
      </w:r>
      <w:r>
        <w:t xml:space="preserve">Education and Arts already demonstrate the</w:t>
      </w:r>
      <w:r>
        <w:t xml:space="preserve"> </w:t>
      </w:r>
      <w:r>
        <w:t xml:space="preserve">“central-and-spoke”</w:t>
      </w:r>
      <w:r>
        <w:t xml:space="preserve"> </w:t>
      </w:r>
      <w:r>
        <w:t xml:space="preserve">pattern: a lean set of top-level sections that link out to students.unimelb.edu.au for shared services while keeping faculty-specific content. This pattern exists; it has never been issued as a requirement. Turn it into a published, mandated template with an adoption deadline.</w:t>
      </w:r>
    </w:p>
    <w:bookmarkEnd w:id="29"/>
    <w:bookmarkStart w:id="30" w:name="medium-priority-close-the-central-gaps"/>
    <w:p>
      <w:pPr>
        <w:pStyle w:val="Heading3"/>
      </w:pPr>
      <w:r>
        <w:t xml:space="preserve">Medium Priority — Close the central gaps</w:t>
      </w:r>
    </w:p>
    <w:p>
      <w:pPr>
        <w:pStyle w:val="FirstParagraph"/>
      </w:pPr>
      <w:r>
        <w:rPr>
          <w:b/>
          <w:bCs/>
        </w:rPr>
        <w:t xml:space="preserve">8. Build enrolled-student mirrors for Graduate Degree Package pages.</w:t>
      </w:r>
      <w:r>
        <w:t xml:space="preserve"> </w:t>
      </w:r>
      <w:r>
        <w:t xml:space="preserve">The enrolled-student pathway product lives on a prospective site. Build mirrors on students.unimelb.edu.au framed for students already enrolled.</w:t>
      </w:r>
    </w:p>
    <w:p>
      <w:pPr>
        <w:pStyle w:val="BodyText"/>
      </w:pPr>
      <w:r>
        <w:rPr>
          <w:b/>
          <w:bCs/>
        </w:rPr>
        <w:t xml:space="preserve">9. Add a scholarship gateway to students.unimelb.edu.au.</w:t>
      </w:r>
      <w:r>
        <w:t xml:space="preserve"> </w:t>
      </w:r>
      <w:r>
        <w:t xml:space="preserve">One page at students.unimelb.edu.au/fees-scholarships/scholarships that routes enrolled students to scholarships.unimelb.edu.au. This would remove the primary motivation for faculty shadow scholarship sub-sites.</w:t>
      </w:r>
    </w:p>
    <w:p>
      <w:pPr>
        <w:pStyle w:val="BodyText"/>
      </w:pPr>
      <w:r>
        <w:rPr>
          <w:b/>
          <w:bCs/>
        </w:rPr>
        <w:t xml:space="preserve">10. Build a central HDR candidature spine.</w:t>
      </w:r>
      <w:r>
        <w:t xml:space="preserve"> </w:t>
      </w:r>
      <w:r>
        <w:t xml:space="preserve">The faculties that do this well (Arts, Engineering, Business) built their candidature content independently because no central model existed. Add an HDR section to students.unimelb.edu.au covering confirmation milestones, progress reviews, and thesis submission — then link faculty candidature pages into it.</w:t>
      </w:r>
    </w:p>
    <w:p>
      <w:pPr>
        <w:pStyle w:val="BodyText"/>
      </w:pPr>
      <w:r>
        <w:rPr>
          <w:b/>
          <w:bCs/>
        </w:rPr>
        <w:t xml:space="preserve">11. Add a</w:t>
      </w:r>
      <w:r>
        <w:rPr>
          <w:b/>
          <w:bCs/>
        </w:rPr>
        <w:t xml:space="preserve"> </w:t>
      </w:r>
      <w:r>
        <w:rPr>
          <w:b/>
          <w:bCs/>
        </w:rPr>
        <w:t xml:space="preserve">“find your community”</w:t>
      </w:r>
      <w:r>
        <w:rPr>
          <w:b/>
          <w:bCs/>
        </w:rPr>
        <w:t xml:space="preserve"> </w:t>
      </w:r>
      <w:r>
        <w:rPr>
          <w:b/>
          <w:bCs/>
        </w:rPr>
        <w:t xml:space="preserve">directory to students.unimelb.edu.au.</w:t>
      </w:r>
      <w:r>
        <w:t xml:space="preserve"> </w:t>
      </w:r>
      <w:r>
        <w:t xml:space="preserve">Faculty clubs, societies, and ensembles are owned in the right place but invisible from the central hub. A directory linking out to each faculty’s community page would centralise discovery while leaving ownership where it belongs.</w:t>
      </w:r>
    </w:p>
    <w:bookmarkEnd w:id="30"/>
    <w:bookmarkStart w:id="31" w:name="medium-priority-governance"/>
    <w:p>
      <w:pPr>
        <w:pStyle w:val="Heading3"/>
      </w:pPr>
      <w:r>
        <w:t xml:space="preserve">Medium Priority — Governance</w:t>
      </w:r>
    </w:p>
    <w:p>
      <w:pPr>
        <w:pStyle w:val="FirstParagraph"/>
      </w:pPr>
      <w:r>
        <w:rPr>
          <w:b/>
          <w:bCs/>
        </w:rPr>
        <w:t xml:space="preserve">12. Publish a content ownership framework.</w:t>
      </w:r>
      <w:r>
        <w:t xml:space="preserve"> </w:t>
      </w:r>
      <w:r>
        <w:t xml:space="preserve">A single-page policy stating which services are centrally-owned (transactional admin, general careers, central scholarships, general academic skills) and which are faculty-owned (placements, course plans, discipline-specific skills, clubs). Without this, nothing else holds.</w:t>
      </w:r>
    </w:p>
    <w:p>
      <w:pPr>
        <w:pStyle w:val="BodyText"/>
      </w:pPr>
      <w:r>
        <w:rPr>
          <w:b/>
          <w:bCs/>
        </w:rPr>
        <w:t xml:space="preserve">13. Establish an annual content retirement cycle.</w:t>
      </w:r>
      <w:r>
        <w:t xml:space="preserve"> </w:t>
      </w:r>
      <w:r>
        <w:t xml:space="preserve">Content that accumulates per-year (scholarship rounds, Dean’s Lists, award galleries, studio archives) must have a retirement mechanism. Archive historical cycles to a separate path and ensure the current-student estate shows only the current year’s content.</w:t>
      </w:r>
    </w:p>
    <w:p>
      <w:r>
        <w:pict>
          <v:rect style="width:0;height:1.5pt" o:hralign="center" o:hrstd="t" o:hr="t"/>
        </w:pict>
      </w:r>
    </w:p>
    <w:bookmarkEnd w:id="31"/>
    <w:bookmarkEnd w:id="32"/>
    <w:bookmarkStart w:id="33" w:name="appendix-the-estate-by-the-numbers"/>
    <w:p>
      <w:pPr>
        <w:pStyle w:val="Heading2"/>
      </w:pPr>
      <w:r>
        <w:t xml:space="preserve">Appendix: The Estate by the Numbers</w:t>
      </w:r>
    </w:p>
    <w:p>
      <w:pPr>
        <w:pStyle w:val="FirstParagraph"/>
      </w:pPr>
      <w:r>
        <w:t xml:space="preserve">A comprehensive crawl of 18 domains totalling</w:t>
      </w:r>
      <w:r>
        <w:t xml:space="preserve"> </w:t>
      </w:r>
      <w:r>
        <w:rPr>
          <w:b/>
          <w:bCs/>
        </w:rPr>
        <w:t xml:space="preserve">33,507 pages</w:t>
      </w:r>
      <w:r>
        <w:t xml:space="preserve"> </w:t>
      </w:r>
      <w:r>
        <w:t xml:space="preserve">with full HTML archives was conducted in June 2026. The following table summarises each site’s current-student content volume.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Pages</w:t>
            </w:r>
          </w:p>
        </w:tc>
        <w:tc>
          <w:tcPr/>
          <w:p>
            <w:pPr>
              <w:pStyle w:val="Compact"/>
            </w:pPr>
            <w:r>
              <w:t xml:space="preserve">Role</w:t>
            </w:r>
          </w:p>
        </w:tc>
      </w:tr>
      <w:tr>
        <w:tc>
          <w:tcPr/>
          <w:p>
            <w:pPr>
              <w:pStyle w:val="Compact"/>
            </w:pPr>
            <w:r>
              <w:t xml:space="preserve">students.unimelb.edu.au</w:t>
            </w:r>
          </w:p>
        </w:tc>
        <w:tc>
          <w:tcPr/>
          <w:p>
            <w:pPr>
              <w:pStyle w:val="Compact"/>
            </w:pPr>
            <w:r>
              <w:t xml:space="preserve">833</w:t>
            </w:r>
          </w:p>
        </w:tc>
        <w:tc>
          <w:tcPr/>
          <w:p>
            <w:pPr>
              <w:pStyle w:val="Compact"/>
            </w:pPr>
            <w:r>
              <w:t xml:space="preserve">Central student hub</w:t>
            </w:r>
          </w:p>
        </w:tc>
      </w:tr>
      <w:tr>
        <w:tc>
          <w:tcPr/>
          <w:p>
            <w:pPr>
              <w:pStyle w:val="Compact"/>
            </w:pPr>
            <w:r>
              <w:t xml:space="preserve">study.unimelb.edu.au</w:t>
            </w:r>
          </w:p>
        </w:tc>
        <w:tc>
          <w:tcPr/>
          <w:p>
            <w:pPr>
              <w:pStyle w:val="Compact"/>
            </w:pPr>
            <w:r>
              <w:t xml:space="preserve">4,048</w:t>
            </w:r>
          </w:p>
        </w:tc>
        <w:tc>
          <w:tcPr/>
          <w:p>
            <w:pPr>
              <w:pStyle w:val="Compact"/>
            </w:pPr>
            <w:r>
              <w:t xml:space="preserve">Prospective student site</w:t>
            </w:r>
          </w:p>
        </w:tc>
      </w:tr>
      <w:tr>
        <w:tc>
          <w:tcPr/>
          <w:p>
            <w:pPr>
              <w:pStyle w:val="Compact"/>
            </w:pPr>
            <w:r>
              <w:t xml:space="preserve">msd.unimelb.edu.au</w:t>
            </w:r>
          </w:p>
        </w:tc>
        <w:tc>
          <w:tcPr/>
          <w:p>
            <w:pPr>
              <w:pStyle w:val="Compact"/>
            </w:pPr>
            <w:r>
              <w:t xml:space="preserve">2,348</w:t>
            </w:r>
          </w:p>
        </w:tc>
        <w:tc>
          <w:tcPr/>
          <w:p>
            <w:pPr>
              <w:pStyle w:val="Compact"/>
            </w:pPr>
            <w:r>
              <w:t xml:space="preserve">Architecture, Building &amp; Planning</w:t>
            </w:r>
          </w:p>
        </w:tc>
      </w:tr>
      <w:tr>
        <w:tc>
          <w:tcPr/>
          <w:p>
            <w:pPr>
              <w:pStyle w:val="Compact"/>
            </w:pPr>
            <w:r>
              <w:t xml:space="preserve">arts.unimelb.edu.au</w:t>
            </w:r>
          </w:p>
        </w:tc>
        <w:tc>
          <w:tcPr/>
          <w:p>
            <w:pPr>
              <w:pStyle w:val="Compact"/>
            </w:pPr>
            <w:r>
              <w:t xml:space="preserve">2,446</w:t>
            </w:r>
          </w:p>
        </w:tc>
        <w:tc>
          <w:tcPr/>
          <w:p>
            <w:pPr>
              <w:pStyle w:val="Compact"/>
            </w:pPr>
            <w:r>
              <w:t xml:space="preserve">Arts</w:t>
            </w:r>
          </w:p>
        </w:tc>
      </w:tr>
      <w:tr>
        <w:tc>
          <w:tcPr/>
          <w:p>
            <w:pPr>
              <w:pStyle w:val="Compact"/>
            </w:pPr>
            <w:r>
              <w:t xml:space="preserve">fbe.unimelb.edu.au</w:t>
            </w:r>
          </w:p>
        </w:tc>
        <w:tc>
          <w:tcPr/>
          <w:p>
            <w:pPr>
              <w:pStyle w:val="Compact"/>
            </w:pPr>
            <w:r>
              <w:t xml:space="preserve">2,241</w:t>
            </w:r>
          </w:p>
        </w:tc>
        <w:tc>
          <w:tcPr/>
          <w:p>
            <w:pPr>
              <w:pStyle w:val="Compact"/>
            </w:pPr>
            <w:r>
              <w:t xml:space="preserve">Business &amp; Economics</w:t>
            </w:r>
          </w:p>
        </w:tc>
      </w:tr>
      <w:tr>
        <w:tc>
          <w:tcPr/>
          <w:p>
            <w:pPr>
              <w:pStyle w:val="Compact"/>
            </w:pPr>
            <w:r>
              <w:t xml:space="preserve">education.unimelb.edu.au</w:t>
            </w:r>
          </w:p>
        </w:tc>
        <w:tc>
          <w:tcPr/>
          <w:p>
            <w:pPr>
              <w:pStyle w:val="Compact"/>
            </w:pPr>
            <w:r>
              <w:t xml:space="preserve">852</w:t>
            </w:r>
          </w:p>
        </w:tc>
        <w:tc>
          <w:tcPr/>
          <w:p>
            <w:pPr>
              <w:pStyle w:val="Compact"/>
            </w:pPr>
            <w:r>
              <w:t xml:space="preserve">Education</w:t>
            </w:r>
          </w:p>
        </w:tc>
      </w:tr>
      <w:tr>
        <w:tc>
          <w:tcPr/>
          <w:p>
            <w:pPr>
              <w:pStyle w:val="Compact"/>
            </w:pPr>
            <w:r>
              <w:t xml:space="preserve">eng.unimelb.edu.au</w:t>
            </w:r>
          </w:p>
        </w:tc>
        <w:tc>
          <w:tcPr/>
          <w:p>
            <w:pPr>
              <w:pStyle w:val="Compact"/>
            </w:pPr>
            <w:r>
              <w:t xml:space="preserve">1,985</w:t>
            </w:r>
          </w:p>
        </w:tc>
        <w:tc>
          <w:tcPr/>
          <w:p>
            <w:pPr>
              <w:pStyle w:val="Compact"/>
            </w:pPr>
            <w:r>
              <w:t xml:space="preserve">Engineering &amp; IT</w:t>
            </w:r>
          </w:p>
        </w:tc>
      </w:tr>
      <w:tr>
        <w:tc>
          <w:tcPr/>
          <w:p>
            <w:pPr>
              <w:pStyle w:val="Compact"/>
            </w:pPr>
            <w:r>
              <w:t xml:space="preserve">finearts-music.unimelb.edu.au</w:t>
            </w:r>
          </w:p>
        </w:tc>
        <w:tc>
          <w:tcPr/>
          <w:p>
            <w:pPr>
              <w:pStyle w:val="Compact"/>
            </w:pPr>
            <w:r>
              <w:t xml:space="preserve">1,444</w:t>
            </w:r>
          </w:p>
        </w:tc>
        <w:tc>
          <w:tcPr/>
          <w:p>
            <w:pPr>
              <w:pStyle w:val="Compact"/>
            </w:pPr>
            <w:r>
              <w:t xml:space="preserve">Fine Arts &amp; Music</w:t>
            </w:r>
          </w:p>
        </w:tc>
      </w:tr>
      <w:tr>
        <w:tc>
          <w:tcPr/>
          <w:p>
            <w:pPr>
              <w:pStyle w:val="Compact"/>
            </w:pPr>
            <w:r>
              <w:t xml:space="preserve">law.unimelb.edu.au</w:t>
            </w:r>
          </w:p>
        </w:tc>
        <w:tc>
          <w:tcPr/>
          <w:p>
            <w:pPr>
              <w:pStyle w:val="Compact"/>
            </w:pPr>
            <w:r>
              <w:t xml:space="preserve">3,188</w:t>
            </w:r>
          </w:p>
        </w:tc>
        <w:tc>
          <w:tcPr/>
          <w:p>
            <w:pPr>
              <w:pStyle w:val="Compact"/>
            </w:pPr>
            <w:r>
              <w:t xml:space="preserve">Melbourne Law School</w:t>
            </w:r>
          </w:p>
        </w:tc>
      </w:tr>
      <w:tr>
        <w:tc>
          <w:tcPr/>
          <w:p>
            <w:pPr>
              <w:pStyle w:val="Compact"/>
            </w:pPr>
            <w:r>
              <w:t xml:space="preserve">medicine.unimelb.edu.au</w:t>
            </w:r>
          </w:p>
        </w:tc>
        <w:tc>
          <w:tcPr/>
          <w:p>
            <w:pPr>
              <w:pStyle w:val="Compact"/>
            </w:pPr>
            <w:r>
              <w:t xml:space="preserve">3,213</w:t>
            </w:r>
          </w:p>
        </w:tc>
        <w:tc>
          <w:tcPr/>
          <w:p>
            <w:pPr>
              <w:pStyle w:val="Compact"/>
            </w:pPr>
            <w:r>
              <w:t xml:space="preserve">Medicine (MDHS faculty)</w:t>
            </w:r>
          </w:p>
        </w:tc>
      </w:tr>
      <w:tr>
        <w:tc>
          <w:tcPr/>
          <w:p>
            <w:pPr>
              <w:pStyle w:val="Compact"/>
            </w:pPr>
            <w:r>
              <w:t xml:space="preserve">mdhs.unimelb.edu.au</w:t>
            </w:r>
          </w:p>
        </w:tc>
        <w:tc>
          <w:tcPr/>
          <w:p>
            <w:pPr>
              <w:pStyle w:val="Compact"/>
            </w:pPr>
            <w:r>
              <w:t xml:space="preserve">6,072</w:t>
            </w:r>
          </w:p>
        </w:tc>
        <w:tc>
          <w:tcPr/>
          <w:p>
            <w:pPr>
              <w:pStyle w:val="Compact"/>
            </w:pPr>
            <w:r>
              <w:t xml:space="preserve">MDHS (Medicine, Dentistry &amp; Health Sciences)</w:t>
            </w:r>
          </w:p>
        </w:tc>
      </w:tr>
      <w:tr>
        <w:tc>
          <w:tcPr/>
          <w:p>
            <w:pPr>
              <w:pStyle w:val="Compact"/>
            </w:pPr>
            <w:r>
              <w:t xml:space="preserve">science.unimelb.edu.au</w:t>
            </w:r>
          </w:p>
        </w:tc>
        <w:tc>
          <w:tcPr/>
          <w:p>
            <w:pPr>
              <w:pStyle w:val="Compact"/>
            </w:pPr>
            <w:r>
              <w:t xml:space="preserve">420</w:t>
            </w:r>
          </w:p>
        </w:tc>
        <w:tc>
          <w:tcPr/>
          <w:p>
            <w:pPr>
              <w:pStyle w:val="Compact"/>
            </w:pPr>
            <w:r>
              <w:t xml:space="preserve">Science</w:t>
            </w:r>
          </w:p>
        </w:tc>
      </w:tr>
      <w:tr>
        <w:tc>
          <w:tcPr/>
          <w:p>
            <w:pPr>
              <w:pStyle w:val="Compact"/>
            </w:pPr>
            <w:r>
              <w:t xml:space="preserve">mbs.unimelb.edu.au</w:t>
            </w:r>
          </w:p>
        </w:tc>
        <w:tc>
          <w:tcPr/>
          <w:p>
            <w:pPr>
              <w:pStyle w:val="Compact"/>
            </w:pPr>
            <w:r>
              <w:t xml:space="preserve">83</w:t>
            </w:r>
          </w:p>
        </w:tc>
        <w:tc>
          <w:tcPr/>
          <w:p>
            <w:pPr>
              <w:pStyle w:val="Compact"/>
            </w:pPr>
            <w:r>
              <w:t xml:space="preserve">Melbourne Business School</w:t>
            </w:r>
          </w:p>
        </w:tc>
      </w:tr>
      <w:tr>
        <w:tc>
          <w:tcPr/>
          <w:p>
            <w:pPr>
              <w:pStyle w:val="Compact"/>
            </w:pPr>
            <w:r>
              <w:t xml:space="preserve">biomedicalsciences.unimelb.edu.au</w:t>
            </w:r>
          </w:p>
        </w:tc>
        <w:tc>
          <w:tcPr/>
          <w:p>
            <w:pPr>
              <w:pStyle w:val="Compact"/>
            </w:pPr>
            <w:r>
              <w:t xml:space="preserve">1,584</w:t>
            </w:r>
          </w:p>
        </w:tc>
        <w:tc>
          <w:tcPr/>
          <w:p>
            <w:pPr>
              <w:pStyle w:val="Compact"/>
            </w:pPr>
            <w:r>
              <w:t xml:space="preserve">Biomedical Sciences</w:t>
            </w:r>
          </w:p>
        </w:tc>
      </w:tr>
      <w:tr>
        <w:tc>
          <w:tcPr/>
          <w:p>
            <w:pPr>
              <w:pStyle w:val="Compact"/>
            </w:pPr>
            <w:r>
              <w:t xml:space="preserve">dental.unimelb.edu.au</w:t>
            </w:r>
          </w:p>
        </w:tc>
        <w:tc>
          <w:tcPr/>
          <w:p>
            <w:pPr>
              <w:pStyle w:val="Compact"/>
            </w:pPr>
            <w:r>
              <w:t xml:space="preserve">204</w:t>
            </w:r>
          </w:p>
        </w:tc>
        <w:tc>
          <w:tcPr/>
          <w:p>
            <w:pPr>
              <w:pStyle w:val="Compact"/>
            </w:pPr>
            <w:r>
              <w:t xml:space="preserve">Dental School</w:t>
            </w:r>
          </w:p>
        </w:tc>
      </w:tr>
      <w:tr>
        <w:tc>
          <w:tcPr/>
          <w:p>
            <w:pPr>
              <w:pStyle w:val="Compact"/>
            </w:pPr>
            <w:r>
              <w:t xml:space="preserve">services.unimelb.edu.au</w:t>
            </w:r>
          </w:p>
        </w:tc>
        <w:tc>
          <w:tcPr/>
          <w:p>
            <w:pPr>
              <w:pStyle w:val="Compact"/>
            </w:pPr>
            <w:r>
              <w:t xml:space="preserve">176</w:t>
            </w:r>
          </w:p>
        </w:tc>
        <w:tc>
          <w:tcPr/>
          <w:p>
            <w:pPr>
              <w:pStyle w:val="Compact"/>
            </w:pPr>
            <w:r>
              <w:t xml:space="preserve">University services</w:t>
            </w:r>
          </w:p>
        </w:tc>
      </w:tr>
      <w:tr>
        <w:tc>
          <w:tcPr/>
          <w:p>
            <w:pPr>
              <w:pStyle w:val="Compact"/>
            </w:pPr>
            <w:r>
              <w:t xml:space="preserve">scholarships.unimelb.edu.au</w:t>
            </w:r>
          </w:p>
        </w:tc>
        <w:tc>
          <w:tcPr/>
          <w:p>
            <w:pPr>
              <w:pStyle w:val="Compact"/>
            </w:pPr>
            <w:r>
              <w:t xml:space="preserve">2,226</w:t>
            </w:r>
          </w:p>
        </w:tc>
        <w:tc>
          <w:tcPr/>
          <w:p>
            <w:pPr>
              <w:pStyle w:val="Compact"/>
            </w:pPr>
            <w:r>
              <w:t xml:space="preserve">Scholarships platform</w:t>
            </w:r>
          </w:p>
        </w:tc>
      </w:tr>
      <w:tr>
        <w:tc>
          <w:tcPr/>
          <w:p>
            <w:pPr>
              <w:pStyle w:val="Compact"/>
            </w:pPr>
            <w:r>
              <w:t xml:space="preserve">www.unimelb.edu.au/alumni</w:t>
            </w:r>
          </w:p>
        </w:tc>
        <w:tc>
          <w:tcPr/>
          <w:p>
            <w:pPr>
              <w:pStyle w:val="Compact"/>
            </w:pPr>
            <w:r>
              <w:t xml:space="preserve">137</w:t>
            </w:r>
          </w:p>
        </w:tc>
        <w:tc>
          <w:tcPr/>
          <w:p>
            <w:pPr>
              <w:pStyle w:val="Compact"/>
            </w:pPr>
            <w:r>
              <w:t xml:space="preserve">Alumni</w:t>
            </w:r>
          </w:p>
        </w:tc>
      </w:tr>
    </w:tbl>
    <w:p>
      <w:r>
        <w:pict>
          <v:rect style="width:0;height:1.5pt" o:hralign="center" o:hrstd="t" o:hr="t"/>
        </w:pict>
      </w:r>
    </w:p>
    <w:p>
      <w:pPr>
        <w:pStyle w:val="FirstParagraph"/>
      </w:pPr>
      <w:r>
        <w:rPr>
          <w:i/>
          <w:iCs/>
        </w:rPr>
        <w:t xml:space="preserve">This report is based on a comprehensive crawl of the University of Melbourne’s public web estate conducted in June 2026. All findings are drawn from analysis of page content, link structures, navigation taxonomies, and cross-site topic distributions across 33,507 pages on 18 domains. No technical crawl methodology is described here; the evidence behind each finding is available in the accompanying technical audit documents.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2026-06-25T11:35:55Z</dcterms:created>
  <dcterms:modified xsi:type="dcterms:W3CDTF">2026-06-25T11:35:55Z</dcterms:modified>
</cp:coreProperties>
</file>

<file path=docProps/custom.xml><?xml version="1.0" encoding="utf-8"?>
<Properties xmlns="http://schemas.openxmlformats.org/officeDocument/2006/custom-properties" xmlns:vt="http://schemas.openxmlformats.org/officeDocument/2006/docPropsVTypes"/>
</file>