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4 -->
  <w:body>
    <w:p w:rsidR="00814869" w:rsidP="009C1AFA" w14:paraId="0C6B79C0" w14:textId="43B12BE1">
      <w:pPr>
        <w:jc w:val="center"/>
        <w:rPr>
          <w:b/>
        </w:rPr>
      </w:pPr>
      <w:bookmarkStart w:id="0" w:name="_GoBack"/>
      <w:bookmarkEnd w:id="0"/>
      <w:r w:rsidRPr="0070224F">
        <w:rPr>
          <w:rFonts w:ascii="Times New Roman Bold" w:hAnsi="Times New Roman Bold"/>
          <w:b/>
          <w:kern w:val="0"/>
          <w:szCs w:val="22"/>
        </w:rPr>
        <w:t>Before</w:t>
      </w:r>
      <w:r>
        <w:rPr>
          <w:b/>
        </w:rPr>
        <w:t xml:space="preserve"> the</w:t>
      </w:r>
    </w:p>
    <w:p w:rsidR="00814869" w:rsidP="00814869" w14:paraId="122A7845" w14:textId="77777777">
      <w:pPr>
        <w:pStyle w:val="StyleBoldCentered"/>
      </w:pPr>
      <w:r>
        <w:t>F</w:t>
      </w:r>
      <w:r>
        <w:rPr>
          <w:caps w:val="0"/>
        </w:rPr>
        <w:t>ederal Communications Commission</w:t>
      </w:r>
    </w:p>
    <w:p w:rsidR="00814869" w:rsidP="00814869" w14:paraId="0254A76B" w14:textId="77777777">
      <w:pPr>
        <w:pStyle w:val="StyleBoldCentered"/>
      </w:pPr>
      <w:r>
        <w:rPr>
          <w:caps w:val="0"/>
        </w:rPr>
        <w:t>Washington, D.C. 20554</w:t>
      </w:r>
    </w:p>
    <w:p w:rsidR="00814869" w:rsidP="00814869" w14:paraId="04A757C4" w14:textId="77777777"/>
    <w:p w:rsidR="00814869" w:rsidP="00814869" w14:paraId="22DEADE8" w14:textId="77777777"/>
    <w:tbl>
      <w:tblPr>
        <w:tblW w:w="0" w:type="auto"/>
        <w:tblLayout w:type="fixed"/>
        <w:tblLook w:val="0000"/>
      </w:tblPr>
      <w:tblGrid>
        <w:gridCol w:w="4698"/>
        <w:gridCol w:w="630"/>
        <w:gridCol w:w="4248"/>
      </w:tblGrid>
      <w:tr w14:paraId="691BB445" w14:textId="77777777" w:rsidTr="000C0434">
        <w:tblPrEx>
          <w:tblW w:w="0" w:type="auto"/>
          <w:tblLayout w:type="fixed"/>
          <w:tblLook w:val="0000"/>
        </w:tblPrEx>
        <w:tc>
          <w:tcPr>
            <w:tcW w:w="4698" w:type="dxa"/>
          </w:tcPr>
          <w:p w:rsidR="00814869" w:rsidRPr="00845FFD" w:rsidP="000C0434" w14:paraId="53C2747D" w14:textId="77777777">
            <w:pPr>
              <w:tabs>
                <w:tab w:val="center" w:pos="4680"/>
              </w:tabs>
              <w:suppressAutoHyphens/>
              <w:rPr>
                <w:spacing w:val="-2"/>
              </w:rPr>
            </w:pPr>
            <w:r w:rsidRPr="00845FFD">
              <w:rPr>
                <w:spacing w:val="-2"/>
              </w:rPr>
              <w:t>In the Matter of</w:t>
            </w:r>
          </w:p>
          <w:p w:rsidR="00814869" w:rsidRPr="00845FFD" w:rsidP="000C0434" w14:paraId="65FBBA7C" w14:textId="77777777">
            <w:pPr>
              <w:tabs>
                <w:tab w:val="center" w:pos="4680"/>
              </w:tabs>
              <w:suppressAutoHyphens/>
              <w:rPr>
                <w:spacing w:val="-2"/>
              </w:rPr>
            </w:pPr>
          </w:p>
          <w:p w:rsidR="00814869" w:rsidRPr="00845FFD" w:rsidP="000C0434" w14:paraId="052E0BC1" w14:textId="77777777">
            <w:pPr>
              <w:tabs>
                <w:tab w:val="center" w:pos="4680"/>
              </w:tabs>
              <w:suppressAutoHyphens/>
              <w:rPr>
                <w:spacing w:val="-2"/>
              </w:rPr>
            </w:pPr>
            <w:r w:rsidRPr="00845FFD">
              <w:rPr>
                <w:spacing w:val="-2"/>
              </w:rPr>
              <w:t>Space Exploration Holdings, LLC</w:t>
            </w:r>
          </w:p>
          <w:p w:rsidR="00814869" w:rsidRPr="00845FFD" w:rsidP="000C0434" w14:paraId="5285A362" w14:textId="77777777">
            <w:pPr>
              <w:tabs>
                <w:tab w:val="center" w:pos="4680"/>
              </w:tabs>
              <w:suppressAutoHyphens/>
              <w:rPr>
                <w:spacing w:val="-2"/>
              </w:rPr>
            </w:pPr>
          </w:p>
          <w:p w:rsidR="00814869" w:rsidRPr="00845FFD" w:rsidP="000C0434" w14:paraId="6BD9D040" w14:textId="77777777">
            <w:pPr>
              <w:tabs>
                <w:tab w:val="center" w:pos="4680"/>
              </w:tabs>
              <w:suppressAutoHyphens/>
              <w:rPr>
                <w:spacing w:val="-2"/>
              </w:rPr>
            </w:pPr>
            <w:r w:rsidRPr="00845FFD">
              <w:rPr>
                <w:spacing w:val="-2"/>
              </w:rPr>
              <w:t>Request for Modification of the Authorization</w:t>
            </w:r>
          </w:p>
          <w:p w:rsidR="00814869" w:rsidRPr="00845FFD" w:rsidP="000C0434" w14:paraId="4CA98F14" w14:textId="3EFB727C">
            <w:pPr>
              <w:tabs>
                <w:tab w:val="center" w:pos="4680"/>
              </w:tabs>
              <w:suppressAutoHyphens/>
              <w:rPr>
                <w:spacing w:val="-2"/>
              </w:rPr>
            </w:pPr>
            <w:r w:rsidRPr="00845FFD">
              <w:rPr>
                <w:spacing w:val="-2"/>
              </w:rPr>
              <w:t>For the SpaceX NGSO Satellite System</w:t>
            </w:r>
          </w:p>
        </w:tc>
        <w:tc>
          <w:tcPr>
            <w:tcW w:w="630" w:type="dxa"/>
          </w:tcPr>
          <w:p w:rsidR="00814869" w:rsidRPr="00845FFD" w:rsidP="000C0434" w14:paraId="1FE2DB3E" w14:textId="77777777">
            <w:pPr>
              <w:tabs>
                <w:tab w:val="center" w:pos="4680"/>
              </w:tabs>
              <w:suppressAutoHyphens/>
              <w:rPr>
                <w:b/>
                <w:spacing w:val="-2"/>
              </w:rPr>
            </w:pPr>
            <w:r w:rsidRPr="00845FFD">
              <w:rPr>
                <w:b/>
                <w:spacing w:val="-2"/>
              </w:rPr>
              <w:t>)</w:t>
            </w:r>
          </w:p>
          <w:p w:rsidR="00814869" w:rsidRPr="00845FFD" w:rsidP="000C0434" w14:paraId="5D019F5B" w14:textId="77777777">
            <w:pPr>
              <w:tabs>
                <w:tab w:val="center" w:pos="4680"/>
              </w:tabs>
              <w:suppressAutoHyphens/>
              <w:rPr>
                <w:b/>
                <w:spacing w:val="-2"/>
              </w:rPr>
            </w:pPr>
            <w:r w:rsidRPr="00845FFD">
              <w:rPr>
                <w:b/>
                <w:spacing w:val="-2"/>
              </w:rPr>
              <w:t>)</w:t>
            </w:r>
          </w:p>
          <w:p w:rsidR="00814869" w:rsidRPr="00845FFD" w:rsidP="000C0434" w14:paraId="224B4AFD" w14:textId="77777777">
            <w:pPr>
              <w:tabs>
                <w:tab w:val="center" w:pos="4680"/>
              </w:tabs>
              <w:suppressAutoHyphens/>
              <w:rPr>
                <w:b/>
                <w:spacing w:val="-2"/>
              </w:rPr>
            </w:pPr>
            <w:r w:rsidRPr="00845FFD">
              <w:rPr>
                <w:b/>
                <w:spacing w:val="-2"/>
              </w:rPr>
              <w:t>)</w:t>
            </w:r>
          </w:p>
          <w:p w:rsidR="00814869" w:rsidRPr="00845FFD" w:rsidP="000C0434" w14:paraId="3D889916" w14:textId="77777777">
            <w:pPr>
              <w:tabs>
                <w:tab w:val="center" w:pos="4680"/>
              </w:tabs>
              <w:suppressAutoHyphens/>
              <w:rPr>
                <w:b/>
                <w:spacing w:val="-2"/>
              </w:rPr>
            </w:pPr>
            <w:r w:rsidRPr="00845FFD">
              <w:rPr>
                <w:b/>
                <w:spacing w:val="-2"/>
              </w:rPr>
              <w:t>)</w:t>
            </w:r>
          </w:p>
          <w:p w:rsidR="00814869" w:rsidRPr="00845FFD" w:rsidP="000C0434" w14:paraId="3C65BE47" w14:textId="77777777">
            <w:pPr>
              <w:tabs>
                <w:tab w:val="center" w:pos="4680"/>
              </w:tabs>
              <w:suppressAutoHyphens/>
              <w:rPr>
                <w:b/>
                <w:spacing w:val="-2"/>
              </w:rPr>
            </w:pPr>
            <w:r w:rsidRPr="00845FFD">
              <w:rPr>
                <w:b/>
                <w:spacing w:val="-2"/>
              </w:rPr>
              <w:t>)</w:t>
            </w:r>
          </w:p>
          <w:p w:rsidR="00814869" w:rsidRPr="00845FFD" w:rsidP="000C0434" w14:paraId="2641891B" w14:textId="77777777">
            <w:pPr>
              <w:tabs>
                <w:tab w:val="center" w:pos="4680"/>
              </w:tabs>
              <w:suppressAutoHyphens/>
              <w:rPr>
                <w:b/>
                <w:spacing w:val="-2"/>
              </w:rPr>
            </w:pPr>
            <w:r w:rsidRPr="00845FFD">
              <w:rPr>
                <w:b/>
                <w:spacing w:val="-2"/>
              </w:rPr>
              <w:t>)</w:t>
            </w:r>
          </w:p>
          <w:p w:rsidR="00814869" w:rsidRPr="00845FFD" w:rsidP="000C0434" w14:paraId="10E45DE5" w14:textId="77777777">
            <w:pPr>
              <w:tabs>
                <w:tab w:val="center" w:pos="4680"/>
              </w:tabs>
              <w:suppressAutoHyphens/>
              <w:rPr>
                <w:spacing w:val="-2"/>
              </w:rPr>
            </w:pPr>
            <w:r w:rsidRPr="00845FFD">
              <w:rPr>
                <w:b/>
                <w:spacing w:val="-2"/>
              </w:rPr>
              <w:t>)</w:t>
            </w:r>
          </w:p>
        </w:tc>
        <w:tc>
          <w:tcPr>
            <w:tcW w:w="4248" w:type="dxa"/>
          </w:tcPr>
          <w:p w:rsidR="00814869" w:rsidRPr="00845FFD" w:rsidP="000C0434" w14:paraId="23F2DE27" w14:textId="77777777">
            <w:pPr>
              <w:tabs>
                <w:tab w:val="center" w:pos="4680"/>
              </w:tabs>
              <w:suppressAutoHyphens/>
              <w:rPr>
                <w:spacing w:val="-2"/>
              </w:rPr>
            </w:pPr>
          </w:p>
          <w:p w:rsidR="00814869" w:rsidRPr="00845FFD" w:rsidP="000C0434" w14:paraId="37414E58" w14:textId="77777777">
            <w:pPr>
              <w:pStyle w:val="TOAHeading"/>
              <w:tabs>
                <w:tab w:val="center" w:pos="4680"/>
                <w:tab w:val="clear" w:pos="9360"/>
              </w:tabs>
              <w:rPr>
                <w:spacing w:val="-2"/>
              </w:rPr>
            </w:pPr>
          </w:p>
          <w:p w:rsidR="00814869" w:rsidRPr="00845FFD" w:rsidP="000C0434" w14:paraId="5F674714" w14:textId="77777777">
            <w:pPr>
              <w:tabs>
                <w:tab w:val="center" w:pos="4680"/>
              </w:tabs>
              <w:suppressAutoHyphens/>
              <w:rPr>
                <w:spacing w:val="-2"/>
              </w:rPr>
            </w:pPr>
            <w:r w:rsidRPr="00845FFD">
              <w:rPr>
                <w:spacing w:val="-2"/>
              </w:rPr>
              <w:t>IBFS File No. SAT-MOD-20181108-00083</w:t>
            </w:r>
          </w:p>
          <w:p w:rsidR="00814869" w:rsidRPr="00845FFD" w:rsidP="000C0434" w14:paraId="181EC48D" w14:textId="77777777">
            <w:pPr>
              <w:tabs>
                <w:tab w:val="center" w:pos="4680"/>
              </w:tabs>
              <w:suppressAutoHyphens/>
              <w:rPr>
                <w:spacing w:val="-2"/>
              </w:rPr>
            </w:pPr>
          </w:p>
          <w:p w:rsidR="00814869" w:rsidRPr="00845FFD" w:rsidP="000C0434" w14:paraId="6F67197B" w14:textId="77777777">
            <w:pPr>
              <w:tabs>
                <w:tab w:val="center" w:pos="4680"/>
              </w:tabs>
              <w:suppressAutoHyphens/>
              <w:rPr>
                <w:spacing w:val="-2"/>
              </w:rPr>
            </w:pPr>
            <w:r w:rsidRPr="00845FFD">
              <w:rPr>
                <w:spacing w:val="-2"/>
              </w:rPr>
              <w:t>Call Signs S2983 and S3018</w:t>
            </w:r>
          </w:p>
          <w:p w:rsidR="00814869" w:rsidRPr="00845FFD" w:rsidP="000C0434" w14:paraId="61496FBA" w14:textId="77777777">
            <w:pPr>
              <w:tabs>
                <w:tab w:val="center" w:pos="4680"/>
              </w:tabs>
              <w:suppressAutoHyphens/>
              <w:rPr>
                <w:spacing w:val="-2"/>
              </w:rPr>
            </w:pPr>
          </w:p>
          <w:p w:rsidR="00814869" w:rsidRPr="00845FFD" w:rsidP="000C0434" w14:paraId="74512C41" w14:textId="6DD61F29">
            <w:pPr>
              <w:tabs>
                <w:tab w:val="center" w:pos="4680"/>
              </w:tabs>
              <w:suppressAutoHyphens/>
              <w:rPr>
                <w:spacing w:val="-2"/>
              </w:rPr>
            </w:pPr>
          </w:p>
        </w:tc>
      </w:tr>
    </w:tbl>
    <w:p w:rsidR="00814869" w:rsidP="00814869" w14:paraId="66DFA23E" w14:textId="77777777"/>
    <w:p w:rsidR="00814869" w:rsidP="00814869" w14:paraId="2C6002EF" w14:textId="77777777">
      <w:pPr>
        <w:pStyle w:val="StyleBoldCentered"/>
      </w:pPr>
      <w:r>
        <w:t>MEMORANDUM OPINION AND ORDER</w:t>
      </w:r>
    </w:p>
    <w:p w:rsidR="00814869" w:rsidP="00814869" w14:paraId="7A5D5F91" w14:textId="77777777">
      <w:pPr>
        <w:tabs>
          <w:tab w:val="left" w:pos="-720"/>
        </w:tabs>
        <w:suppressAutoHyphens/>
        <w:spacing w:line="227" w:lineRule="auto"/>
        <w:rPr>
          <w:spacing w:val="-2"/>
        </w:rPr>
      </w:pPr>
    </w:p>
    <w:p w:rsidR="00814869" w:rsidP="00814869" w14:paraId="6B282839" w14:textId="40FF4750">
      <w:pPr>
        <w:tabs>
          <w:tab w:val="left" w:pos="720"/>
          <w:tab w:val="right" w:pos="9360"/>
        </w:tabs>
        <w:suppressAutoHyphens/>
        <w:spacing w:line="227" w:lineRule="auto"/>
        <w:rPr>
          <w:spacing w:val="-2"/>
        </w:rPr>
      </w:pPr>
      <w:r>
        <w:rPr>
          <w:b/>
          <w:spacing w:val="-2"/>
        </w:rPr>
        <w:t xml:space="preserve">Adopted:  </w:t>
      </w:r>
      <w:r w:rsidR="00AA5E40">
        <w:rPr>
          <w:b/>
          <w:spacing w:val="-2"/>
        </w:rPr>
        <w:t>June 4, 2020</w:t>
      </w:r>
      <w:r>
        <w:rPr>
          <w:b/>
          <w:spacing w:val="-2"/>
        </w:rPr>
        <w:tab/>
        <w:t xml:space="preserve">Released:  </w:t>
      </w:r>
      <w:r w:rsidR="00AA5E40">
        <w:rPr>
          <w:b/>
          <w:spacing w:val="-2"/>
        </w:rPr>
        <w:t>June 4, 2020</w:t>
      </w:r>
    </w:p>
    <w:p w:rsidR="00814869" w:rsidP="00814869" w14:paraId="7E9BF7EF" w14:textId="77777777"/>
    <w:p w:rsidR="00814869" w:rsidP="00814869" w14:paraId="408374F3" w14:textId="77777777">
      <w:pPr>
        <w:rPr>
          <w:spacing w:val="-2"/>
        </w:rPr>
      </w:pPr>
      <w:r>
        <w:t xml:space="preserve">By the </w:t>
      </w:r>
      <w:r>
        <w:rPr>
          <w:spacing w:val="-2"/>
        </w:rPr>
        <w:t>Chief, International Bureau:</w:t>
      </w:r>
    </w:p>
    <w:p w:rsidR="00814869" w:rsidP="00814869" w14:paraId="0E2A6220" w14:textId="77777777">
      <w:pPr>
        <w:rPr>
          <w:spacing w:val="-2"/>
        </w:rPr>
      </w:pPr>
    </w:p>
    <w:p w:rsidR="00814869" w:rsidP="00814869" w14:paraId="0B0322EB" w14:textId="77777777"/>
    <w:p w:rsidR="00814869" w:rsidP="00814869" w14:paraId="125F5B2E" w14:textId="77777777">
      <w:pPr>
        <w:pStyle w:val="Heading1"/>
      </w:pPr>
      <w:r>
        <w:t>INTRODUCTION</w:t>
      </w:r>
    </w:p>
    <w:p w:rsidR="00814869" w:rsidRPr="00D934FA" w:rsidP="00814869" w14:paraId="6F39A3F6" w14:textId="601D4A52">
      <w:pPr>
        <w:pStyle w:val="ParaNum"/>
        <w:tabs>
          <w:tab w:val="num" w:pos="1080"/>
          <w:tab w:val="clear" w:pos="1440"/>
        </w:tabs>
      </w:pPr>
      <w:r>
        <w:t>By this Memorandum Opinion and Order</w:t>
      </w:r>
      <w:r w:rsidRPr="005A21AE">
        <w:t>,</w:t>
      </w:r>
      <w:r>
        <w:t xml:space="preserve"> we address </w:t>
      </w:r>
      <w:r w:rsidR="004F021F">
        <w:t>the p</w:t>
      </w:r>
      <w:r>
        <w:t xml:space="preserve">etitions to reconsider and petition to condition the </w:t>
      </w:r>
      <w:r w:rsidR="0075645D">
        <w:t xml:space="preserve">International Bureau’s </w:t>
      </w:r>
      <w:r w:rsidR="0091608D">
        <w:t xml:space="preserve">April 2019 </w:t>
      </w:r>
      <w:r w:rsidR="0075645D">
        <w:t xml:space="preserve">decision </w:t>
      </w:r>
      <w:r w:rsidR="00C71559">
        <w:t xml:space="preserve">to grant </w:t>
      </w:r>
      <w:r w:rsidR="0075645D">
        <w:t>Space Exploration Holdings, LLC</w:t>
      </w:r>
      <w:r w:rsidR="00C71559">
        <w:t>’s</w:t>
      </w:r>
      <w:r w:rsidR="00196189">
        <w:t xml:space="preserve"> (SpaceX)</w:t>
      </w:r>
      <w:r w:rsidR="0075645D">
        <w:t xml:space="preserve"> </w:t>
      </w:r>
      <w:r w:rsidR="00C71559">
        <w:t xml:space="preserve">request to modify its </w:t>
      </w:r>
      <w:r>
        <w:t xml:space="preserve">authorized </w:t>
      </w:r>
      <w:r w:rsidR="00CD7C80">
        <w:t>non-geostationary satellite orbit (</w:t>
      </w:r>
      <w:r>
        <w:t>NGSO</w:t>
      </w:r>
      <w:r w:rsidR="00CD7C80">
        <w:t>) fixed-satellite service</w:t>
      </w:r>
      <w:r>
        <w:t xml:space="preserve"> </w:t>
      </w:r>
      <w:r w:rsidR="00CD7C80">
        <w:t>(</w:t>
      </w:r>
      <w:r>
        <w:t>FSS</w:t>
      </w:r>
      <w:r w:rsidR="00CD7C80">
        <w:t>)</w:t>
      </w:r>
      <w:r w:rsidR="00C71559">
        <w:t xml:space="preserve"> constellation</w:t>
      </w:r>
      <w:r>
        <w:t xml:space="preserve"> </w:t>
      </w:r>
      <w:r>
        <w:rPr>
          <w:rStyle w:val="FootnoteReference"/>
        </w:rPr>
        <w:footnoteReference w:id="3"/>
      </w:r>
      <w:r w:rsidRPr="00EB026E">
        <w:t xml:space="preserve"> </w:t>
      </w:r>
      <w:r w:rsidR="007004E0">
        <w:t xml:space="preserve"> </w:t>
      </w:r>
      <w:r w:rsidR="0075645D">
        <w:t>Specifically, w</w:t>
      </w:r>
      <w:r>
        <w:t>e grant in part and deny in part the Petition for Reconsideration and Petition to Condition</w:t>
      </w:r>
      <w:r w:rsidRPr="002857D8">
        <w:t xml:space="preserve"> filed by WorldVu Satellites Limited (</w:t>
      </w:r>
      <w:r w:rsidR="001A3277">
        <w:t>OneWeb</w:t>
      </w:r>
      <w:r w:rsidRPr="00E46786">
        <w:t>)</w:t>
      </w:r>
      <w:r>
        <w:t>;</w:t>
      </w:r>
      <w:r>
        <w:rPr>
          <w:rStyle w:val="FootnoteReference"/>
        </w:rPr>
        <w:footnoteReference w:id="4"/>
      </w:r>
      <w:r>
        <w:t xml:space="preserve"> and </w:t>
      </w:r>
      <w:r w:rsidR="00DC0571">
        <w:t>dismiss</w:t>
      </w:r>
      <w:r>
        <w:t xml:space="preserve"> the </w:t>
      </w:r>
      <w:r w:rsidR="00FF6FD0">
        <w:t xml:space="preserve">Petition for Reconsideration filed by </w:t>
      </w:r>
      <w:r>
        <w:t xml:space="preserve"> Kepler Communications, Inc.</w:t>
      </w:r>
      <w:r>
        <w:rPr>
          <w:rStyle w:val="FootnoteReference"/>
        </w:rPr>
        <w:footnoteReference w:id="5"/>
      </w:r>
      <w:r w:rsidRPr="00E46786">
        <w:t xml:space="preserve">  </w:t>
      </w:r>
    </w:p>
    <w:p w:rsidR="00814869" w:rsidP="00814869" w14:paraId="115413AC" w14:textId="77777777">
      <w:pPr>
        <w:pStyle w:val="Heading1"/>
      </w:pPr>
      <w:r>
        <w:t>BACKGROUND</w:t>
      </w:r>
    </w:p>
    <w:p w:rsidR="00814869" w:rsidRPr="00EA1709" w:rsidP="00814869" w14:paraId="61837856" w14:textId="179F476C">
      <w:pPr>
        <w:pStyle w:val="ParaNum"/>
        <w:tabs>
          <w:tab w:val="num" w:pos="1080"/>
          <w:tab w:val="clear" w:pos="1440"/>
        </w:tabs>
      </w:pPr>
      <w:r>
        <w:t xml:space="preserve">On April 26, 2019, the International Bureau </w:t>
      </w:r>
      <w:r w:rsidR="008646CF">
        <w:t xml:space="preserve">(the Bureau) </w:t>
      </w:r>
      <w:r>
        <w:t xml:space="preserve">granted SpaceX’s request to modify its original </w:t>
      </w:r>
      <w:r w:rsidR="00B06178">
        <w:t>authorization to</w:t>
      </w:r>
      <w:r w:rsidR="0075645D">
        <w:t>, among other things,</w:t>
      </w:r>
      <w:r w:rsidR="0053070C">
        <w:t xml:space="preserve"> </w:t>
      </w:r>
      <w:r>
        <w:t xml:space="preserve">reduce the number of satellites in </w:t>
      </w:r>
      <w:r w:rsidR="003119AE">
        <w:t xml:space="preserve">its </w:t>
      </w:r>
      <w:r>
        <w:t xml:space="preserve">constellation from 4,425 to 4,409 and </w:t>
      </w:r>
      <w:r w:rsidR="0053070C">
        <w:t xml:space="preserve">to </w:t>
      </w:r>
      <w:r>
        <w:t>reduce the operating altitude of 1,584 of these satellites from 1,150 km to 550 km.</w:t>
      </w:r>
      <w:r w:rsidR="0053070C">
        <w:t xml:space="preserve"> </w:t>
      </w:r>
      <w:r>
        <w:t xml:space="preserve"> On March 28, 2019, SpaceX filed applications for six Ku-band gateway </w:t>
      </w:r>
      <w:r w:rsidR="003119AE">
        <w:t>e</w:t>
      </w:r>
      <w:r w:rsidR="000C0434">
        <w:t>arth</w:t>
      </w:r>
      <w:r>
        <w:t xml:space="preserve"> stations intended for use with its NGSO FSS system.</w:t>
      </w:r>
      <w:r>
        <w:rPr>
          <w:rStyle w:val="FootnoteReference"/>
        </w:rPr>
        <w:footnoteReference w:id="6"/>
      </w:r>
      <w:r>
        <w:t xml:space="preserve">  SpaceX </w:t>
      </w:r>
      <w:r w:rsidR="008646CF">
        <w:t>s</w:t>
      </w:r>
      <w:r>
        <w:t xml:space="preserve">ubsequently filed amendments on April 8, 2019, </w:t>
      </w:r>
      <w:r w:rsidR="00425E4C">
        <w:t xml:space="preserve">to </w:t>
      </w:r>
      <w:r>
        <w:t>increas</w:t>
      </w:r>
      <w:r w:rsidR="00425E4C">
        <w:t>e</w:t>
      </w:r>
      <w:r>
        <w:t xml:space="preserve"> the </w:t>
      </w:r>
      <w:r>
        <w:t xml:space="preserve">number of antennas at each gateway </w:t>
      </w:r>
      <w:r w:rsidR="000C0434">
        <w:t>Earth</w:t>
      </w:r>
      <w:r>
        <w:t xml:space="preserve"> station from one to four.</w:t>
      </w:r>
      <w:r>
        <w:rPr>
          <w:rStyle w:val="FootnoteReference"/>
        </w:rPr>
        <w:footnoteReference w:id="7"/>
      </w:r>
      <w:r w:rsidR="00425E4C">
        <w:t xml:space="preserve">  These applications remain pending</w:t>
      </w:r>
      <w:r w:rsidR="00EB1FF0">
        <w:t>.</w:t>
      </w:r>
      <w:r>
        <w:rPr>
          <w:rStyle w:val="FootnoteReference"/>
        </w:rPr>
        <w:footnoteReference w:id="8"/>
      </w:r>
    </w:p>
    <w:p w:rsidR="00814869" w:rsidP="00814869" w14:paraId="59420FAB" w14:textId="77777777">
      <w:pPr>
        <w:pStyle w:val="Heading1"/>
      </w:pPr>
      <w:r>
        <w:t>DISCUSSION</w:t>
      </w:r>
    </w:p>
    <w:p w:rsidR="00814869" w:rsidRPr="00B46F61" w:rsidP="00814869" w14:paraId="565FECA9" w14:textId="78CBA637">
      <w:pPr>
        <w:pStyle w:val="Heading2"/>
      </w:pPr>
      <w:r>
        <w:t>OneWeb</w:t>
      </w:r>
      <w:r>
        <w:t>’s Petition</w:t>
      </w:r>
    </w:p>
    <w:p w:rsidR="00650A2F" w:rsidRPr="001A3277" w:rsidP="00814869" w14:paraId="1ABA31E4" w14:textId="5FA6CF99">
      <w:pPr>
        <w:pStyle w:val="ParaNum"/>
        <w:tabs>
          <w:tab w:val="num" w:pos="1080"/>
          <w:tab w:val="clear" w:pos="1440"/>
        </w:tabs>
        <w:rPr>
          <w:snapToGrid/>
        </w:rPr>
      </w:pPr>
      <w:r>
        <w:t>OneWeb</w:t>
      </w:r>
      <w:r w:rsidR="00814869">
        <w:t xml:space="preserve"> claims </w:t>
      </w:r>
      <w:r w:rsidR="00501356">
        <w:t xml:space="preserve">that </w:t>
      </w:r>
      <w:r w:rsidR="00814869">
        <w:t xml:space="preserve">the </w:t>
      </w:r>
      <w:r w:rsidR="00814869">
        <w:rPr>
          <w:i/>
        </w:rPr>
        <w:t>First Modification Order</w:t>
      </w:r>
      <w:r w:rsidR="00814869">
        <w:t xml:space="preserve"> does not properly consider evidence that SpaceX’s modified constellation will impact the interference environment for other systems.</w:t>
      </w:r>
      <w:r>
        <w:rPr>
          <w:rStyle w:val="FootnoteReference"/>
        </w:rPr>
        <w:footnoteReference w:id="9"/>
      </w:r>
      <w:r w:rsidR="00814869">
        <w:t xml:space="preserve">  In particular, </w:t>
      </w:r>
      <w:r>
        <w:t>OneWeb</w:t>
      </w:r>
      <w:r w:rsidR="00814869">
        <w:t xml:space="preserve"> claims that if the SpaceX system itself becomes more susceptible to </w:t>
      </w:r>
      <w:r w:rsidR="00517E60">
        <w:t xml:space="preserve">uplink </w:t>
      </w:r>
      <w:r w:rsidR="00814869">
        <w:t>interference, there will be an increase in the number and duration of in-line interference events.</w:t>
      </w:r>
      <w:r>
        <w:rPr>
          <w:rStyle w:val="FootnoteReference"/>
        </w:rPr>
        <w:footnoteReference w:id="10"/>
      </w:r>
      <w:r w:rsidR="00814869">
        <w:t xml:space="preserve">  Those events, if coordination is either ongoing or unsuccessful, will trigger the band-splitting mechanism described in </w:t>
      </w:r>
      <w:r w:rsidR="005819CD">
        <w:t>s</w:t>
      </w:r>
      <w:r w:rsidR="00814869">
        <w:t>ection 25.261 of the Commission’s rule</w:t>
      </w:r>
      <w:r w:rsidR="00626079">
        <w:t>s.</w:t>
      </w:r>
      <w:r>
        <w:rPr>
          <w:rStyle w:val="FootnoteReference"/>
        </w:rPr>
        <w:footnoteReference w:id="11"/>
      </w:r>
      <w:r w:rsidR="00814869">
        <w:t xml:space="preserve">  In addition, </w:t>
      </w:r>
      <w:r>
        <w:t>OneWeb</w:t>
      </w:r>
      <w:r w:rsidR="00814869">
        <w:t xml:space="preserve"> contends that, contrary to the Bureau’s analysis, SpaceX’s use of Ku-band gateway </w:t>
      </w:r>
      <w:r w:rsidR="00501356">
        <w:t>e</w:t>
      </w:r>
      <w:r w:rsidR="000C0434">
        <w:t>arth</w:t>
      </w:r>
      <w:r w:rsidR="00814869">
        <w:t xml:space="preserve"> stations will increase interference into other NGSO FSS systems</w:t>
      </w:r>
      <w:r w:rsidR="00594099">
        <w:t>.</w:t>
      </w:r>
      <w:r>
        <w:rPr>
          <w:rStyle w:val="FootnoteReference"/>
        </w:rPr>
        <w:footnoteReference w:id="12"/>
      </w:r>
      <w:r w:rsidR="00814869">
        <w:t xml:space="preserve"> </w:t>
      </w:r>
      <w:r w:rsidR="003D68AE">
        <w:t xml:space="preserve"> </w:t>
      </w:r>
      <w:r w:rsidR="00594099">
        <w:t xml:space="preserve">Finally, </w:t>
      </w:r>
      <w:r>
        <w:t>OneWeb</w:t>
      </w:r>
      <w:r w:rsidR="00594099">
        <w:t xml:space="preserve"> claims the reduction in operating altitude of its satellites will </w:t>
      </w:r>
      <w:r w:rsidR="00814869">
        <w:t xml:space="preserve">make SpaceX’s gateway </w:t>
      </w:r>
      <w:r w:rsidR="00501356">
        <w:t>e</w:t>
      </w:r>
      <w:r w:rsidR="000C0434">
        <w:t>arth</w:t>
      </w:r>
      <w:r w:rsidR="00814869">
        <w:t xml:space="preserve"> stations more susceptible to interference.</w:t>
      </w:r>
      <w:r>
        <w:rPr>
          <w:rStyle w:val="FootnoteReference"/>
        </w:rPr>
        <w:footnoteReference w:id="13"/>
      </w:r>
      <w:r w:rsidR="009F47E2">
        <w:t xml:space="preserve">  </w:t>
      </w:r>
      <w:r>
        <w:t>OneWeb</w:t>
      </w:r>
      <w:r w:rsidR="00BD18E9">
        <w:t xml:space="preserve"> requests </w:t>
      </w:r>
      <w:r w:rsidR="00D6475C">
        <w:t xml:space="preserve">that </w:t>
      </w:r>
      <w:r w:rsidR="00BD18E9">
        <w:t xml:space="preserve">the </w:t>
      </w:r>
      <w:r>
        <w:t xml:space="preserve">Bureau </w:t>
      </w:r>
      <w:r w:rsidR="00BD18E9">
        <w:t xml:space="preserve">rescind the Modification Order or, alternatively, condition SpaceX’s space station license, </w:t>
      </w:r>
      <w:r w:rsidR="00693107">
        <w:t>e</w:t>
      </w:r>
      <w:r w:rsidR="00BD18E9">
        <w:t>arth station license</w:t>
      </w:r>
      <w:r w:rsidR="00D6475C">
        <w:t>s</w:t>
      </w:r>
      <w:r w:rsidR="00BD18E9">
        <w:t xml:space="preserve">, or both, to mitigate </w:t>
      </w:r>
      <w:r>
        <w:t>OneWeb</w:t>
      </w:r>
      <w:r w:rsidR="00BD18E9">
        <w:t>’s concerns.</w:t>
      </w:r>
      <w:r>
        <w:rPr>
          <w:rStyle w:val="FootnoteReference"/>
        </w:rPr>
        <w:footnoteReference w:id="14"/>
      </w:r>
      <w:r w:rsidR="00BD18E9">
        <w:t xml:space="preserve"> </w:t>
      </w:r>
      <w:r w:rsidR="00E945BE">
        <w:t xml:space="preserve"> </w:t>
      </w:r>
      <w:r w:rsidR="00541CDD">
        <w:t xml:space="preserve">In response, </w:t>
      </w:r>
      <w:r w:rsidR="009F47E2">
        <w:t xml:space="preserve">SpaceX claims </w:t>
      </w:r>
      <w:r>
        <w:t>OneWeb</w:t>
      </w:r>
      <w:r w:rsidR="009F47E2">
        <w:t>’s Pe</w:t>
      </w:r>
      <w:r w:rsidR="003A41A0">
        <w:t>t</w:t>
      </w:r>
      <w:r w:rsidR="009F47E2">
        <w:t>ition is procedurally flawed and also oppose</w:t>
      </w:r>
      <w:r w:rsidR="00F315D3">
        <w:t xml:space="preserve">s </w:t>
      </w:r>
      <w:r>
        <w:t>OneWeb</w:t>
      </w:r>
      <w:r w:rsidR="00F315D3">
        <w:t>’s technical challenges.</w:t>
      </w:r>
      <w:r>
        <w:rPr>
          <w:rStyle w:val="FootnoteReference"/>
        </w:rPr>
        <w:footnoteReference w:id="15"/>
      </w:r>
      <w:r w:rsidR="00423516">
        <w:t xml:space="preserve"> </w:t>
      </w:r>
      <w:r w:rsidR="00E945BE">
        <w:t xml:space="preserve"> </w:t>
      </w:r>
    </w:p>
    <w:p w:rsidR="00814869" w:rsidP="00814869" w14:paraId="3906EB8F" w14:textId="7CC57B67">
      <w:pPr>
        <w:pStyle w:val="ParaNum"/>
        <w:tabs>
          <w:tab w:val="num" w:pos="1080"/>
          <w:tab w:val="clear" w:pos="1440"/>
        </w:tabs>
        <w:rPr>
          <w:snapToGrid/>
        </w:rPr>
      </w:pPr>
      <w:r>
        <w:t>As discussed below, w</w:t>
      </w:r>
      <w:r w:rsidR="00423516">
        <w:t xml:space="preserve">e decline to rescind the First Modification Order as </w:t>
      </w:r>
      <w:r w:rsidR="001A3277">
        <w:t>OneWeb</w:t>
      </w:r>
      <w:r w:rsidR="00423516">
        <w:t xml:space="preserve"> requests</w:t>
      </w:r>
      <w:r>
        <w:t xml:space="preserve">.  Rather in the </w:t>
      </w:r>
      <w:r w:rsidR="00267850">
        <w:t>alternative</w:t>
      </w:r>
      <w:r w:rsidR="00650A2F">
        <w:t>,</w:t>
      </w:r>
      <w:r w:rsidR="00363533">
        <w:t xml:space="preserve"> based on concerns raised by </w:t>
      </w:r>
      <w:r w:rsidR="001A3277">
        <w:t>OneWeb</w:t>
      </w:r>
      <w:r w:rsidR="00363533">
        <w:t>,</w:t>
      </w:r>
      <w:r w:rsidR="00267850">
        <w:t xml:space="preserve"> we adopt a</w:t>
      </w:r>
      <w:r w:rsidR="00650A2F">
        <w:t xml:space="preserve"> new condition</w:t>
      </w:r>
      <w:r w:rsidR="00267850">
        <w:t xml:space="preserve"> for the modified SpaceX system</w:t>
      </w:r>
      <w:r>
        <w:t>.</w:t>
      </w:r>
      <w:r w:rsidR="00363533">
        <w:t xml:space="preserve"> </w:t>
      </w:r>
      <w:r w:rsidR="00267850">
        <w:t xml:space="preserve"> </w:t>
      </w:r>
    </w:p>
    <w:p w:rsidR="00814869" w:rsidRPr="00E42007" w:rsidP="00814869" w14:paraId="59879075" w14:textId="36945E97">
      <w:pPr>
        <w:pStyle w:val="ParaNum"/>
        <w:tabs>
          <w:tab w:val="num" w:pos="1080"/>
          <w:tab w:val="clear" w:pos="1440"/>
        </w:tabs>
        <w:rPr>
          <w:snapToGrid/>
        </w:rPr>
      </w:pPr>
      <w:r>
        <w:rPr>
          <w:i/>
        </w:rPr>
        <w:t>Procedural I</w:t>
      </w:r>
      <w:r w:rsidRPr="0091608D">
        <w:rPr>
          <w:i/>
        </w:rPr>
        <w:t>ssu</w:t>
      </w:r>
      <w:r w:rsidR="00541CDD">
        <w:rPr>
          <w:i/>
        </w:rPr>
        <w:t>e</w:t>
      </w:r>
      <w:r w:rsidR="00541CDD">
        <w:rPr>
          <w:iCs/>
        </w:rPr>
        <w:t>.</w:t>
      </w:r>
      <w:r w:rsidRPr="00745344">
        <w:t xml:space="preserve"> </w:t>
      </w:r>
      <w:r>
        <w:t xml:space="preserve"> </w:t>
      </w:r>
      <w:r w:rsidR="009F47E2">
        <w:t xml:space="preserve">As an initial matter, </w:t>
      </w:r>
      <w:r w:rsidRPr="007F3417">
        <w:t xml:space="preserve">SpaceX contends that </w:t>
      </w:r>
      <w:r w:rsidR="001A3277">
        <w:t>OneWeb</w:t>
      </w:r>
      <w:r w:rsidRPr="007F3417">
        <w:t xml:space="preserve"> is barred from raising new interference claims </w:t>
      </w:r>
      <w:r w:rsidR="00A349F7">
        <w:t>under s</w:t>
      </w:r>
      <w:r w:rsidRPr="007F3417">
        <w:t>ection 1.106(c)</w:t>
      </w:r>
      <w:r w:rsidR="00A349F7">
        <w:t xml:space="preserve"> of the Commission’s rules</w:t>
      </w:r>
      <w:r>
        <w:t xml:space="preserve">, which states that </w:t>
      </w:r>
      <w:r w:rsidR="001C1077">
        <w:t>“</w:t>
      </w:r>
      <w:r>
        <w:t>a petition for reconsideration which relies on facts or arguments not previously presented to the Commission or to the designated authority</w:t>
      </w:r>
      <w:r w:rsidR="001C1077">
        <w:t>”</w:t>
      </w:r>
      <w:r>
        <w:t xml:space="preserve"> may </w:t>
      </w:r>
      <w:r w:rsidR="001C1077">
        <w:t xml:space="preserve">only </w:t>
      </w:r>
      <w:r>
        <w:t xml:space="preserve">be granted when </w:t>
      </w:r>
      <w:r w:rsidR="001C1077">
        <w:t>“</w:t>
      </w:r>
      <w:r>
        <w:t xml:space="preserve">the facts or arguments fall under one or more </w:t>
      </w:r>
      <w:r w:rsidR="001C1077">
        <w:t xml:space="preserve">of the </w:t>
      </w:r>
      <w:r>
        <w:t xml:space="preserve">categories as set forth in </w:t>
      </w:r>
      <w:r w:rsidR="00E54FC0">
        <w:t>s</w:t>
      </w:r>
      <w:r>
        <w:t>ection 1.106(b)(2),</w:t>
      </w:r>
      <w:r w:rsidR="001C1077">
        <w:t>”</w:t>
      </w:r>
      <w:r>
        <w:t xml:space="preserve"> or when </w:t>
      </w:r>
      <w:r w:rsidR="001C1077">
        <w:t>“</w:t>
      </w:r>
      <w:r>
        <w:t>the Commission or designated authority determines that consideration of the facts or arguments relied on is required in the public interest</w:t>
      </w:r>
      <w:r w:rsidRPr="007F3417">
        <w:t>.</w:t>
      </w:r>
      <w:r w:rsidR="001C1077">
        <w:t>”</w:t>
      </w:r>
      <w:r>
        <w:rPr>
          <w:vertAlign w:val="superscript"/>
        </w:rPr>
        <w:footnoteReference w:id="16"/>
      </w:r>
      <w:r w:rsidRPr="007F3417">
        <w:t xml:space="preserve"> </w:t>
      </w:r>
      <w:r>
        <w:t xml:space="preserve"> We acknowledge that </w:t>
      </w:r>
      <w:r w:rsidR="001A3277">
        <w:t>OneWeb</w:t>
      </w:r>
      <w:r>
        <w:t xml:space="preserve"> does in fact raise new interference claims in its </w:t>
      </w:r>
      <w:r w:rsidR="00DF3620">
        <w:t>p</w:t>
      </w:r>
      <w:r>
        <w:t>etition,</w:t>
      </w:r>
      <w:r>
        <w:rPr>
          <w:rStyle w:val="FootnoteReference"/>
        </w:rPr>
        <w:footnoteReference w:id="17"/>
      </w:r>
      <w:r>
        <w:t xml:space="preserve"> but we find, for the reasons set forth below, that these new claims satisfy the requirements of </w:t>
      </w:r>
      <w:r w:rsidR="0075645D">
        <w:t>s</w:t>
      </w:r>
      <w:r>
        <w:t xml:space="preserve">ection 1.106(c) and that we </w:t>
      </w:r>
      <w:r>
        <w:t>may consider them.</w:t>
      </w:r>
      <w:r>
        <w:rPr>
          <w:rStyle w:val="FootnoteReference"/>
        </w:rPr>
        <w:footnoteReference w:id="18"/>
      </w:r>
      <w:r>
        <w:t xml:space="preserve">  </w:t>
      </w:r>
    </w:p>
    <w:p w:rsidR="00814869" w:rsidRPr="00B41F91" w:rsidP="00814869" w14:paraId="40BDCB98" w14:textId="74F48888">
      <w:pPr>
        <w:pStyle w:val="ParaNum"/>
        <w:tabs>
          <w:tab w:val="num" w:pos="1080"/>
          <w:tab w:val="clear" w:pos="1440"/>
        </w:tabs>
        <w:rPr>
          <w:snapToGrid/>
        </w:rPr>
      </w:pPr>
      <w:r>
        <w:t>OneWeb</w:t>
      </w:r>
      <w:r>
        <w:t xml:space="preserve">’s claims pertaining to SpaceX’s Ku-band gateway </w:t>
      </w:r>
      <w:r w:rsidR="00501356">
        <w:t>e</w:t>
      </w:r>
      <w:r w:rsidR="000C0434">
        <w:t>arth</w:t>
      </w:r>
      <w:r>
        <w:t xml:space="preserve"> stations are based on applications placed on public notice on May 1, 2019, several days after the </w:t>
      </w:r>
      <w:r w:rsidRPr="00B41F91">
        <w:rPr>
          <w:i/>
        </w:rPr>
        <w:t>First Modification Order</w:t>
      </w:r>
      <w:r>
        <w:t xml:space="preserve"> was released on April 26, 2019.</w:t>
      </w:r>
      <w:r>
        <w:rPr>
          <w:rStyle w:val="FootnoteReference"/>
        </w:rPr>
        <w:footnoteReference w:id="19"/>
      </w:r>
      <w:r>
        <w:t xml:space="preserve">  </w:t>
      </w:r>
      <w:r>
        <w:t>OneWeb</w:t>
      </w:r>
      <w:r>
        <w:t xml:space="preserve"> also raises concerns regarding perceived errors in the </w:t>
      </w:r>
      <w:r w:rsidR="00DF3620">
        <w:t>Bureau</w:t>
      </w:r>
      <w:r>
        <w:t>’s technical analysis of the impact of SpaceX’s proposed modifications on the interference environment,</w:t>
      </w:r>
      <w:r>
        <w:rPr>
          <w:rStyle w:val="FootnoteReference"/>
        </w:rPr>
        <w:footnoteReference w:id="20"/>
      </w:r>
      <w:r>
        <w:t xml:space="preserve"> and such concerns, as </w:t>
      </w:r>
      <w:r>
        <w:t>OneWeb</w:t>
      </w:r>
      <w:r>
        <w:t xml:space="preserve"> noted in its </w:t>
      </w:r>
      <w:r w:rsidR="00DF3620">
        <w:t>re</w:t>
      </w:r>
      <w:r>
        <w:t xml:space="preserve">ply, could not be raised prior to the release of the </w:t>
      </w:r>
      <w:r w:rsidRPr="00B41F91">
        <w:rPr>
          <w:i/>
        </w:rPr>
        <w:t>First Modification Order,</w:t>
      </w:r>
      <w:r>
        <w:t xml:space="preserve"> which contained the </w:t>
      </w:r>
      <w:r w:rsidR="00DF3620">
        <w:t>Bureau’s</w:t>
      </w:r>
      <w:r>
        <w:t xml:space="preserve"> analysis</w:t>
      </w:r>
      <w:r w:rsidR="00DF3620">
        <w:t xml:space="preserve"> in question</w:t>
      </w:r>
      <w:r>
        <w:t>.</w:t>
      </w:r>
      <w:r>
        <w:rPr>
          <w:rStyle w:val="FootnoteReference"/>
        </w:rPr>
        <w:footnoteReference w:id="21"/>
      </w:r>
      <w:r>
        <w:t xml:space="preserve">  SpaceX argues that </w:t>
      </w:r>
      <w:r>
        <w:t>OneWeb</w:t>
      </w:r>
      <w:r>
        <w:t xml:space="preserve"> did have sufficient time to consider the information contained in the SpaceX </w:t>
      </w:r>
      <w:r w:rsidR="00501356">
        <w:t>e</w:t>
      </w:r>
      <w:r w:rsidR="000C0434">
        <w:t>arth</w:t>
      </w:r>
      <w:r>
        <w:t xml:space="preserve"> station applications since the applications were filed “more than three weeks” prior to the release of the </w:t>
      </w:r>
      <w:r w:rsidRPr="00B41F91">
        <w:rPr>
          <w:i/>
          <w:iCs/>
        </w:rPr>
        <w:t>First Modification Order</w:t>
      </w:r>
      <w:r>
        <w:t>.</w:t>
      </w:r>
      <w:r>
        <w:rPr>
          <w:rStyle w:val="FootnoteReference"/>
        </w:rPr>
        <w:footnoteReference w:id="22"/>
      </w:r>
      <w:r>
        <w:t xml:space="preserve">  SpaceX further argues that if </w:t>
      </w:r>
      <w:r>
        <w:t>OneWeb</w:t>
      </w:r>
      <w:r>
        <w:t xml:space="preserve"> needed more time to prepare a response, it could have requested sufficient time to file instead of “wait[ing] until after SpaceX had actually launched the initial satellites of its system.”</w:t>
      </w:r>
      <w:r>
        <w:rPr>
          <w:rStyle w:val="FootnoteReference"/>
        </w:rPr>
        <w:footnoteReference w:id="23"/>
      </w:r>
      <w:r>
        <w:t xml:space="preserve">  </w:t>
      </w:r>
    </w:p>
    <w:p w:rsidR="00814869" w:rsidP="00DA20FA" w14:paraId="29C9F11F" w14:textId="0069C0B0">
      <w:pPr>
        <w:pStyle w:val="ParaNum"/>
        <w:tabs>
          <w:tab w:val="num" w:pos="1080"/>
          <w:tab w:val="clear" w:pos="1440"/>
        </w:tabs>
      </w:pPr>
      <w:r>
        <w:t xml:space="preserve">We find that </w:t>
      </w:r>
      <w:r w:rsidR="001A3277">
        <w:t>OneWeb</w:t>
      </w:r>
      <w:r>
        <w:t xml:space="preserve">’s claims satisfy both the requirements of </w:t>
      </w:r>
      <w:r w:rsidR="00501356">
        <w:t>s</w:t>
      </w:r>
      <w:r>
        <w:t xml:space="preserve">ection 1.106(b)(2)(i), having relied on facts or arguments related to </w:t>
      </w:r>
      <w:r w:rsidR="00D73AA8">
        <w:t>“</w:t>
      </w:r>
      <w:r>
        <w:t xml:space="preserve">events which </w:t>
      </w:r>
      <w:r w:rsidR="00D73AA8">
        <w:t xml:space="preserve">have </w:t>
      </w:r>
      <w:r>
        <w:t xml:space="preserve">occurred or circumstances which </w:t>
      </w:r>
      <w:r w:rsidR="00D73AA8">
        <w:t xml:space="preserve">have </w:t>
      </w:r>
      <w:r>
        <w:t>changed</w:t>
      </w:r>
      <w:r w:rsidR="00C8530B">
        <w:t xml:space="preserve"> since the last opportunity to present such matters to the Commission</w:t>
      </w:r>
      <w:r>
        <w:t>,</w:t>
      </w:r>
      <w:r w:rsidR="00D73AA8">
        <w:t>”</w:t>
      </w:r>
      <w:r>
        <w:rPr>
          <w:rStyle w:val="FootnoteReference"/>
        </w:rPr>
        <w:footnoteReference w:id="24"/>
      </w:r>
      <w:r>
        <w:t xml:space="preserve"> in the case of the Ku-band gateway </w:t>
      </w:r>
      <w:r w:rsidR="00501356">
        <w:t>e</w:t>
      </w:r>
      <w:r w:rsidR="000C0434">
        <w:t>arth</w:t>
      </w:r>
      <w:r>
        <w:t xml:space="preserve"> stations, and additionally satisfy the requirements of </w:t>
      </w:r>
      <w:r w:rsidR="00501356">
        <w:t>s</w:t>
      </w:r>
      <w:r>
        <w:t>ection 1.106(b)(2)(ii), having relied on facts or arguments unknown to the petitioner,</w:t>
      </w:r>
      <w:r>
        <w:rPr>
          <w:rStyle w:val="FootnoteReference"/>
        </w:rPr>
        <w:footnoteReference w:id="25"/>
      </w:r>
      <w:r>
        <w:t xml:space="preserve"> in the case of </w:t>
      </w:r>
      <w:r w:rsidR="00501356">
        <w:t xml:space="preserve">the </w:t>
      </w:r>
      <w:r w:rsidR="001A3277">
        <w:t>Bureau</w:t>
      </w:r>
      <w:r w:rsidR="00501356">
        <w:t>’s</w:t>
      </w:r>
      <w:r>
        <w:t xml:space="preserve"> analysis of the interference environment presented in the </w:t>
      </w:r>
      <w:r>
        <w:rPr>
          <w:i/>
        </w:rPr>
        <w:t>First Modification Order</w:t>
      </w:r>
      <w:r>
        <w:t>.</w:t>
      </w:r>
      <w:r w:rsidR="00DA20FA">
        <w:t xml:space="preserve">  Ha</w:t>
      </w:r>
      <w:r>
        <w:t xml:space="preserve">ving met the requirements of </w:t>
      </w:r>
      <w:r w:rsidR="0075645D">
        <w:t>s</w:t>
      </w:r>
      <w:r>
        <w:t xml:space="preserve">ection 1.106(c)(1), we need not determine whether consideration of the facts or arguments relied on is required in the public interest as stated in </w:t>
      </w:r>
      <w:r w:rsidR="005819CD">
        <w:t>s</w:t>
      </w:r>
      <w:r>
        <w:t>ection 1.106(c)(2).</w:t>
      </w:r>
      <w:r>
        <w:rPr>
          <w:rStyle w:val="FootnoteReference"/>
        </w:rPr>
        <w:footnoteReference w:id="26"/>
      </w:r>
      <w:r>
        <w:t xml:space="preserve">  </w:t>
      </w:r>
    </w:p>
    <w:p w:rsidR="00814869" w:rsidP="00814869" w14:paraId="43340BA7" w14:textId="548BE900">
      <w:pPr>
        <w:pStyle w:val="ParaNum"/>
        <w:tabs>
          <w:tab w:val="num" w:pos="1080"/>
          <w:tab w:val="clear" w:pos="1440"/>
        </w:tabs>
        <w:rPr>
          <w:snapToGrid/>
        </w:rPr>
      </w:pPr>
      <w:r w:rsidRPr="00C37310">
        <w:rPr>
          <w:i/>
        </w:rPr>
        <w:t xml:space="preserve">SpaceX’s </w:t>
      </w:r>
      <w:r w:rsidR="00AF154F">
        <w:rPr>
          <w:i/>
        </w:rPr>
        <w:t xml:space="preserve">Space Station Susceptibility to Interference at Lower </w:t>
      </w:r>
      <w:r w:rsidRPr="00C37310">
        <w:rPr>
          <w:i/>
        </w:rPr>
        <w:t>Orbital Altitude.</w:t>
      </w:r>
      <w:r>
        <w:t xml:space="preserve">  </w:t>
      </w:r>
      <w:r w:rsidR="001A3277">
        <w:t>OneWeb</w:t>
      </w:r>
      <w:r>
        <w:t xml:space="preserve"> </w:t>
      </w:r>
      <w:r w:rsidRPr="00B6755A">
        <w:t>claim</w:t>
      </w:r>
      <w:r w:rsidR="00AF154F">
        <w:t>s that</w:t>
      </w:r>
      <w:r>
        <w:t xml:space="preserve"> a reduction in SpaceX’s operating altitude from 1,150 km to 550 km</w:t>
      </w:r>
      <w:r w:rsidR="00AF154F">
        <w:t xml:space="preserve"> would make SpaceX’s space stations more susceptible to interference</w:t>
      </w:r>
      <w:r>
        <w:t>.</w:t>
      </w:r>
      <w:r>
        <w:rPr>
          <w:rStyle w:val="FootnoteReference"/>
        </w:rPr>
        <w:footnoteReference w:id="27"/>
      </w:r>
      <w:r>
        <w:t xml:space="preserve">  </w:t>
      </w:r>
      <w:r w:rsidRPr="00E42007">
        <w:rPr>
          <w:iCs/>
        </w:rPr>
        <w:t>S</w:t>
      </w:r>
      <w:r>
        <w:t xml:space="preserve">haring and coordination procedures are established for NGSO FSS space stations in </w:t>
      </w:r>
      <w:r w:rsidR="00CF172B">
        <w:t>s</w:t>
      </w:r>
      <w:r>
        <w:t>ection 25.261 of the Commission’s rules.</w:t>
      </w:r>
      <w:r>
        <w:rPr>
          <w:rStyle w:val="FootnoteReference"/>
        </w:rPr>
        <w:footnoteReference w:id="28"/>
      </w:r>
      <w:r>
        <w:t xml:space="preserve">  Good-faith coordination efforts are required in the use of commonly</w:t>
      </w:r>
      <w:r w:rsidR="0002062A">
        <w:t xml:space="preserve"> </w:t>
      </w:r>
      <w:r>
        <w:t>authorized frequencies.</w:t>
      </w:r>
      <w:r>
        <w:rPr>
          <w:rStyle w:val="FootnoteReference"/>
        </w:rPr>
        <w:footnoteReference w:id="29"/>
      </w:r>
      <w:r>
        <w:t xml:space="preserve">  If coordination does not occur between two or more NGSO FSS systems, an increase in system noise temperature of more than 6% ΔT/T for either an </w:t>
      </w:r>
      <w:r w:rsidR="00CF172B">
        <w:t>e</w:t>
      </w:r>
      <w:r w:rsidR="000C0434">
        <w:t>arth</w:t>
      </w:r>
      <w:r>
        <w:t xml:space="preserve"> station receiver or space station receiver with on-board processing will trigger a band-splitting mechanism:  the frequency band is divided among the systems in question until interference no </w:t>
      </w:r>
      <w:r>
        <w:t>longer exceeds the 6% threshold.</w:t>
      </w:r>
      <w:r>
        <w:rPr>
          <w:rStyle w:val="FootnoteReference"/>
        </w:rPr>
        <w:footnoteReference w:id="30"/>
      </w:r>
    </w:p>
    <w:p w:rsidR="00814869" w:rsidP="00814869" w14:paraId="3EAFD3E5" w14:textId="1802F07A">
      <w:pPr>
        <w:pStyle w:val="ParaNum"/>
        <w:tabs>
          <w:tab w:val="num" w:pos="1080"/>
          <w:tab w:val="clear" w:pos="1440"/>
        </w:tabs>
      </w:pPr>
      <w:r>
        <w:t>OneWeb</w:t>
      </w:r>
      <w:r>
        <w:t xml:space="preserve"> states that because the 6% ΔT/T threshold for use of band-splitting mechanisms is </w:t>
      </w:r>
      <w:r w:rsidR="007C59F8">
        <w:t>based on</w:t>
      </w:r>
      <w:r>
        <w:t xml:space="preserve"> interference</w:t>
      </w:r>
      <w:r w:rsidR="007C59F8">
        <w:t>-</w:t>
      </w:r>
      <w:r>
        <w:t>to</w:t>
      </w:r>
      <w:r w:rsidR="007C59F8">
        <w:t>-</w:t>
      </w:r>
      <w:r>
        <w:t>noise (I/N), rather than carrier</w:t>
      </w:r>
      <w:r w:rsidR="007C59F8">
        <w:t>-to-interference rati</w:t>
      </w:r>
      <w:r w:rsidR="00012015">
        <w:t>o</w:t>
      </w:r>
      <w:r>
        <w:t xml:space="preserve"> (C/I), it is independent of the SpaceX uplink’s equivalent isotropically radiated power (EIRP) density level and will be reached more often and for longer durations as a result of </w:t>
      </w:r>
      <w:r w:rsidR="00DF3620">
        <w:t xml:space="preserve">the </w:t>
      </w:r>
      <w:r w:rsidRPr="003A41A0" w:rsidR="00CF172B">
        <w:rPr>
          <w:i/>
          <w:iCs/>
        </w:rPr>
        <w:t>F</w:t>
      </w:r>
      <w:r w:rsidRPr="003A41A0" w:rsidR="00DF3620">
        <w:rPr>
          <w:i/>
          <w:iCs/>
        </w:rPr>
        <w:t>irst Modification</w:t>
      </w:r>
      <w:r w:rsidRPr="003A41A0">
        <w:rPr>
          <w:i/>
          <w:iCs/>
        </w:rPr>
        <w:t xml:space="preserve"> Order</w:t>
      </w:r>
      <w:r>
        <w:t>.</w:t>
      </w:r>
      <w:r>
        <w:rPr>
          <w:rStyle w:val="FootnoteReference"/>
        </w:rPr>
        <w:footnoteReference w:id="31"/>
      </w:r>
    </w:p>
    <w:p w:rsidR="00814869" w:rsidP="00814869" w14:paraId="7A60C3F1" w14:textId="255AD534">
      <w:pPr>
        <w:pStyle w:val="ParaNum"/>
        <w:tabs>
          <w:tab w:val="num" w:pos="1080"/>
          <w:tab w:val="clear" w:pos="1440"/>
        </w:tabs>
      </w:pPr>
      <w:r>
        <w:t xml:space="preserve">SpaceX disagrees with </w:t>
      </w:r>
      <w:r w:rsidR="001A3277">
        <w:t>OneWeb</w:t>
      </w:r>
      <w:r>
        <w:t>’s assessment.  Instead of focusing on the 6% ΔT/T threshold and the use of I/N rather than C/I, SpaceX points out that the reduction in altitude will actually reduce the frequency and duration of in-line events and will improve the overall interference environment.</w:t>
      </w:r>
      <w:r>
        <w:rPr>
          <w:rStyle w:val="FootnoteReference"/>
        </w:rPr>
        <w:footnoteReference w:id="32"/>
      </w:r>
      <w:r>
        <w:t xml:space="preserve">  </w:t>
      </w:r>
    </w:p>
    <w:p w:rsidR="00FE6CB9" w:rsidP="00FE6CB9" w14:paraId="347D0FB3" w14:textId="4EE65BE0">
      <w:pPr>
        <w:pStyle w:val="ParaNum"/>
      </w:pPr>
      <w:r>
        <w:t xml:space="preserve">We agree with the general point made by </w:t>
      </w:r>
      <w:r w:rsidR="001A3277">
        <w:t>OneWeb</w:t>
      </w:r>
      <w:r>
        <w:t xml:space="preserve"> that I/N, and not C/I, is the trigger for a potential need to split bandwidth for NGSO networks.  </w:t>
      </w:r>
      <w:r w:rsidR="00B06178">
        <w:t>However, a</w:t>
      </w:r>
      <w:r>
        <w:t xml:space="preserve"> dynamic analysis of the satellite systems</w:t>
      </w:r>
      <w:r w:rsidR="0031622B">
        <w:t>, as conducted by SpaceX</w:t>
      </w:r>
      <w:r w:rsidR="00A648D3">
        <w:t>,</w:t>
      </w:r>
      <w:r>
        <w:t xml:space="preserve"> provides a more realistic, meaningful indication of the likelihood of in-line events in both frequency and duration.  </w:t>
      </w:r>
      <w:r w:rsidR="003C49E5">
        <w:t>Such analysis shows that the proposed modification reduces the duration of in-line events and the total percentage of time during which a given level of interference is exceeded.</w:t>
      </w:r>
      <w:r>
        <w:rPr>
          <w:rStyle w:val="FootnoteReference"/>
        </w:rPr>
        <w:footnoteReference w:id="33"/>
      </w:r>
      <w:r w:rsidR="003C49E5">
        <w:t xml:space="preserve"> </w:t>
      </w:r>
      <w:r w:rsidR="00D71C9D">
        <w:t xml:space="preserve"> </w:t>
      </w:r>
      <w:r w:rsidR="00B92FE7">
        <w:t>We therefore decline to place a condition on SpaceX’s license requiring SpaceX</w:t>
      </w:r>
      <w:r w:rsidR="00FE1300">
        <w:t xml:space="preserve"> to accept any increased interference to its space stations caused by the reduction in operating altitude. </w:t>
      </w:r>
      <w:r w:rsidR="00533D01">
        <w:t xml:space="preserve"> </w:t>
      </w:r>
      <w:r w:rsidRPr="009D5278" w:rsidR="00FE1300">
        <w:t>We also decline to condition SpaceX’s license to state that increased interference</w:t>
      </w:r>
      <w:r w:rsidRPr="009D5278" w:rsidR="004B149A">
        <w:t xml:space="preserve"> to</w:t>
      </w:r>
      <w:r w:rsidRPr="009D5278" w:rsidR="00EC5E5D">
        <w:t xml:space="preserve"> its space station</w:t>
      </w:r>
      <w:r w:rsidRPr="009D5278" w:rsidR="00FE1300">
        <w:t xml:space="preserve"> will not result in band-splitting.</w:t>
      </w:r>
      <w:r w:rsidR="00FE1300">
        <w:t xml:space="preserve"> </w:t>
      </w:r>
    </w:p>
    <w:p w:rsidR="00814869" w:rsidP="00FE6CB9" w14:paraId="472B99DC" w14:textId="47D7C20A">
      <w:pPr>
        <w:pStyle w:val="ParaNum"/>
      </w:pPr>
      <w:r w:rsidRPr="00C37310">
        <w:rPr>
          <w:i/>
        </w:rPr>
        <w:t xml:space="preserve">Interference </w:t>
      </w:r>
      <w:r w:rsidR="005963AE">
        <w:rPr>
          <w:i/>
        </w:rPr>
        <w:t>Generated by</w:t>
      </w:r>
      <w:r w:rsidRPr="00C37310">
        <w:rPr>
          <w:i/>
        </w:rPr>
        <w:t xml:space="preserve"> SpaceX’s </w:t>
      </w:r>
      <w:r w:rsidR="005963AE">
        <w:rPr>
          <w:i/>
        </w:rPr>
        <w:t>Ku-band Gateway Transmissions</w:t>
      </w:r>
      <w:r w:rsidRPr="00C37310">
        <w:t xml:space="preserve">. </w:t>
      </w:r>
      <w:r>
        <w:t xml:space="preserve"> </w:t>
      </w:r>
      <w:r w:rsidR="001A3277">
        <w:t>OneWeb</w:t>
      </w:r>
      <w:r>
        <w:t xml:space="preserve">’s </w:t>
      </w:r>
      <w:r w:rsidR="00CF172B">
        <w:t>P</w:t>
      </w:r>
      <w:r>
        <w:t xml:space="preserve">etition next claims that transmissions from SpaceX’s proposed Ku-band gateway </w:t>
      </w:r>
      <w:r w:rsidR="00CF172B">
        <w:t>e</w:t>
      </w:r>
      <w:r w:rsidR="000C0434">
        <w:t>arth</w:t>
      </w:r>
      <w:r>
        <w:t xml:space="preserve"> stations will increase worst-case interference with other NGSO FSS systems </w:t>
      </w:r>
      <w:r w:rsidR="000B7C09">
        <w:t>because gateway transmissions have higher</w:t>
      </w:r>
      <w:r>
        <w:t xml:space="preserve"> EIRP densities </w:t>
      </w:r>
      <w:r w:rsidR="000B7C09">
        <w:t>than those of</w:t>
      </w:r>
      <w:r>
        <w:t xml:space="preserve"> user terminal</w:t>
      </w:r>
      <w:r w:rsidR="000B7C09">
        <w:t xml:space="preserve"> transmissions</w:t>
      </w:r>
      <w:r w:rsidR="00907454">
        <w:t>.</w:t>
      </w:r>
      <w:r>
        <w:rPr>
          <w:rStyle w:val="FootnoteReference"/>
        </w:rPr>
        <w:footnoteReference w:id="34"/>
      </w:r>
      <w:r>
        <w:t xml:space="preserve">  The </w:t>
      </w:r>
      <w:r w:rsidR="00CF172B">
        <w:t>P</w:t>
      </w:r>
      <w:r>
        <w:t xml:space="preserve">etition uses a hypothetical in-line event as an example, where the interference received by a satellite from another NGSO FSS system increases proportionately with the peak EIRP density of the gateway </w:t>
      </w:r>
      <w:r w:rsidR="00CF172B">
        <w:t>e</w:t>
      </w:r>
      <w:r w:rsidR="000C0434">
        <w:t>arth</w:t>
      </w:r>
      <w:r>
        <w:t xml:space="preserve"> station, which is nearly 6 dB higher than for SpaceX user terminals.</w:t>
      </w:r>
      <w:r>
        <w:rPr>
          <w:rStyle w:val="FootnoteReference"/>
        </w:rPr>
        <w:footnoteReference w:id="35"/>
      </w:r>
      <w:r>
        <w:t xml:space="preserve">  The </w:t>
      </w:r>
      <w:r w:rsidR="00DB2A6E">
        <w:t>P</w:t>
      </w:r>
      <w:r>
        <w:t xml:space="preserve">etition requests that the gateway </w:t>
      </w:r>
      <w:r w:rsidR="00CF172B">
        <w:t>e</w:t>
      </w:r>
      <w:r w:rsidR="000C0434">
        <w:t>arth</w:t>
      </w:r>
      <w:r>
        <w:t xml:space="preserve"> stations be conditioned to limit the maximum uplink EIRP density to no greater than that of the SpaceX user terminals.</w:t>
      </w:r>
      <w:r>
        <w:rPr>
          <w:rStyle w:val="FootnoteReference"/>
        </w:rPr>
        <w:footnoteReference w:id="36"/>
      </w:r>
    </w:p>
    <w:p w:rsidR="00814869" w:rsidP="00814869" w14:paraId="6EBA6F73" w14:textId="0EA00898">
      <w:pPr>
        <w:pStyle w:val="ParaNum"/>
        <w:tabs>
          <w:tab w:val="num" w:pos="1080"/>
          <w:tab w:val="clear" w:pos="1440"/>
        </w:tabs>
      </w:pPr>
      <w:r>
        <w:t xml:space="preserve">SpaceX claims first that its proposed six Ku-band gateway </w:t>
      </w:r>
      <w:r w:rsidR="0004356A">
        <w:t>e</w:t>
      </w:r>
      <w:r w:rsidR="000C0434">
        <w:t>arth</w:t>
      </w:r>
      <w:r>
        <w:t xml:space="preserve"> stations are intended to be temporary until Ka-band capable satellites and associated gateway </w:t>
      </w:r>
      <w:r w:rsidR="0004356A">
        <w:t>e</w:t>
      </w:r>
      <w:r w:rsidR="000C0434">
        <w:t>arth</w:t>
      </w:r>
      <w:r>
        <w:t xml:space="preserve"> stations are incorporated into its systems, and </w:t>
      </w:r>
      <w:r w:rsidR="005B28A7">
        <w:t xml:space="preserve">that </w:t>
      </w:r>
      <w:r>
        <w:t xml:space="preserve">these </w:t>
      </w:r>
      <w:r w:rsidR="0004356A">
        <w:t>e</w:t>
      </w:r>
      <w:r w:rsidR="000C0434">
        <w:t>arth</w:t>
      </w:r>
      <w:r>
        <w:t xml:space="preserve"> stations will communicate with no more than 75 satellites during their operation.</w:t>
      </w:r>
      <w:r>
        <w:rPr>
          <w:rStyle w:val="FootnoteReference"/>
        </w:rPr>
        <w:footnoteReference w:id="37"/>
      </w:r>
      <w:r>
        <w:t xml:space="preserve">  SpaceX also contends that despite the nearly 6 dB higher peak EIRP density level, its Ku-band gateway </w:t>
      </w:r>
      <w:r w:rsidR="00CF172B">
        <w:t>e</w:t>
      </w:r>
      <w:r w:rsidR="000C0434">
        <w:t>arth</w:t>
      </w:r>
      <w:r>
        <w:t xml:space="preserve"> stations will not result in a proportionally higher level of interference compared to user terminals.</w:t>
      </w:r>
      <w:r>
        <w:rPr>
          <w:rStyle w:val="FootnoteReference"/>
        </w:rPr>
        <w:footnoteReference w:id="38"/>
      </w:r>
      <w:r>
        <w:t xml:space="preserve">  Because SpaceX’s system is designed to communicate with a large number of user terminals at once, any </w:t>
      </w:r>
      <w:r w:rsidR="001A3277">
        <w:t>OneWeb</w:t>
      </w:r>
      <w:r>
        <w:t xml:space="preserve"> satellite experiencing an in-line event with a narrow beam from one of </w:t>
      </w:r>
      <w:r>
        <w:t xml:space="preserve">SpaceX’s gateway </w:t>
      </w:r>
      <w:r w:rsidR="00CF172B">
        <w:t>e</w:t>
      </w:r>
      <w:r w:rsidR="000C0434">
        <w:t>arth</w:t>
      </w:r>
      <w:r>
        <w:t xml:space="preserve"> stations would also likely be in-line with multiple SpaceX user terminals.</w:t>
      </w:r>
      <w:r>
        <w:rPr>
          <w:rStyle w:val="FootnoteReference"/>
        </w:rPr>
        <w:footnoteReference w:id="39"/>
      </w:r>
      <w:r>
        <w:t xml:space="preserve">  The interference from those user terminals could potentially combine to create as much or more interference than a gateway.</w:t>
      </w:r>
      <w:r>
        <w:rPr>
          <w:rStyle w:val="FootnoteReference"/>
        </w:rPr>
        <w:footnoteReference w:id="40"/>
      </w:r>
    </w:p>
    <w:p w:rsidR="00814869" w:rsidP="00814869" w14:paraId="56722E72" w14:textId="5BA5E15A">
      <w:pPr>
        <w:pStyle w:val="ParaNum"/>
        <w:tabs>
          <w:tab w:val="num" w:pos="1080"/>
          <w:tab w:val="clear" w:pos="1440"/>
        </w:tabs>
      </w:pPr>
      <w:r w:rsidRPr="00080A40">
        <w:t xml:space="preserve">We disagree with </w:t>
      </w:r>
      <w:r w:rsidR="001A3277">
        <w:t>OneWeb</w:t>
      </w:r>
      <w:r w:rsidRPr="00080A40">
        <w:t>’s claims regarding SpaceX’s Ku-</w:t>
      </w:r>
      <w:r w:rsidR="00480A9F">
        <w:t xml:space="preserve">band </w:t>
      </w:r>
      <w:r w:rsidRPr="00080A40">
        <w:t xml:space="preserve">gateway </w:t>
      </w:r>
      <w:r w:rsidR="00CF172B">
        <w:t>e</w:t>
      </w:r>
      <w:r w:rsidR="000C0434">
        <w:t>arth</w:t>
      </w:r>
      <w:r w:rsidRPr="00080A40">
        <w:t xml:space="preserve"> stations and decline to limit SpaceX’s maximum EIRP density to that of SpaceX’s user terminals as </w:t>
      </w:r>
      <w:r w:rsidR="001A3277">
        <w:t>OneWeb</w:t>
      </w:r>
      <w:r w:rsidR="003C4695">
        <w:t xml:space="preserve"> </w:t>
      </w:r>
      <w:r w:rsidRPr="00080A40">
        <w:t>request</w:t>
      </w:r>
      <w:r w:rsidR="003C4695">
        <w:t>s</w:t>
      </w:r>
      <w:r w:rsidRPr="00080A40">
        <w:t xml:space="preserve">. </w:t>
      </w:r>
      <w:r w:rsidR="00A648D3">
        <w:t xml:space="preserve"> </w:t>
      </w:r>
      <w:r w:rsidR="00517E60">
        <w:t xml:space="preserve">In addition to the </w:t>
      </w:r>
      <w:r w:rsidR="00FC26E7">
        <w:t xml:space="preserve">fact that Ku-band gateways will be used to communicate with less than 2% of the satellites in the constellation, as </w:t>
      </w:r>
      <w:r w:rsidR="00517E60">
        <w:t>point</w:t>
      </w:r>
      <w:r w:rsidR="00FC26E7">
        <w:t>ed out</w:t>
      </w:r>
      <w:r w:rsidR="00517E60">
        <w:t xml:space="preserve"> by SpaceX, we note that </w:t>
      </w:r>
      <w:r w:rsidR="00742C78">
        <w:t xml:space="preserve">the only </w:t>
      </w:r>
      <w:r w:rsidRPr="00742C78" w:rsidR="00742C78">
        <w:t xml:space="preserve">limitation the </w:t>
      </w:r>
      <w:r w:rsidR="00742C78">
        <w:t xml:space="preserve">initial </w:t>
      </w:r>
      <w:r w:rsidRPr="00742C78" w:rsidR="00742C78">
        <w:t>SpaceX Authorization impose</w:t>
      </w:r>
      <w:r w:rsidR="00742C78">
        <w:t>d</w:t>
      </w:r>
      <w:r w:rsidRPr="00742C78" w:rsidR="00742C78">
        <w:t xml:space="preserve"> on transmissions from </w:t>
      </w:r>
      <w:r w:rsidR="00742C78">
        <w:t xml:space="preserve">its </w:t>
      </w:r>
      <w:r w:rsidRPr="00742C78" w:rsidR="00742C78">
        <w:t xml:space="preserve">earth stations </w:t>
      </w:r>
      <w:r w:rsidR="00742C78">
        <w:t>was</w:t>
      </w:r>
      <w:r w:rsidRPr="00742C78" w:rsidR="00742C78">
        <w:t xml:space="preserve"> compliance with the applicable EPFD</w:t>
      </w:r>
      <w:r w:rsidR="00742C78">
        <w:rPr>
          <w:vertAlign w:val="subscript"/>
        </w:rPr>
        <w:t>up</w:t>
      </w:r>
      <w:r w:rsidRPr="00742C78" w:rsidR="00742C78">
        <w:t xml:space="preserve"> limits.  The </w:t>
      </w:r>
      <w:r w:rsidR="00541CDD">
        <w:t xml:space="preserve">Commission previously determined that it was not necessary to adopt any additional </w:t>
      </w:r>
      <w:r w:rsidRPr="00742C78" w:rsidR="00742C78">
        <w:t>limits on earth station transmissions</w:t>
      </w:r>
      <w:r w:rsidR="000D7DB6">
        <w:t>.</w:t>
      </w:r>
      <w:r>
        <w:rPr>
          <w:rStyle w:val="FootnoteReference"/>
        </w:rPr>
        <w:footnoteReference w:id="41"/>
      </w:r>
    </w:p>
    <w:p w:rsidR="00517E60" w:rsidRPr="00517E60" w:rsidP="00517E60" w14:paraId="43145C15" w14:textId="27EB1F47">
      <w:pPr>
        <w:pStyle w:val="ParaNum"/>
      </w:pPr>
      <w:r w:rsidRPr="00C37310">
        <w:rPr>
          <w:i/>
        </w:rPr>
        <w:t xml:space="preserve">SpaceX’s </w:t>
      </w:r>
      <w:r>
        <w:rPr>
          <w:i/>
        </w:rPr>
        <w:t>Ku-Band Gateway Earth Stations Susceptibility to Interference.</w:t>
      </w:r>
      <w:r>
        <w:t xml:space="preserve">  </w:t>
      </w:r>
      <w:r w:rsidR="001A3277">
        <w:t>OneWeb</w:t>
      </w:r>
      <w:r w:rsidRPr="00517E60">
        <w:t xml:space="preserve"> also claims that as a result of the increased gain of the gateway antennas over user terminals, SpaceX gateway </w:t>
      </w:r>
      <w:r w:rsidR="00CF172B">
        <w:t>e</w:t>
      </w:r>
      <w:r w:rsidRPr="00517E60">
        <w:t>arth stations will be nearly 6 dB more sensitive to interference.  SpaceX acknowledges that in a downlink interference scenario, the higher gain of its gateway antennas could result in additional interference as compared to its user terminals</w:t>
      </w:r>
      <w:r w:rsidR="000D7DB6">
        <w:t>.</w:t>
      </w:r>
      <w:r>
        <w:rPr>
          <w:rStyle w:val="FootnoteReference"/>
        </w:rPr>
        <w:footnoteReference w:id="42"/>
      </w:r>
      <w:r w:rsidRPr="00517E60">
        <w:t xml:space="preserve"> </w:t>
      </w:r>
      <w:r w:rsidR="00A349F7">
        <w:t xml:space="preserve"> </w:t>
      </w:r>
      <w:r w:rsidR="00E83E7A">
        <w:t xml:space="preserve">We note that, although interference levels at the antenna output will be higher, interference events will be shorter due to the narrower antenna beam. </w:t>
      </w:r>
      <w:r w:rsidR="00A349F7">
        <w:t xml:space="preserve"> </w:t>
      </w:r>
      <w:r w:rsidR="00E83E7A">
        <w:t xml:space="preserve">In any case, </w:t>
      </w:r>
      <w:r w:rsidRPr="00517E60">
        <w:t xml:space="preserve">SpaceX indicates willingness to “forgo a greater level of protection” for its gateway stations in the event of </w:t>
      </w:r>
      <w:r w:rsidR="00594F74">
        <w:t xml:space="preserve">a </w:t>
      </w:r>
      <w:r w:rsidRPr="00517E60">
        <w:t>space station</w:t>
      </w:r>
      <w:r w:rsidR="00594F74">
        <w:t xml:space="preserve"> </w:t>
      </w:r>
      <w:r w:rsidRPr="00517E60">
        <w:t xml:space="preserve">transmitting to commercially-licensed </w:t>
      </w:r>
      <w:r w:rsidR="00E83E7A">
        <w:t>e</w:t>
      </w:r>
      <w:r w:rsidRPr="00517E60">
        <w:t>arth stations operating in the U</w:t>
      </w:r>
      <w:r w:rsidR="00A349F7">
        <w:t xml:space="preserve">nited </w:t>
      </w:r>
      <w:r w:rsidRPr="00517E60">
        <w:t>S</w:t>
      </w:r>
      <w:r w:rsidR="00A349F7">
        <w:t>tates</w:t>
      </w:r>
      <w:r w:rsidRPr="00517E60">
        <w:t xml:space="preserve">. </w:t>
      </w:r>
    </w:p>
    <w:p w:rsidR="00517E60" w:rsidP="00814869" w14:paraId="1947CD3B" w14:textId="5CD859A9">
      <w:pPr>
        <w:pStyle w:val="ParaNum"/>
        <w:tabs>
          <w:tab w:val="num" w:pos="1080"/>
          <w:tab w:val="clear" w:pos="1440"/>
        </w:tabs>
      </w:pPr>
      <w:r>
        <w:t xml:space="preserve">We </w:t>
      </w:r>
      <w:r w:rsidR="00506387">
        <w:t>therefore</w:t>
      </w:r>
      <w:r w:rsidRPr="00FE6CB9">
        <w:t xml:space="preserve"> </w:t>
      </w:r>
      <w:r w:rsidR="006127A0">
        <w:t xml:space="preserve">add a </w:t>
      </w:r>
      <w:r w:rsidRPr="00FE6CB9">
        <w:t xml:space="preserve">condition </w:t>
      </w:r>
      <w:r w:rsidR="006127A0">
        <w:t xml:space="preserve">to </w:t>
      </w:r>
      <w:r w:rsidRPr="00FE6CB9">
        <w:t xml:space="preserve">the </w:t>
      </w:r>
      <w:r w:rsidRPr="00FE6CB9">
        <w:rPr>
          <w:i/>
        </w:rPr>
        <w:t>First Modification Order</w:t>
      </w:r>
      <w:r w:rsidRPr="00FE6CB9">
        <w:t xml:space="preserve"> </w:t>
      </w:r>
      <w:r w:rsidRPr="00491264" w:rsidR="006127A0">
        <w:t>to address</w:t>
      </w:r>
      <w:r w:rsidRPr="00491264" w:rsidR="00664263">
        <w:t xml:space="preserve"> any</w:t>
      </w:r>
      <w:r w:rsidRPr="00FE6CB9">
        <w:t xml:space="preserve"> potential increase in interference to SpaceX’s </w:t>
      </w:r>
      <w:r w:rsidR="007C60BB">
        <w:t>K</w:t>
      </w:r>
      <w:r w:rsidR="00506387">
        <w:t>u</w:t>
      </w:r>
      <w:r w:rsidR="007C60BB">
        <w:t xml:space="preserve">-band gateway </w:t>
      </w:r>
      <w:r w:rsidR="00CF172B">
        <w:t>e</w:t>
      </w:r>
      <w:r w:rsidR="007C60BB">
        <w:t>arth stations</w:t>
      </w:r>
      <w:r w:rsidRPr="00FE6CB9">
        <w:t xml:space="preserve">.  </w:t>
      </w:r>
      <w:r w:rsidR="006127A0">
        <w:t>Specifically, w</w:t>
      </w:r>
      <w:r w:rsidR="007C60BB">
        <w:t xml:space="preserve">hen conducting coordination with other NGSO FSS systems, taking into account section 25.261, </w:t>
      </w:r>
      <w:bookmarkStart w:id="1" w:name="_Hlk35521375"/>
      <w:r w:rsidRPr="000444FB" w:rsidR="007C60BB">
        <w:t xml:space="preserve">SpaceX </w:t>
      </w:r>
      <w:r w:rsidR="007C60BB">
        <w:t xml:space="preserve">cannot claim more protection to any of its Ku-band gateway earth stations than the protection </w:t>
      </w:r>
      <w:r w:rsidR="00480A9F">
        <w:t xml:space="preserve">to which </w:t>
      </w:r>
      <w:r w:rsidR="007C60BB">
        <w:t>a SpaceX user terminal at the same location would be entitled</w:t>
      </w:r>
      <w:bookmarkEnd w:id="1"/>
      <w:r w:rsidR="007C60BB">
        <w:t>.</w:t>
      </w:r>
    </w:p>
    <w:p w:rsidR="00814869" w:rsidP="00814869" w14:paraId="0401E9F6" w14:textId="77777777">
      <w:pPr>
        <w:pStyle w:val="Heading2"/>
      </w:pPr>
      <w:r>
        <w:t>Kepler’s Petition</w:t>
      </w:r>
    </w:p>
    <w:p w:rsidR="00AC635E" w:rsidP="00814869" w14:paraId="2F25C87A" w14:textId="47D67CA6">
      <w:pPr>
        <w:pStyle w:val="ParaNum"/>
        <w:tabs>
          <w:tab w:val="num" w:pos="1080"/>
          <w:tab w:val="clear" w:pos="1440"/>
        </w:tabs>
      </w:pPr>
      <w:bookmarkStart w:id="2" w:name="_Hlk26286237"/>
      <w:r>
        <w:t xml:space="preserve">Kepler bases its </w:t>
      </w:r>
      <w:r w:rsidR="0000744E">
        <w:t>P</w:t>
      </w:r>
      <w:r>
        <w:t>etition</w:t>
      </w:r>
      <w:r w:rsidR="0000744E">
        <w:t xml:space="preserve"> for Reconsideration</w:t>
      </w:r>
      <w:r>
        <w:t xml:space="preserve"> largely on its concerns about an increase in orbital debris potentially caused by SpaceX’s modifications to its constellation and the performance of SpaceX’s satellites.</w:t>
      </w:r>
      <w:r>
        <w:rPr>
          <w:vertAlign w:val="superscript"/>
        </w:rPr>
        <w:footnoteReference w:id="43"/>
      </w:r>
      <w:r>
        <w:t xml:space="preserve"> </w:t>
      </w:r>
      <w:r w:rsidR="0000744E">
        <w:t xml:space="preserve"> </w:t>
      </w:r>
      <w:r>
        <w:t xml:space="preserve">SpaceX argues that </w:t>
      </w:r>
      <w:r w:rsidR="001C1077">
        <w:t xml:space="preserve">the </w:t>
      </w:r>
      <w:r>
        <w:t xml:space="preserve">Kepler </w:t>
      </w:r>
      <w:r w:rsidR="00907454">
        <w:t>P</w:t>
      </w:r>
      <w:r>
        <w:t>etition is untimely filed and that, with the exception of its claims about the satellite failures, Kepler’s interference and orbital debris concerns could have, and should have, been raised within the filing window for reconsideration petitions.</w:t>
      </w:r>
      <w:r>
        <w:rPr>
          <w:rStyle w:val="FootnoteReference"/>
        </w:rPr>
        <w:footnoteReference w:id="44"/>
      </w:r>
      <w:r>
        <w:t xml:space="preserve"> </w:t>
      </w:r>
      <w:r w:rsidR="0000744E">
        <w:t xml:space="preserve"> </w:t>
      </w:r>
      <w:r>
        <w:t>We agree with SpaceX.  Under the Commission’s rules, petitions for reconsideration of an order must be filed within thirty days of the release of that order.</w:t>
      </w:r>
      <w:r>
        <w:rPr>
          <w:rStyle w:val="FootnoteReference"/>
        </w:rPr>
        <w:footnoteReference w:id="45"/>
      </w:r>
      <w:r>
        <w:t xml:space="preserve"> </w:t>
      </w:r>
      <w:r w:rsidR="009D2037">
        <w:t xml:space="preserve"> </w:t>
      </w:r>
      <w:r>
        <w:t xml:space="preserve">Kepler does request a waiver of </w:t>
      </w:r>
      <w:r w:rsidR="00006C44">
        <w:t>s</w:t>
      </w:r>
      <w:r>
        <w:t>ection 1.106(f) as part of its petition.</w:t>
      </w:r>
      <w:r>
        <w:rPr>
          <w:rStyle w:val="FootnoteReference"/>
        </w:rPr>
        <w:footnoteReference w:id="46"/>
      </w:r>
      <w:r>
        <w:t xml:space="preserve">  However</w:t>
      </w:r>
      <w:r w:rsidR="00301431">
        <w:t>,</w:t>
      </w:r>
      <w:r>
        <w:t xml:space="preserve"> the D.C. Circuit has held that the Commission cannot consider untimely </w:t>
      </w:r>
      <w:r>
        <w:t>reconsideration petitions absent extraordinary circumstances.</w:t>
      </w:r>
      <w:r>
        <w:rPr>
          <w:rStyle w:val="FootnoteReference"/>
        </w:rPr>
        <w:footnoteReference w:id="47"/>
      </w:r>
      <w:r>
        <w:t xml:space="preserve">  </w:t>
      </w:r>
    </w:p>
    <w:p w:rsidR="00814869" w:rsidP="00814869" w14:paraId="5879256F" w14:textId="200C8715">
      <w:pPr>
        <w:pStyle w:val="ParaNum"/>
        <w:tabs>
          <w:tab w:val="num" w:pos="1080"/>
          <w:tab w:val="clear" w:pos="1440"/>
        </w:tabs>
      </w:pPr>
      <w:r>
        <w:t xml:space="preserve">We find that Kepler’s stated reasons for its delayed filing do not rise to the level of extraordinary circumstances. </w:t>
      </w:r>
      <w:r w:rsidR="00735F29">
        <w:t xml:space="preserve"> </w:t>
      </w:r>
      <w:r>
        <w:t xml:space="preserve">Kepler’s complaint that the </w:t>
      </w:r>
      <w:r w:rsidR="00963D46">
        <w:t>Bureau</w:t>
      </w:r>
      <w:r>
        <w:t xml:space="preserve"> did not address commenters’ orbital debris concerns could have been submitted during the thirty-day window for filing petitions for reconsideration.  Furthermore, Kepler does not provide any justification for its delay in filing its petition on this basis.  </w:t>
      </w:r>
      <w:r w:rsidR="009A2334">
        <w:t>Kepler further argues that the failure rate of SpaceX’s first tranche of satellites has raised significant orbital debris concerns since the first modification was granted.</w:t>
      </w:r>
      <w:r>
        <w:rPr>
          <w:rStyle w:val="FootnoteReference"/>
        </w:rPr>
        <w:footnoteReference w:id="48"/>
      </w:r>
      <w:r w:rsidR="009A2334">
        <w:t xml:space="preserve">  Kepler cites the fact that three of SpaceX’s satellites lost all communications ability shortly after launch, and as of the filing of Kepler’s Petition, four more satellites were still a significant distance from their operational location.</w:t>
      </w:r>
      <w:r>
        <w:rPr>
          <w:rStyle w:val="FootnoteReference"/>
        </w:rPr>
        <w:footnoteReference w:id="49"/>
      </w:r>
      <w:r w:rsidR="009A2334">
        <w:t xml:space="preserve">  Kepler takes this continued orbit-raising as indication of the satellites’ failure and calculates that this failure rate would result in 184 defunct Starlink satellites at the 550 km altitude.</w:t>
      </w:r>
      <w:r>
        <w:rPr>
          <w:rStyle w:val="FootnoteReference"/>
        </w:rPr>
        <w:footnoteReference w:id="50"/>
      </w:r>
      <w:r w:rsidR="009A2334">
        <w:t xml:space="preserve">  SpaceX states</w:t>
      </w:r>
      <w:r w:rsidR="0076474D">
        <w:t>, however,</w:t>
      </w:r>
      <w:r w:rsidR="009A2334">
        <w:t xml:space="preserve"> that while three satellites have not functioned as planned, this failure rate is within the bounds anticipated by the </w:t>
      </w:r>
      <w:r w:rsidRPr="00E42007" w:rsidR="009A2334">
        <w:rPr>
          <w:i/>
          <w:iCs/>
        </w:rPr>
        <w:t>First Modification Order</w:t>
      </w:r>
      <w:r w:rsidR="009A2334">
        <w:t>, and the additional four satellites Kepler references have not reached their operational altitude due to a phased orbit-raising approach rather than the critical failure Kepler supposes.</w:t>
      </w:r>
      <w:r>
        <w:rPr>
          <w:rStyle w:val="FootnoteReference"/>
        </w:rPr>
        <w:footnoteReference w:id="51"/>
      </w:r>
      <w:r w:rsidR="009A2334">
        <w:t xml:space="preserve">  </w:t>
      </w:r>
      <w:r w:rsidR="00594F74">
        <w:t>W</w:t>
      </w:r>
      <w:r>
        <w:t>hile the health of SpaceX’s satellites may not have been ascertainable until after the close of the thirty-day window, Kepler’s assessment of SpaceX’s on-orbit failure rate is based on the unsupported presumption that continued orbit</w:t>
      </w:r>
      <w:r w:rsidR="00963D46">
        <w:t>-</w:t>
      </w:r>
      <w:r>
        <w:t>raising of several satellites is equivalent to critical failure of those satellites, a presumption which SpaceX has refuted.</w:t>
      </w:r>
      <w:r>
        <w:rPr>
          <w:rStyle w:val="FootnoteReference"/>
        </w:rPr>
        <w:footnoteReference w:id="52"/>
      </w:r>
      <w:r>
        <w:t xml:space="preserve">  We also agree with SpaceX that the potential failure of </w:t>
      </w:r>
      <w:r w:rsidR="00594F74">
        <w:t>some</w:t>
      </w:r>
      <w:r>
        <w:t xml:space="preserve"> SpaceX’s satellites was contemplated and accounted for in the order granting SpaceX’s modification.</w:t>
      </w:r>
      <w:r>
        <w:rPr>
          <w:rStyle w:val="FootnoteReference"/>
        </w:rPr>
        <w:footnoteReference w:id="53"/>
      </w:r>
      <w:r>
        <w:t xml:space="preserve">  We therefore find that Kepler’s arguments do not constitute an extraordinary circumstance and do not justify Kepler’s delay in filing of nearly six months from the release of the </w:t>
      </w:r>
      <w:r w:rsidRPr="00084615">
        <w:rPr>
          <w:i/>
          <w:iCs/>
        </w:rPr>
        <w:t>First Modification Order</w:t>
      </w:r>
      <w:r>
        <w:t xml:space="preserve">. </w:t>
      </w:r>
    </w:p>
    <w:p w:rsidR="00814869" w:rsidP="00814869" w14:paraId="3A9DED77" w14:textId="45A66370">
      <w:pPr>
        <w:pStyle w:val="ParaNum"/>
        <w:tabs>
          <w:tab w:val="num" w:pos="1080"/>
          <w:tab w:val="clear" w:pos="1440"/>
        </w:tabs>
      </w:pPr>
      <w:r>
        <w:t xml:space="preserve">Even if we were to consider Kepler’s </w:t>
      </w:r>
      <w:r w:rsidR="00FA641A">
        <w:t>P</w:t>
      </w:r>
      <w:r>
        <w:t xml:space="preserve">etition, Kepler’s arguments are unpersuasive.  Kepler claims the </w:t>
      </w:r>
      <w:r w:rsidRPr="00E42007">
        <w:rPr>
          <w:i/>
          <w:iCs/>
        </w:rPr>
        <w:t>First Modification</w:t>
      </w:r>
      <w:r>
        <w:t xml:space="preserve"> </w:t>
      </w:r>
      <w:r>
        <w:rPr>
          <w:i/>
        </w:rPr>
        <w:t>Order</w:t>
      </w:r>
      <w:r>
        <w:t xml:space="preserve"> did not adequately address the concerns of commenters regarding the increase in interference and the new orbital debris risk posed by the SpaceX Modification.</w:t>
      </w:r>
      <w:r>
        <w:rPr>
          <w:rStyle w:val="FootnoteReference"/>
        </w:rPr>
        <w:footnoteReference w:id="54"/>
      </w:r>
      <w:r>
        <w:t xml:space="preserve">  According to Kepler, basing SpaceX’s collision risk of zero on its satellites’ propulsive capabilities ignores the fact that relocating SpaceX’s satellites to a lower orbital altitude will increase conjunctions with Kepler’s satellites and will interrupt Kepler’s service because of the need to make avoidance maneuvers, unless SpaceX assumes the responsibility of making all avoidance maneuvers because its systems use propulsion.</w:t>
      </w:r>
      <w:r>
        <w:rPr>
          <w:rStyle w:val="FootnoteReference"/>
        </w:rPr>
        <w:footnoteReference w:id="55"/>
      </w:r>
      <w:r>
        <w:t xml:space="preserve">  Kepler therefore requests that on reconsideration the Commission impose a condition on SpaceX’s authorization requiring SpaceX to assume the burden of all avoidance maneuvers because of its propulsion capabilities.</w:t>
      </w:r>
      <w:r>
        <w:rPr>
          <w:rStyle w:val="FootnoteReference"/>
        </w:rPr>
        <w:footnoteReference w:id="56"/>
      </w:r>
      <w:r>
        <w:t xml:space="preserve"> </w:t>
      </w:r>
      <w:r w:rsidR="007004E0">
        <w:t xml:space="preserve"> </w:t>
      </w:r>
      <w:r>
        <w:t xml:space="preserve">Kepler further argues that the introduction of SpaceX’s constellation into the 550 km LEO environment will triple the number of satellites orbiting at that altitude and “inevitably” increase orbital debris, especially given </w:t>
      </w:r>
      <w:r w:rsidR="009A2334">
        <w:t xml:space="preserve">Kepler’s </w:t>
      </w:r>
      <w:r>
        <w:t xml:space="preserve"> calculation of an 11.6% on-orbit failure rate of </w:t>
      </w:r>
      <w:r>
        <w:t>SpaceX’s satellites.</w:t>
      </w:r>
      <w:r>
        <w:rPr>
          <w:rStyle w:val="FootnoteReference"/>
        </w:rPr>
        <w:footnoteReference w:id="57"/>
      </w:r>
      <w:r>
        <w:t xml:space="preserve">  </w:t>
      </w:r>
    </w:p>
    <w:p w:rsidR="00814869" w:rsidP="00814869" w14:paraId="57ABB569" w14:textId="5437DBBC">
      <w:pPr>
        <w:pStyle w:val="ParaNum"/>
        <w:tabs>
          <w:tab w:val="num" w:pos="1080"/>
          <w:tab w:val="clear" w:pos="1440"/>
        </w:tabs>
      </w:pPr>
      <w:r>
        <w:t>While i</w:t>
      </w:r>
      <w:r>
        <w:t>t is true that the reduction in operating altitude for the SpaceX satellites will increase the number of satellites operating at 550 km, contrary to Kepler’s as</w:t>
      </w:r>
      <w:r w:rsidR="00285BDF">
        <w:t>s</w:t>
      </w:r>
      <w:r>
        <w:t xml:space="preserve">ertions, </w:t>
      </w:r>
      <w:r w:rsidR="002C0B68">
        <w:t>the Bureau</w:t>
      </w:r>
      <w:r>
        <w:t xml:space="preserve"> considered these interference and orbital debris concerns in the </w:t>
      </w:r>
      <w:r w:rsidRPr="003B1F1F">
        <w:rPr>
          <w:i/>
          <w:iCs/>
        </w:rPr>
        <w:t>First Modification Order</w:t>
      </w:r>
      <w:r>
        <w:t>, taking into account the propulsive capabilities of the Starlink satellites.</w:t>
      </w:r>
      <w:r>
        <w:rPr>
          <w:rStyle w:val="FootnoteReference"/>
        </w:rPr>
        <w:footnoteReference w:id="58"/>
      </w:r>
      <w:r>
        <w:t xml:space="preserve"> </w:t>
      </w:r>
      <w:r w:rsidR="007004E0">
        <w:t xml:space="preserve"> </w:t>
      </w:r>
      <w:r w:rsidRPr="00C957FD">
        <w:t xml:space="preserve">As we stated in the </w:t>
      </w:r>
      <w:r w:rsidRPr="003B1F1F">
        <w:rPr>
          <w:i/>
          <w:iCs/>
        </w:rPr>
        <w:t>First Modification Order</w:t>
      </w:r>
      <w:r w:rsidRPr="00C957FD">
        <w:t>, “Our rules do not prohibit SpaceX’s selection of an orbital regime that is also used by other satellite operators,”</w:t>
      </w:r>
      <w:r>
        <w:rPr>
          <w:vertAlign w:val="superscript"/>
        </w:rPr>
        <w:footnoteReference w:id="59"/>
      </w:r>
      <w:r w:rsidRPr="00C957FD">
        <w:t xml:space="preserve"> and given that SpaceX is aware of its obligations as a satellite operator with propulsive capabilities and has voluntarily assumed responsibility for collision avoidance,</w:t>
      </w:r>
      <w:r>
        <w:rPr>
          <w:vertAlign w:val="superscript"/>
        </w:rPr>
        <w:footnoteReference w:id="60"/>
      </w:r>
      <w:r w:rsidRPr="00C957FD">
        <w:t xml:space="preserve"> we decline to reconsider our analysis and to condition SpaceX’s authorization as Kepler requests</w:t>
      </w:r>
      <w:r>
        <w:t xml:space="preserve">. </w:t>
      </w:r>
      <w:r w:rsidR="00DA5CB4">
        <w:t xml:space="preserve"> </w:t>
      </w:r>
      <w:r w:rsidRPr="00267850">
        <w:t>Furthermore, it is the Commission’s established licensing practice to consider satellites equipped with propulsion capability to have a collision risk of zero or near zero</w:t>
      </w:r>
      <w:r w:rsidRPr="00267850" w:rsidR="00594F74">
        <w:t>, absent specific information to the contrary</w:t>
      </w:r>
      <w:r w:rsidRPr="00267850">
        <w:t>.</w:t>
      </w:r>
      <w:r>
        <w:rPr>
          <w:rStyle w:val="FootnoteReference"/>
        </w:rPr>
        <w:footnoteReference w:id="61"/>
      </w:r>
      <w:r>
        <w:t xml:space="preserve"> </w:t>
      </w:r>
      <w:r w:rsidR="00594F74">
        <w:t xml:space="preserve"> Kepler has provided none.</w:t>
      </w:r>
      <w:r>
        <w:t xml:space="preserve">  Finally, as discussed above, Kepler’s assessment that the ongoing orbit-raising of SpaceX’s first tranche of satellites indicates critical failure of satellite maneuverability is based on unsupported conjecture that SpaceX has refuted.  While SpaceX admits that three of its satellites have not functioned as planned, we </w:t>
      </w:r>
      <w:r w:rsidR="00594F74">
        <w:t xml:space="preserve">specifically </w:t>
      </w:r>
      <w:r>
        <w:t xml:space="preserve">addressed </w:t>
      </w:r>
      <w:r w:rsidR="00594F74">
        <w:t xml:space="preserve">concerns with failed satellites </w:t>
      </w:r>
      <w:r>
        <w:t xml:space="preserve">in the </w:t>
      </w:r>
      <w:r w:rsidRPr="00C957FD">
        <w:rPr>
          <w:i/>
        </w:rPr>
        <w:t>First Modification Order</w:t>
      </w:r>
      <w:r w:rsidR="00415F94">
        <w:t>,</w:t>
      </w:r>
      <w:r>
        <w:rPr>
          <w:rStyle w:val="FootnoteReference"/>
        </w:rPr>
        <w:footnoteReference w:id="62"/>
      </w:r>
      <w:r>
        <w:t xml:space="preserve"> and we find </w:t>
      </w:r>
      <w:r w:rsidR="002C0B68">
        <w:t xml:space="preserve">that </w:t>
      </w:r>
      <w:r>
        <w:t xml:space="preserve">the conditions placed on SpaceX’s </w:t>
      </w:r>
      <w:r w:rsidR="00545885">
        <w:t xml:space="preserve">operations in that decision </w:t>
      </w:r>
      <w:r w:rsidR="00AC635E">
        <w:t xml:space="preserve">are </w:t>
      </w:r>
      <w:r>
        <w:t>sufficient to protect Kepler and other NGSO systems operating at or near the 550 km orbital altitude.</w:t>
      </w:r>
    </w:p>
    <w:p w:rsidR="00814869" w:rsidP="00814869" w14:paraId="715B6C69" w14:textId="1BA700A8">
      <w:pPr>
        <w:pStyle w:val="ParaNum"/>
        <w:tabs>
          <w:tab w:val="num" w:pos="1080"/>
          <w:tab w:val="clear" w:pos="1440"/>
        </w:tabs>
      </w:pPr>
      <w:r>
        <w:t xml:space="preserve">For all these reasons, we deny Kepler’s request for a waiver of </w:t>
      </w:r>
      <w:r w:rsidR="0000744E">
        <w:t>s</w:t>
      </w:r>
      <w:r>
        <w:t xml:space="preserve">ection 1.106(f) and dismiss Kepler’s petition to reconsider </w:t>
      </w:r>
      <w:r w:rsidR="00006C44">
        <w:t xml:space="preserve">the </w:t>
      </w:r>
      <w:r w:rsidRPr="003A41A0" w:rsidR="00006C44">
        <w:rPr>
          <w:i/>
          <w:iCs/>
        </w:rPr>
        <w:t>F</w:t>
      </w:r>
      <w:r w:rsidRPr="003A41A0">
        <w:rPr>
          <w:i/>
          <w:iCs/>
        </w:rPr>
        <w:t xml:space="preserve">irst </w:t>
      </w:r>
      <w:r w:rsidRPr="003A41A0" w:rsidR="00006C44">
        <w:rPr>
          <w:i/>
          <w:iCs/>
        </w:rPr>
        <w:t>M</w:t>
      </w:r>
      <w:r w:rsidRPr="003A41A0">
        <w:rPr>
          <w:i/>
          <w:iCs/>
        </w:rPr>
        <w:t>odification</w:t>
      </w:r>
      <w:r w:rsidRPr="003A41A0" w:rsidR="00006C44">
        <w:rPr>
          <w:i/>
          <w:iCs/>
        </w:rPr>
        <w:t xml:space="preserve"> Order</w:t>
      </w:r>
      <w:r>
        <w:t xml:space="preserve"> as untimely.</w:t>
      </w:r>
    </w:p>
    <w:bookmarkEnd w:id="2"/>
    <w:p w:rsidR="00814869" w:rsidP="00814869" w14:paraId="5B5AEE3B" w14:textId="6D2462CE">
      <w:pPr>
        <w:pStyle w:val="Heading1"/>
      </w:pPr>
      <w:r>
        <w:t>ORDERING CLAUSES</w:t>
      </w:r>
    </w:p>
    <w:p w:rsidR="00814869" w:rsidP="00814869" w14:paraId="4A723176" w14:textId="05BB9ABB">
      <w:pPr>
        <w:pStyle w:val="ParaNum"/>
        <w:tabs>
          <w:tab w:val="num" w:pos="1080"/>
          <w:tab w:val="clear" w:pos="1440"/>
        </w:tabs>
      </w:pPr>
      <w:r>
        <w:t xml:space="preserve">Accordingly, IT IS </w:t>
      </w:r>
      <w:r w:rsidRPr="002E2773">
        <w:t xml:space="preserve">ORDERED, pursuant to </w:t>
      </w:r>
      <w:r w:rsidR="003A4413">
        <w:t>s</w:t>
      </w:r>
      <w:r w:rsidRPr="002E2773">
        <w:t xml:space="preserve">ection 405(a) of the Communications Act of 1934, as amended, 47 U.S.C. § 405(a), and </w:t>
      </w:r>
      <w:r w:rsidR="003A4413">
        <w:t>s</w:t>
      </w:r>
      <w:r w:rsidRPr="002E2773">
        <w:t xml:space="preserve">ection 1.429(i) of the Commission's rules, 47 CFR § 1.429(i), that the </w:t>
      </w:r>
      <w:r w:rsidR="003A4413">
        <w:t>P</w:t>
      </w:r>
      <w:r w:rsidRPr="002E2773">
        <w:t xml:space="preserve">etition for </w:t>
      </w:r>
      <w:r w:rsidR="003A4413">
        <w:t>R</w:t>
      </w:r>
      <w:r w:rsidRPr="002E2773">
        <w:t xml:space="preserve">econsideration </w:t>
      </w:r>
      <w:r w:rsidR="003A4413">
        <w:t xml:space="preserve">and Petition to Condition </w:t>
      </w:r>
      <w:r w:rsidRPr="002E2773">
        <w:t xml:space="preserve">filed by WorldVu Satellites Limited IS GRANTED IN PART and DENIED IN PART to the extent indicated above. </w:t>
      </w:r>
      <w:r>
        <w:t xml:space="preserve"> </w:t>
      </w:r>
      <w:r w:rsidRPr="002E2773">
        <w:t xml:space="preserve">The </w:t>
      </w:r>
      <w:r w:rsidR="00B52627">
        <w:t>P</w:t>
      </w:r>
      <w:r>
        <w:t>etition for</w:t>
      </w:r>
      <w:r w:rsidR="00B52627">
        <w:t xml:space="preserve"> R</w:t>
      </w:r>
      <w:r>
        <w:t xml:space="preserve">econsideration filed by Kepler Communications, Inc. is </w:t>
      </w:r>
      <w:r w:rsidR="00DC0571">
        <w:t>DISMISSED</w:t>
      </w:r>
      <w:r w:rsidRPr="002E2773">
        <w:t>.</w:t>
      </w:r>
      <w:r>
        <w:t xml:space="preserve"> </w:t>
      </w:r>
    </w:p>
    <w:p w:rsidR="00814869" w:rsidP="00814869" w14:paraId="19E06884" w14:textId="40A9F698">
      <w:pPr>
        <w:pStyle w:val="ParaNum"/>
        <w:tabs>
          <w:tab w:val="num" w:pos="1080"/>
          <w:tab w:val="clear" w:pos="1440"/>
        </w:tabs>
      </w:pPr>
      <w:r w:rsidRPr="00B17FB4">
        <w:t xml:space="preserve">IT IS FURTHER ORDERED that the </w:t>
      </w:r>
      <w:r>
        <w:rPr>
          <w:i/>
        </w:rPr>
        <w:t>First Modification Order</w:t>
      </w:r>
      <w:r w:rsidRPr="00B17FB4">
        <w:t xml:space="preserve">, DA 19-342, be conditioned as set forth in paragraph </w:t>
      </w:r>
      <w:r w:rsidRPr="00491264">
        <w:t>1</w:t>
      </w:r>
      <w:r w:rsidRPr="00491264" w:rsidR="00786DB7">
        <w:t>6</w:t>
      </w:r>
      <w:r>
        <w:t xml:space="preserve"> </w:t>
      </w:r>
      <w:r w:rsidRPr="00620ACA">
        <w:t>as</w:t>
      </w:r>
      <w:r>
        <w:t xml:space="preserve"> follows:  </w:t>
      </w:r>
      <w:r w:rsidR="002848EF">
        <w:t xml:space="preserve">When conducting coordination with other NGSO FSS systems, taking into account section 25.261, </w:t>
      </w:r>
      <w:r w:rsidRPr="000444FB">
        <w:t xml:space="preserve">SpaceX </w:t>
      </w:r>
      <w:r w:rsidR="004B5AFE">
        <w:t xml:space="preserve">cannot claim more protection to any of its Ku-band gateway earth stations than the protection </w:t>
      </w:r>
      <w:r w:rsidR="00480A9F">
        <w:t xml:space="preserve">to which </w:t>
      </w:r>
      <w:r w:rsidR="004B5AFE">
        <w:t>a SpaceX user terminal at the same location would be entitled</w:t>
      </w:r>
      <w:r>
        <w:t>.</w:t>
      </w:r>
      <w:r w:rsidRPr="00620ACA">
        <w:t xml:space="preserve"> </w:t>
      </w:r>
    </w:p>
    <w:p w:rsidR="00491264" w:rsidP="00491264" w14:paraId="536608CC" w14:textId="0C6C6350">
      <w:pPr>
        <w:pStyle w:val="ParaNum"/>
        <w:numPr>
          <w:ilvl w:val="0"/>
          <w:numId w:val="0"/>
        </w:numPr>
        <w:ind w:firstLine="720"/>
      </w:pPr>
    </w:p>
    <w:p w:rsidR="00491264" w:rsidP="00491264" w14:paraId="352AA870" w14:textId="693813BA">
      <w:pPr>
        <w:pStyle w:val="ParaNum"/>
        <w:numPr>
          <w:ilvl w:val="0"/>
          <w:numId w:val="0"/>
        </w:numPr>
        <w:ind w:firstLine="720"/>
      </w:pPr>
    </w:p>
    <w:p w:rsidR="00491264" w:rsidP="00491264" w14:paraId="2759B4CB" w14:textId="43DF9CCE">
      <w:pPr>
        <w:pStyle w:val="ParaNum"/>
        <w:numPr>
          <w:ilvl w:val="0"/>
          <w:numId w:val="0"/>
        </w:numPr>
        <w:ind w:firstLine="720"/>
      </w:pPr>
    </w:p>
    <w:p w:rsidR="00491264" w:rsidP="00491264" w14:paraId="748F57C9" w14:textId="02F837D9">
      <w:pPr>
        <w:pStyle w:val="ParaNum"/>
        <w:numPr>
          <w:ilvl w:val="0"/>
          <w:numId w:val="0"/>
        </w:numPr>
        <w:ind w:firstLine="720"/>
      </w:pPr>
    </w:p>
    <w:p w:rsidR="00491264" w:rsidP="00491264" w14:paraId="07833B41" w14:textId="5AFB45EC">
      <w:pPr>
        <w:pStyle w:val="ParaNum"/>
        <w:numPr>
          <w:ilvl w:val="0"/>
          <w:numId w:val="0"/>
        </w:numPr>
        <w:ind w:firstLine="720"/>
      </w:pPr>
    </w:p>
    <w:p w:rsidR="00491264" w:rsidP="00491264" w14:paraId="74B6438D" w14:textId="5EA260C1">
      <w:pPr>
        <w:pStyle w:val="ParaNum"/>
        <w:numPr>
          <w:ilvl w:val="0"/>
          <w:numId w:val="0"/>
        </w:numPr>
        <w:ind w:firstLine="720"/>
      </w:pPr>
    </w:p>
    <w:p w:rsidR="00491264" w:rsidP="00491264" w14:paraId="1467DBD6" w14:textId="77777777">
      <w:pPr>
        <w:pStyle w:val="ParaNum"/>
        <w:numPr>
          <w:ilvl w:val="0"/>
          <w:numId w:val="0"/>
        </w:numPr>
        <w:ind w:left="720"/>
      </w:pPr>
      <w:bookmarkStart w:id="3" w:name="_Hlk35511422"/>
    </w:p>
    <w:p w:rsidR="00814869" w:rsidRPr="000F348D" w:rsidP="00814869" w14:paraId="511651F7" w14:textId="6562A52F">
      <w:pPr>
        <w:pStyle w:val="ParaNum"/>
        <w:tabs>
          <w:tab w:val="num" w:pos="1080"/>
          <w:tab w:val="clear" w:pos="1440"/>
        </w:tabs>
      </w:pPr>
      <w:r w:rsidRPr="000F348D">
        <w:t xml:space="preserve">This </w:t>
      </w:r>
      <w:r w:rsidR="003A4413">
        <w:t xml:space="preserve">Memorandum Opinion and </w:t>
      </w:r>
      <w:r w:rsidRPr="000F348D">
        <w:t xml:space="preserve">Order is issued on delegated authority pursuant to </w:t>
      </w:r>
      <w:r w:rsidR="007004E0">
        <w:t>s</w:t>
      </w:r>
      <w:r w:rsidRPr="000F348D">
        <w:t xml:space="preserve">ections 0.241 and 0.261 of the Commission’s rules, 47 CFR §§ 0.241 and 0.261, and is effective upon release.  Applications for review under </w:t>
      </w:r>
      <w:r w:rsidR="007004E0">
        <w:t>s</w:t>
      </w:r>
      <w:r w:rsidRPr="000F348D">
        <w:t xml:space="preserve">ection 1.115 of the Commission's rules, 47 CFR § 1.115, may be filed within thirty days of </w:t>
      </w:r>
      <w:r w:rsidRPr="00491264" w:rsidR="00A649BC">
        <w:t>public notice</w:t>
      </w:r>
      <w:r w:rsidR="003A4413">
        <w:t xml:space="preserve"> of </w:t>
      </w:r>
      <w:r w:rsidRPr="000F348D">
        <w:t>this Order.</w:t>
      </w:r>
    </w:p>
    <w:bookmarkEnd w:id="3"/>
    <w:p w:rsidR="00814869" w:rsidRPr="00B17FB4" w:rsidP="00814869" w14:paraId="60534B8B" w14:textId="77777777">
      <w:pPr>
        <w:pStyle w:val="ParaNum"/>
        <w:numPr>
          <w:ilvl w:val="0"/>
          <w:numId w:val="0"/>
        </w:numPr>
        <w:ind w:left="720"/>
      </w:pPr>
    </w:p>
    <w:p w:rsidR="00814869" w:rsidP="00814869" w14:paraId="7685F307" w14:textId="77777777">
      <w:pPr>
        <w:pStyle w:val="ParaNum"/>
        <w:numPr>
          <w:ilvl w:val="0"/>
          <w:numId w:val="0"/>
        </w:numPr>
        <w:spacing w:after="0"/>
        <w:ind w:left="4320"/>
      </w:pPr>
      <w:r>
        <w:t>FEDERAL COMMUNICATIONS COMMISSION</w:t>
      </w:r>
    </w:p>
    <w:p w:rsidR="00814869" w:rsidP="00814869" w14:paraId="0BC94417" w14:textId="77777777">
      <w:pPr>
        <w:pStyle w:val="ParaNum"/>
        <w:numPr>
          <w:ilvl w:val="0"/>
          <w:numId w:val="0"/>
        </w:numPr>
        <w:spacing w:after="0"/>
        <w:ind w:left="4320"/>
      </w:pPr>
    </w:p>
    <w:p w:rsidR="00814869" w:rsidP="00814869" w14:paraId="4345D33D" w14:textId="7C8FA7C5">
      <w:pPr>
        <w:pStyle w:val="ParaNum"/>
        <w:numPr>
          <w:ilvl w:val="0"/>
          <w:numId w:val="0"/>
        </w:numPr>
        <w:spacing w:after="0"/>
        <w:ind w:left="4320"/>
      </w:pPr>
    </w:p>
    <w:p w:rsidR="007004E0" w:rsidP="00814869" w14:paraId="3690E226" w14:textId="27D6B891">
      <w:pPr>
        <w:pStyle w:val="ParaNum"/>
        <w:numPr>
          <w:ilvl w:val="0"/>
          <w:numId w:val="0"/>
        </w:numPr>
        <w:spacing w:after="0"/>
        <w:ind w:left="4320"/>
      </w:pPr>
    </w:p>
    <w:p w:rsidR="007004E0" w:rsidP="00814869" w14:paraId="73735330" w14:textId="77777777">
      <w:pPr>
        <w:pStyle w:val="ParaNum"/>
        <w:numPr>
          <w:ilvl w:val="0"/>
          <w:numId w:val="0"/>
        </w:numPr>
        <w:spacing w:after="0"/>
        <w:ind w:left="4320"/>
      </w:pPr>
    </w:p>
    <w:p w:rsidR="00814869" w:rsidRPr="00145A03" w:rsidP="003A41A0" w14:paraId="68C59D6E" w14:textId="1524FC4D">
      <w:pPr>
        <w:pStyle w:val="ParaNum"/>
        <w:numPr>
          <w:ilvl w:val="0"/>
          <w:numId w:val="0"/>
        </w:numPr>
        <w:spacing w:after="0"/>
        <w:ind w:left="3600" w:firstLine="720"/>
      </w:pPr>
      <w:r w:rsidRPr="00145A03">
        <w:t xml:space="preserve">Thomas </w:t>
      </w:r>
      <w:r w:rsidR="00AA5E40">
        <w:t xml:space="preserve">P. </w:t>
      </w:r>
      <w:r w:rsidRPr="00145A03">
        <w:t>Sullivan</w:t>
      </w:r>
    </w:p>
    <w:p w:rsidR="00814869" w:rsidP="003A41A0" w14:paraId="00356FBD" w14:textId="77777777">
      <w:pPr>
        <w:pStyle w:val="ParaNum"/>
        <w:numPr>
          <w:ilvl w:val="0"/>
          <w:numId w:val="0"/>
        </w:numPr>
        <w:spacing w:after="0"/>
        <w:ind w:left="3600" w:firstLine="720"/>
      </w:pPr>
      <w:r w:rsidRPr="00145A03">
        <w:t>Chief, International Bureau</w:t>
      </w:r>
    </w:p>
    <w:p w:rsidR="00814869" w:rsidRPr="002F0D2A" w:rsidP="003A41A0" w14:paraId="1D0C52EB" w14:textId="77777777">
      <w:pPr>
        <w:pStyle w:val="ParaNum"/>
        <w:numPr>
          <w:ilvl w:val="0"/>
          <w:numId w:val="0"/>
        </w:numPr>
        <w:spacing w:after="0"/>
      </w:pPr>
    </w:p>
    <w:p w:rsidR="00412FC5" w:rsidRPr="00814869" w:rsidP="00814869" w14:paraId="7CD5D01E" w14:textId="77777777"/>
    <w:sectPr w:rsidSect="0055614C">
      <w:headerReference w:type="default" r:id="rId5"/>
      <w:footerReference w:type="even" r:id="rId6"/>
      <w:footerReference w:type="default" r:id="rId7"/>
      <w:headerReference w:type="first" r:id="rId8"/>
      <w:footerReference w:type="first" r:id="rId9"/>
      <w:endnotePr>
        <w:numFmt w:val="decimal"/>
      </w:endnotePr>
      <w:pgSz w:w="12240" w:h="15840"/>
      <w:pgMar w:top="1440" w:right="1440" w:bottom="720" w:left="1440" w:header="720" w:footer="720" w:gutter="0"/>
      <w:pgNumType w:start="1"/>
      <w:cols w:space="720"/>
      <w:noEndnote/>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25FB5" w:rsidP="0055614C" w14:paraId="0F59CBDA" w14:textId="77777777">
    <w:pPr>
      <w:pStyle w:val="Footer"/>
      <w:framePr w:wrap="around" w:vAnchor="text" w:hAnchor="margin" w:xAlign="center" w:y="1"/>
    </w:pPr>
    <w:r>
      <w:fldChar w:fldCharType="begin"/>
    </w:r>
    <w:r>
      <w:instrText xml:space="preserve">PAGE  </w:instrText>
    </w:r>
    <w:r>
      <w:fldChar w:fldCharType="separate"/>
    </w:r>
    <w:r>
      <w:fldChar w:fldCharType="end"/>
    </w:r>
  </w:p>
  <w:p w:rsidR="00D25FB5" w14:paraId="02EE1BF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D7308" w14:paraId="05B25171" w14:textId="77777777">
    <w:pPr>
      <w:pStyle w:val="Footer"/>
      <w:jc w:val="center"/>
    </w:pPr>
    <w:r>
      <w:fldChar w:fldCharType="begin"/>
    </w:r>
    <w:r>
      <w:instrText xml:space="preserve"> PAGE   \* MERGEFORMAT </w:instrText>
    </w:r>
    <w:r>
      <w:fldChar w:fldCharType="separate"/>
    </w:r>
    <w:r>
      <w:rPr>
        <w:noProof/>
      </w:rPr>
      <w:t>2</w:t>
    </w:r>
    <w:r>
      <w:rPr>
        <w:noProof/>
      </w:rPr>
      <w:fldChar w:fldCharType="end"/>
    </w:r>
  </w:p>
  <w:p w:rsidR="00D25FB5" w14:paraId="24EB124B" w14:textId="77777777">
    <w:pPr>
      <w:suppressAutoHyphens/>
      <w:spacing w:line="227"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25FB5" w14:paraId="560F1FE1" w14:textId="77777777">
    <w:pPr>
      <w:pStyle w:val="Footer"/>
      <w:tabs>
        <w:tab w:val="clear" w:pos="86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footnote w:type="separator" w:id="0">
    <w:p w:rsidR="005E0FFF" w14:paraId="52DC353F" w14:textId="77777777">
      <w:r>
        <w:separator/>
      </w:r>
    </w:p>
  </w:footnote>
  <w:footnote w:type="continuationSeparator" w:id="1">
    <w:p w:rsidR="005E0FFF" w:rsidP="00C721AC" w14:paraId="7012FB6B" w14:textId="77777777">
      <w:pPr>
        <w:spacing w:before="120"/>
        <w:rPr>
          <w:sz w:val="20"/>
        </w:rPr>
      </w:pPr>
      <w:r>
        <w:rPr>
          <w:sz w:val="20"/>
        </w:rPr>
        <w:t xml:space="preserve">(Continued from previous page)  </w:t>
      </w:r>
      <w:r>
        <w:rPr>
          <w:sz w:val="20"/>
        </w:rPr>
        <w:separator/>
      </w:r>
    </w:p>
  </w:footnote>
  <w:footnote w:type="continuationNotice" w:id="2">
    <w:p w:rsidR="005E0FFF" w:rsidP="00C721AC" w14:paraId="0964B708" w14:textId="77777777">
      <w:pPr>
        <w:jc w:val="right"/>
        <w:rPr>
          <w:sz w:val="20"/>
        </w:rPr>
      </w:pPr>
    </w:p>
  </w:footnote>
  <w:footnote w:id="3">
    <w:p w:rsidR="00814869" w:rsidRPr="00781173" w:rsidP="00814869" w14:paraId="5F75F29B" w14:textId="77777777">
      <w:pPr>
        <w:pStyle w:val="FootnoteText"/>
      </w:pPr>
      <w:r>
        <w:rPr>
          <w:rStyle w:val="FootnoteReference"/>
        </w:rPr>
        <w:footnoteRef/>
      </w:r>
      <w:r>
        <w:t xml:space="preserve"> </w:t>
      </w:r>
      <w:r w:rsidRPr="00920379">
        <w:rPr>
          <w:i/>
        </w:rPr>
        <w:t>See</w:t>
      </w:r>
      <w:r>
        <w:t xml:space="preserve"> </w:t>
      </w:r>
      <w:r w:rsidRPr="003A41A0">
        <w:rPr>
          <w:i/>
          <w:iCs/>
        </w:rPr>
        <w:t>Space</w:t>
      </w:r>
      <w:r w:rsidRPr="00781173">
        <w:rPr>
          <w:i/>
        </w:rPr>
        <w:t xml:space="preserve"> Exploration Holdings, LLC, Request for Modification of the Authorization for the SpaceX NGSO Satellite System</w:t>
      </w:r>
      <w:r w:rsidRPr="00781173">
        <w:t xml:space="preserve">, Order and Authorization, </w:t>
      </w:r>
      <w:r>
        <w:t>34 FCC Rcd 2526</w:t>
      </w:r>
      <w:r w:rsidRPr="00781173">
        <w:rPr>
          <w:color w:val="212121"/>
        </w:rPr>
        <w:t xml:space="preserve"> </w:t>
      </w:r>
      <w:r w:rsidRPr="00781173">
        <w:t>(</w:t>
      </w:r>
      <w:r>
        <w:t>IB</w:t>
      </w:r>
      <w:r w:rsidRPr="00781173">
        <w:t xml:space="preserve"> 2019) (</w:t>
      </w:r>
      <w:r>
        <w:rPr>
          <w:i/>
        </w:rPr>
        <w:t xml:space="preserve">First </w:t>
      </w:r>
      <w:r w:rsidRPr="00781173">
        <w:rPr>
          <w:i/>
        </w:rPr>
        <w:t>Modification Order</w:t>
      </w:r>
      <w:r w:rsidRPr="00781173">
        <w:t>).</w:t>
      </w:r>
    </w:p>
  </w:footnote>
  <w:footnote w:id="4">
    <w:p w:rsidR="00814869" w:rsidP="00814869" w14:paraId="4AE92004" w14:textId="7DD97719">
      <w:pPr>
        <w:pStyle w:val="FootnoteText"/>
      </w:pPr>
      <w:r>
        <w:rPr>
          <w:rStyle w:val="FootnoteReference"/>
        </w:rPr>
        <w:footnoteRef/>
      </w:r>
      <w:r>
        <w:t xml:space="preserve"> </w:t>
      </w:r>
      <w:r w:rsidRPr="00920379">
        <w:rPr>
          <w:i/>
        </w:rPr>
        <w:t>See</w:t>
      </w:r>
      <w:r>
        <w:t xml:space="preserve"> </w:t>
      </w:r>
      <w:r w:rsidRPr="006B649D">
        <w:t>Petition</w:t>
      </w:r>
      <w:r w:rsidRPr="006D6A04">
        <w:t xml:space="preserve"> for Reconsideration and Petition to Condition of WorldVu Satellites Limited, IBFS</w:t>
      </w:r>
      <w:r w:rsidRPr="00DD00CD">
        <w:t xml:space="preserve"> File Nos. SAT-MOD-20181108-00083, </w:t>
      </w:r>
      <w:r w:rsidRPr="003A4413">
        <w:t>SES-LIC-20190402-00425 through -00427, SES-LIC-20190402-00450, -00451, an</w:t>
      </w:r>
      <w:r w:rsidR="003119AE">
        <w:t>d -</w:t>
      </w:r>
      <w:r w:rsidRPr="003A4413">
        <w:t>0454 and SES-AMD-20190410-00520 through 00525</w:t>
      </w:r>
      <w:r w:rsidRPr="00DD00CD">
        <w:t xml:space="preserve"> (</w:t>
      </w:r>
      <w:r>
        <w:t xml:space="preserve">filed </w:t>
      </w:r>
      <w:r w:rsidRPr="00DD00CD">
        <w:t xml:space="preserve">May </w:t>
      </w:r>
      <w:r>
        <w:t>28</w:t>
      </w:r>
      <w:r w:rsidRPr="00DD00CD">
        <w:t>, 2019) (</w:t>
      </w:r>
      <w:r w:rsidR="001A3277">
        <w:t>OneWeb</w:t>
      </w:r>
      <w:r w:rsidRPr="00DD00CD">
        <w:t xml:space="preserve"> Petition).</w:t>
      </w:r>
    </w:p>
  </w:footnote>
  <w:footnote w:id="5">
    <w:p w:rsidR="00814869" w:rsidRPr="0018088D" w:rsidP="00814869" w14:paraId="3B131D4A" w14:textId="6CF4F62D">
      <w:pPr>
        <w:pStyle w:val="FootnoteText"/>
        <w:rPr>
          <w:i/>
        </w:rPr>
      </w:pPr>
      <w:r>
        <w:rPr>
          <w:rStyle w:val="FootnoteReference"/>
        </w:rPr>
        <w:footnoteRef/>
      </w:r>
      <w:r>
        <w:t xml:space="preserve"> </w:t>
      </w:r>
      <w:r w:rsidRPr="00E54D9A">
        <w:rPr>
          <w:i/>
        </w:rPr>
        <w:t xml:space="preserve">See </w:t>
      </w:r>
      <w:r w:rsidRPr="00E54D9A">
        <w:t xml:space="preserve">Letter from </w:t>
      </w:r>
      <w:r>
        <w:t>Nickolas G. Spina, Counsel to</w:t>
      </w:r>
      <w:r w:rsidRPr="00FC6688">
        <w:t xml:space="preserve"> Kepler Communications, Inc.</w:t>
      </w:r>
      <w:r>
        <w:t>, to Marlene H. Dortch, Secretary, FCC, IBFS File Nos. SAT-MOD-201</w:t>
      </w:r>
      <w:r w:rsidR="00594099">
        <w:t>8</w:t>
      </w:r>
      <w:r>
        <w:t>1108-00083, SAT-MOD-20190830-00087, and SAT-STA-20190924-00098, at 1-2, 5-13 (filed Oct. 15, 2019) (Kepler Petition).</w:t>
      </w:r>
      <w:r w:rsidR="000E250F">
        <w:t xml:space="preserve">  Kepler’s Petition was filed several months late and Kepler requests a waiver of 47 CFR §1.106(f)</w:t>
      </w:r>
      <w:r w:rsidR="007F6245">
        <w:t xml:space="preserve"> to allow its filing to be considered late.  Kepler Petition at</w:t>
      </w:r>
      <w:r w:rsidR="000E250F">
        <w:t xml:space="preserve"> </w:t>
      </w:r>
      <w:r w:rsidR="007F6245">
        <w:t>13.</w:t>
      </w:r>
    </w:p>
  </w:footnote>
  <w:footnote w:id="6">
    <w:p w:rsidR="00814869" w:rsidP="00814869" w14:paraId="228C3861" w14:textId="77777777">
      <w:pPr>
        <w:pStyle w:val="FootnoteText"/>
      </w:pPr>
      <w:r>
        <w:rPr>
          <w:rStyle w:val="FootnoteReference"/>
        </w:rPr>
        <w:footnoteRef/>
      </w:r>
      <w:r>
        <w:t xml:space="preserve"> </w:t>
      </w:r>
      <w:r w:rsidRPr="00920379">
        <w:rPr>
          <w:i/>
        </w:rPr>
        <w:t>See</w:t>
      </w:r>
      <w:r>
        <w:t xml:space="preserve"> </w:t>
      </w:r>
      <w:r w:rsidRPr="006B649D">
        <w:t>SpaceX</w:t>
      </w:r>
      <w:r w:rsidRPr="006F4999">
        <w:rPr>
          <w:i/>
        </w:rPr>
        <w:t xml:space="preserve"> </w:t>
      </w:r>
      <w:r w:rsidRPr="003A41A0">
        <w:rPr>
          <w:iCs/>
        </w:rPr>
        <w:t>Services, Inc</w:t>
      </w:r>
      <w:r>
        <w:t xml:space="preserve">., IBFS File No. </w:t>
      </w:r>
      <w:r w:rsidRPr="00845FFD">
        <w:rPr>
          <w:spacing w:val="-2"/>
        </w:rPr>
        <w:t>SES-LIC-20190402-00425</w:t>
      </w:r>
      <w:r>
        <w:rPr>
          <w:spacing w:val="-2"/>
        </w:rPr>
        <w:t xml:space="preserve"> through -00427 and SES-LIC-20190402-00450, -00451, and -00454, Application for Authority (filed March 28, 2019).</w:t>
      </w:r>
    </w:p>
  </w:footnote>
  <w:footnote w:id="7">
    <w:p w:rsidR="00814869" w:rsidP="00814869" w14:paraId="785BB1C8" w14:textId="77777777">
      <w:pPr>
        <w:pStyle w:val="FootnoteText"/>
      </w:pPr>
      <w:r>
        <w:rPr>
          <w:rStyle w:val="FootnoteReference"/>
        </w:rPr>
        <w:footnoteRef/>
      </w:r>
      <w:r>
        <w:t xml:space="preserve"> </w:t>
      </w:r>
      <w:r w:rsidRPr="00920379">
        <w:rPr>
          <w:i/>
        </w:rPr>
        <w:t>See</w:t>
      </w:r>
      <w:r>
        <w:t xml:space="preserve"> </w:t>
      </w:r>
      <w:r w:rsidRPr="006B649D">
        <w:t>SpaceX</w:t>
      </w:r>
      <w:r w:rsidRPr="00CE7C83">
        <w:rPr>
          <w:i/>
        </w:rPr>
        <w:t xml:space="preserve"> </w:t>
      </w:r>
      <w:r w:rsidRPr="003A41A0">
        <w:rPr>
          <w:iCs/>
        </w:rPr>
        <w:t>Services, Inc</w:t>
      </w:r>
      <w:r w:rsidRPr="00CE7C83">
        <w:rPr>
          <w:i/>
        </w:rPr>
        <w:t>.</w:t>
      </w:r>
      <w:r>
        <w:t>, IBFS File No. SES-AMD-20190410-00520 through -00525 (filed Apr 8, 2019).</w:t>
      </w:r>
    </w:p>
  </w:footnote>
  <w:footnote w:id="8">
    <w:p w:rsidR="00C71559" w14:paraId="1AAB1421" w14:textId="0BBC8948">
      <w:pPr>
        <w:pStyle w:val="FootnoteText"/>
      </w:pPr>
      <w:r>
        <w:rPr>
          <w:rStyle w:val="FootnoteReference"/>
        </w:rPr>
        <w:footnoteRef/>
      </w:r>
      <w:r>
        <w:t xml:space="preserve"> </w:t>
      </w:r>
      <w:r w:rsidR="001A3277">
        <w:t>OneWeb</w:t>
      </w:r>
      <w:r>
        <w:t xml:space="preserve"> p</w:t>
      </w:r>
      <w:r w:rsidR="004F021F">
        <w:t>etitions</w:t>
      </w:r>
      <w:r>
        <w:t xml:space="preserve"> for conditions to be placed, as appropriate, on these pending earth station applications.  </w:t>
      </w:r>
      <w:r w:rsidR="001A3277">
        <w:t>OneWeb</w:t>
      </w:r>
      <w:r>
        <w:t xml:space="preserve"> Petition at 1, </w:t>
      </w:r>
      <w:r w:rsidR="004F021F">
        <w:t>9.</w:t>
      </w:r>
    </w:p>
  </w:footnote>
  <w:footnote w:id="9">
    <w:p w:rsidR="00814869" w:rsidRPr="00501356" w:rsidP="00814869" w14:paraId="2BA174CD" w14:textId="144B9804">
      <w:pPr>
        <w:pStyle w:val="FootnoteText"/>
        <w:rPr>
          <w:iCs/>
        </w:rPr>
      </w:pPr>
      <w:r>
        <w:rPr>
          <w:rStyle w:val="FootnoteReference"/>
        </w:rPr>
        <w:footnoteRef/>
      </w:r>
      <w:r>
        <w:t xml:space="preserve"> </w:t>
      </w:r>
      <w:r w:rsidRPr="005729F9" w:rsidR="00505751">
        <w:rPr>
          <w:i/>
          <w:iCs/>
        </w:rPr>
        <w:t>Id.</w:t>
      </w:r>
      <w:r w:rsidR="00505751">
        <w:rPr>
          <w:i/>
          <w:iCs/>
        </w:rPr>
        <w:t xml:space="preserve"> </w:t>
      </w:r>
      <w:r w:rsidR="00384966">
        <w:t>at</w:t>
      </w:r>
      <w:r w:rsidR="00505751">
        <w:t xml:space="preserve"> </w:t>
      </w:r>
      <w:r w:rsidR="00501356">
        <w:rPr>
          <w:iCs/>
        </w:rPr>
        <w:t>1.</w:t>
      </w:r>
    </w:p>
  </w:footnote>
  <w:footnote w:id="10">
    <w:p w:rsidR="00814869" w:rsidP="00814869" w14:paraId="6C0AACF1" w14:textId="127D067E">
      <w:pPr>
        <w:pStyle w:val="FootnoteText"/>
      </w:pPr>
      <w:r>
        <w:rPr>
          <w:rStyle w:val="FootnoteReference"/>
        </w:rPr>
        <w:footnoteRef/>
      </w:r>
      <w:r>
        <w:t xml:space="preserve"> </w:t>
      </w:r>
      <w:r w:rsidRPr="001A3277" w:rsidR="00505751">
        <w:rPr>
          <w:i/>
          <w:iCs/>
        </w:rPr>
        <w:t>Id</w:t>
      </w:r>
      <w:r w:rsidR="00505751">
        <w:t xml:space="preserve">. </w:t>
      </w:r>
      <w:r>
        <w:t>at 1-5.</w:t>
      </w:r>
    </w:p>
  </w:footnote>
  <w:footnote w:id="11">
    <w:p w:rsidR="00626079" w14:paraId="51B1F410" w14:textId="38293162">
      <w:pPr>
        <w:pStyle w:val="FootnoteText"/>
      </w:pPr>
      <w:r>
        <w:rPr>
          <w:rStyle w:val="FootnoteReference"/>
        </w:rPr>
        <w:footnoteRef/>
      </w:r>
      <w:r>
        <w:t xml:space="preserve"> </w:t>
      </w:r>
      <w:r>
        <w:rPr>
          <w:i/>
        </w:rPr>
        <w:t>Id.</w:t>
      </w:r>
      <w:r>
        <w:t xml:space="preserve">; </w:t>
      </w:r>
      <w:r w:rsidRPr="00E42007">
        <w:rPr>
          <w:i/>
          <w:iCs/>
        </w:rPr>
        <w:t>see also</w:t>
      </w:r>
      <w:r>
        <w:t xml:space="preserve"> 47 CFR § 25.261.</w:t>
      </w:r>
    </w:p>
  </w:footnote>
  <w:footnote w:id="12">
    <w:p w:rsidR="00774363" w:rsidRPr="005729F9" w14:paraId="5B77A68B" w14:textId="0CD88481">
      <w:pPr>
        <w:pStyle w:val="FootnoteText"/>
        <w:rPr>
          <w:i/>
          <w:iCs/>
        </w:rPr>
      </w:pPr>
      <w:r>
        <w:rPr>
          <w:rStyle w:val="FootnoteReference"/>
        </w:rPr>
        <w:footnoteRef/>
      </w:r>
      <w:r>
        <w:t xml:space="preserve"> </w:t>
      </w:r>
      <w:r w:rsidRPr="005729F9" w:rsidR="00423516">
        <w:rPr>
          <w:i/>
          <w:iCs/>
        </w:rPr>
        <w:t>See</w:t>
      </w:r>
      <w:r w:rsidR="00423516">
        <w:rPr>
          <w:i/>
          <w:iCs/>
        </w:rPr>
        <w:t xml:space="preserve"> </w:t>
      </w:r>
      <w:r w:rsidR="001A3277">
        <w:t>OneWeb</w:t>
      </w:r>
      <w:r w:rsidR="00423516">
        <w:rPr>
          <w:i/>
          <w:iCs/>
        </w:rPr>
        <w:t xml:space="preserve"> </w:t>
      </w:r>
      <w:r w:rsidRPr="005729F9" w:rsidR="00423516">
        <w:t>Petition</w:t>
      </w:r>
      <w:r w:rsidR="00626079">
        <w:rPr>
          <w:i/>
          <w:iCs/>
        </w:rPr>
        <w:t xml:space="preserve"> </w:t>
      </w:r>
      <w:r>
        <w:t>at 6-9.</w:t>
      </w:r>
    </w:p>
  </w:footnote>
  <w:footnote w:id="13">
    <w:p w:rsidR="00814869" w:rsidP="00814869" w14:paraId="50250D6D" w14:textId="5470F54A">
      <w:pPr>
        <w:pStyle w:val="FootnoteText"/>
      </w:pPr>
      <w:r>
        <w:rPr>
          <w:rStyle w:val="FootnoteReference"/>
        </w:rPr>
        <w:footnoteRef/>
      </w:r>
      <w:r>
        <w:t xml:space="preserve"> </w:t>
      </w:r>
      <w:r w:rsidR="00626079">
        <w:t>I</w:t>
      </w:r>
      <w:r w:rsidR="00774363">
        <w:rPr>
          <w:i/>
          <w:iCs/>
        </w:rPr>
        <w:t>d</w:t>
      </w:r>
      <w:r>
        <w:t>.</w:t>
      </w:r>
    </w:p>
  </w:footnote>
  <w:footnote w:id="14">
    <w:p w:rsidR="00BD18E9" w:rsidRPr="00BD18E9" w14:paraId="74E10F23" w14:textId="436BCF99">
      <w:pPr>
        <w:pStyle w:val="FootnoteText"/>
      </w:pPr>
      <w:r>
        <w:rPr>
          <w:rStyle w:val="FootnoteReference"/>
        </w:rPr>
        <w:footnoteRef/>
      </w:r>
      <w:r>
        <w:t xml:space="preserve"> </w:t>
      </w:r>
      <w:r w:rsidR="00423516">
        <w:rPr>
          <w:i/>
          <w:iCs/>
        </w:rPr>
        <w:t xml:space="preserve">Id. </w:t>
      </w:r>
      <w:r>
        <w:t xml:space="preserve">at </w:t>
      </w:r>
      <w:r w:rsidR="00003A58">
        <w:t>9-10</w:t>
      </w:r>
      <w:r>
        <w:t>.</w:t>
      </w:r>
    </w:p>
  </w:footnote>
  <w:footnote w:id="15">
    <w:p w:rsidR="009F47E2" w14:paraId="7962F00C" w14:textId="6D908291">
      <w:pPr>
        <w:pStyle w:val="FootnoteText"/>
      </w:pPr>
      <w:r>
        <w:rPr>
          <w:rStyle w:val="FootnoteReference"/>
        </w:rPr>
        <w:footnoteRef/>
      </w:r>
      <w:r>
        <w:t xml:space="preserve"> </w:t>
      </w:r>
      <w:r>
        <w:rPr>
          <w:i/>
        </w:rPr>
        <w:t xml:space="preserve">See </w:t>
      </w:r>
      <w:r>
        <w:t xml:space="preserve">Opposition of Space Exploration Holdings, LLC and SpaceX Services, Inc., IBFS File Nos. </w:t>
      </w:r>
      <w:r>
        <w:rPr>
          <w:spacing w:val="-2"/>
        </w:rPr>
        <w:t>SAT-MOD-20181108-00083, SES-LIC-20190402-00425, SES-AMD-20190410-00520, et al.,</w:t>
      </w:r>
      <w:r>
        <w:t xml:space="preserve"> (filed June 10, 2019) (SpaceX Opposition).</w:t>
      </w:r>
    </w:p>
  </w:footnote>
  <w:footnote w:id="16">
    <w:p w:rsidR="00814869" w:rsidRPr="0039245A" w:rsidP="00814869" w14:paraId="388101C3" w14:textId="67EF8A72">
      <w:pPr>
        <w:pStyle w:val="FootnoteText"/>
      </w:pPr>
      <w:r>
        <w:rPr>
          <w:rStyle w:val="FootnoteReference"/>
        </w:rPr>
        <w:footnoteRef/>
      </w:r>
      <w:r>
        <w:t xml:space="preserve"> 47 CFR § 1.106(c)</w:t>
      </w:r>
      <w:r w:rsidR="001C1077">
        <w:t>; SpaceX Opposition at 1</w:t>
      </w:r>
      <w:r>
        <w:t xml:space="preserve">. </w:t>
      </w:r>
      <w:r w:rsidRPr="00ED1DC5">
        <w:t xml:space="preserve"> SpaceX </w:t>
      </w:r>
      <w:r w:rsidR="00DA20FA">
        <w:t xml:space="preserve">also </w:t>
      </w:r>
      <w:r w:rsidRPr="00ED1DC5">
        <w:t xml:space="preserve">argues </w:t>
      </w:r>
      <w:r>
        <w:t xml:space="preserve">that even if </w:t>
      </w:r>
      <w:r w:rsidR="001A3277">
        <w:t>OneWeb</w:t>
      </w:r>
      <w:r>
        <w:t xml:space="preserve">’s petition </w:t>
      </w:r>
      <w:r w:rsidR="00DA20FA">
        <w:t>is</w:t>
      </w:r>
      <w:r>
        <w:t xml:space="preserve"> not procedurally barred, </w:t>
      </w:r>
      <w:r w:rsidRPr="00ED1DC5">
        <w:t xml:space="preserve">the interference claims raised by </w:t>
      </w:r>
      <w:r w:rsidR="001A3277">
        <w:t>OneWeb</w:t>
      </w:r>
      <w:r w:rsidRPr="00ED1DC5">
        <w:t xml:space="preserve"> are meritless, both with respect to the claims related to </w:t>
      </w:r>
      <w:r>
        <w:t xml:space="preserve">SpaceX’s </w:t>
      </w:r>
      <w:r w:rsidRPr="00ED1DC5">
        <w:t xml:space="preserve">system’s decreased orbital altitude and the claims related to interference to and from Ku-band gateway </w:t>
      </w:r>
      <w:r w:rsidR="00501356">
        <w:t>e</w:t>
      </w:r>
      <w:r w:rsidR="000C0434">
        <w:t>arth</w:t>
      </w:r>
      <w:r w:rsidRPr="00ED1DC5">
        <w:t xml:space="preserve"> stations</w:t>
      </w:r>
      <w:r>
        <w:t xml:space="preserve">.  </w:t>
      </w:r>
      <w:r w:rsidR="00423516">
        <w:rPr>
          <w:i/>
          <w:iCs/>
        </w:rPr>
        <w:t>Id.</w:t>
      </w:r>
      <w:r w:rsidR="00423516">
        <w:t xml:space="preserve"> </w:t>
      </w:r>
      <w:r w:rsidRPr="001A3277">
        <w:t>at</w:t>
      </w:r>
      <w:r w:rsidRPr="003D68AE">
        <w:t xml:space="preserve"> </w:t>
      </w:r>
      <w:r>
        <w:t>2,</w:t>
      </w:r>
      <w:r w:rsidR="003D68AE">
        <w:t xml:space="preserve"> </w:t>
      </w:r>
      <w:r>
        <w:t>5</w:t>
      </w:r>
      <w:r w:rsidR="00CF172B">
        <w:t>-10</w:t>
      </w:r>
      <w:r>
        <w:t>.</w:t>
      </w:r>
    </w:p>
  </w:footnote>
  <w:footnote w:id="17">
    <w:p w:rsidR="00814869" w:rsidP="00814869" w14:paraId="482D76A6" w14:textId="49780CBB">
      <w:pPr>
        <w:pStyle w:val="FootnoteText"/>
      </w:pPr>
      <w:r>
        <w:rPr>
          <w:rStyle w:val="FootnoteReference"/>
        </w:rPr>
        <w:footnoteRef/>
      </w:r>
      <w:r>
        <w:t xml:space="preserve"> </w:t>
      </w:r>
      <w:r w:rsidR="00423516">
        <w:rPr>
          <w:i/>
          <w:iCs/>
        </w:rPr>
        <w:t>Id.</w:t>
      </w:r>
      <w:r w:rsidR="00423516">
        <w:t xml:space="preserve"> </w:t>
      </w:r>
      <w:r w:rsidRPr="005729F9">
        <w:rPr>
          <w:i/>
          <w:iCs/>
        </w:rPr>
        <w:t>at</w:t>
      </w:r>
      <w:r>
        <w:t xml:space="preserve"> 1.</w:t>
      </w:r>
    </w:p>
  </w:footnote>
  <w:footnote w:id="18">
    <w:p w:rsidR="00814869" w:rsidRPr="00D55E74" w:rsidP="00814869" w14:paraId="132D8BDC" w14:textId="57FAB3D7">
      <w:pPr>
        <w:pStyle w:val="FootnoteText"/>
      </w:pPr>
      <w:r>
        <w:rPr>
          <w:rStyle w:val="FootnoteReference"/>
        </w:rPr>
        <w:footnoteRef/>
      </w:r>
      <w:r>
        <w:t xml:space="preserve"> </w:t>
      </w:r>
      <w:r w:rsidRPr="003A41A0" w:rsidR="00D07906">
        <w:rPr>
          <w:i/>
          <w:iCs/>
        </w:rPr>
        <w:t xml:space="preserve">See </w:t>
      </w:r>
      <w:r w:rsidRPr="00D07906">
        <w:t>47</w:t>
      </w:r>
      <w:r>
        <w:t xml:space="preserve"> CFR § 1.106(c).</w:t>
      </w:r>
    </w:p>
  </w:footnote>
  <w:footnote w:id="19">
    <w:p w:rsidR="00814869" w:rsidP="00814869" w14:paraId="555B2A52" w14:textId="6A49BE62">
      <w:pPr>
        <w:pStyle w:val="FootnoteText"/>
      </w:pPr>
      <w:r>
        <w:rPr>
          <w:rStyle w:val="FootnoteReference"/>
        </w:rPr>
        <w:footnoteRef/>
      </w:r>
      <w:r>
        <w:t xml:space="preserve"> </w:t>
      </w:r>
      <w:r w:rsidRPr="003A41A0" w:rsidR="00D07906">
        <w:rPr>
          <w:i/>
          <w:iCs/>
        </w:rPr>
        <w:t>See</w:t>
      </w:r>
      <w:r w:rsidR="00D07906">
        <w:t xml:space="preserve"> </w:t>
      </w:r>
      <w:r w:rsidRPr="00531B5A" w:rsidR="00423516">
        <w:t>Reply</w:t>
      </w:r>
      <w:r w:rsidR="00423516">
        <w:t xml:space="preserve"> of WorldVu Satellites Limited, IBFS File Nos. SAT-MOD-20181108-00083, SES-LIC-20190402-00425, SES-AMD-20190410-00520, et al., at 4 (filed June 24, 2019) (</w:t>
      </w:r>
      <w:r w:rsidR="001A3277">
        <w:t>OneWeb</w:t>
      </w:r>
      <w:r w:rsidR="00423516">
        <w:t xml:space="preserve"> Reply).</w:t>
      </w:r>
    </w:p>
  </w:footnote>
  <w:footnote w:id="20">
    <w:p w:rsidR="00814869" w:rsidRPr="001E0892" w:rsidP="00814869" w14:paraId="25737CDC" w14:textId="599973AA">
      <w:pPr>
        <w:pStyle w:val="FootnoteText"/>
        <w:rPr>
          <w:i/>
        </w:rPr>
      </w:pPr>
      <w:r>
        <w:rPr>
          <w:rStyle w:val="FootnoteReference"/>
        </w:rPr>
        <w:footnoteRef/>
      </w:r>
      <w:r>
        <w:t xml:space="preserve"> </w:t>
      </w:r>
      <w:r w:rsidRPr="003A41A0" w:rsidR="00D07906">
        <w:rPr>
          <w:i/>
          <w:iCs/>
        </w:rPr>
        <w:t>See</w:t>
      </w:r>
      <w:r w:rsidR="00D07906">
        <w:t xml:space="preserve"> </w:t>
      </w:r>
      <w:r w:rsidR="001A3277">
        <w:t>OneWeb</w:t>
      </w:r>
      <w:r>
        <w:t xml:space="preserve"> Petition at 1; </w:t>
      </w:r>
      <w:r w:rsidR="001A3277">
        <w:t>OneWeb</w:t>
      </w:r>
      <w:r>
        <w:rPr>
          <w:i/>
        </w:rPr>
        <w:t xml:space="preserve"> </w:t>
      </w:r>
      <w:r w:rsidRPr="00DE449C">
        <w:t>Reply at 3</w:t>
      </w:r>
      <w:r>
        <w:rPr>
          <w:i/>
        </w:rPr>
        <w:t>.</w:t>
      </w:r>
    </w:p>
  </w:footnote>
  <w:footnote w:id="21">
    <w:p w:rsidR="00814869" w:rsidP="00814869" w14:paraId="5A89BB11" w14:textId="19510AEB">
      <w:pPr>
        <w:pStyle w:val="FootnoteText"/>
      </w:pPr>
      <w:r w:rsidRPr="001E0892">
        <w:rPr>
          <w:rStyle w:val="FootnoteReference"/>
          <w:i/>
        </w:rPr>
        <w:footnoteRef/>
      </w:r>
      <w:r>
        <w:t xml:space="preserve"> </w:t>
      </w:r>
      <w:r w:rsidRPr="003A41A0" w:rsidR="00D07906">
        <w:rPr>
          <w:i/>
          <w:iCs/>
        </w:rPr>
        <w:t>See</w:t>
      </w:r>
      <w:r w:rsidR="00D07906">
        <w:t xml:space="preserve"> </w:t>
      </w:r>
      <w:r w:rsidR="001A3277">
        <w:t>OneWeb</w:t>
      </w:r>
      <w:r>
        <w:t xml:space="preserve"> Reply at 3.</w:t>
      </w:r>
    </w:p>
  </w:footnote>
  <w:footnote w:id="22">
    <w:p w:rsidR="00814869" w:rsidP="00814869" w14:paraId="70DA6F63" w14:textId="47D214E6">
      <w:pPr>
        <w:pStyle w:val="FootnoteText"/>
      </w:pPr>
      <w:r>
        <w:rPr>
          <w:rStyle w:val="FootnoteReference"/>
        </w:rPr>
        <w:footnoteRef/>
      </w:r>
      <w:r>
        <w:t xml:space="preserve"> </w:t>
      </w:r>
      <w:r w:rsidR="00F10CA7">
        <w:t>Letter from William M. Wiltshire, Counsel to SpaceX, to Marlene H. Dortch, Secretary, FCC, IBFS File No</w:t>
      </w:r>
      <w:r w:rsidR="006127A0">
        <w:t>. SAT-MOD-20181108-00083 (dated July 9, 2019) at 2 (</w:t>
      </w:r>
      <w:r>
        <w:t>Wiltshire Letter</w:t>
      </w:r>
      <w:r w:rsidR="006127A0">
        <w:t>).</w:t>
      </w:r>
    </w:p>
  </w:footnote>
  <w:footnote w:id="23">
    <w:p w:rsidR="00814869" w:rsidRPr="00AD3F53" w:rsidP="00814869" w14:paraId="06F01E9B" w14:textId="77777777">
      <w:pPr>
        <w:pStyle w:val="FootnoteText"/>
      </w:pPr>
      <w:r>
        <w:rPr>
          <w:rStyle w:val="FootnoteReference"/>
        </w:rPr>
        <w:footnoteRef/>
      </w:r>
      <w:r>
        <w:t xml:space="preserve"> </w:t>
      </w:r>
      <w:r>
        <w:rPr>
          <w:i/>
        </w:rPr>
        <w:t>Id.</w:t>
      </w:r>
    </w:p>
  </w:footnote>
  <w:footnote w:id="24">
    <w:p w:rsidR="00814869" w:rsidRPr="004E46A9" w:rsidP="00814869" w14:paraId="44D2DAAE" w14:textId="1621DD61">
      <w:pPr>
        <w:pStyle w:val="FootnoteText"/>
      </w:pPr>
      <w:r>
        <w:rPr>
          <w:rStyle w:val="FootnoteReference"/>
        </w:rPr>
        <w:footnoteRef/>
      </w:r>
      <w:r>
        <w:t xml:space="preserve"> 47 CFR § 1.106(b)(2)(i).</w:t>
      </w:r>
    </w:p>
  </w:footnote>
  <w:footnote w:id="25">
    <w:p w:rsidR="00814869" w:rsidRPr="00881BE2" w:rsidP="00814869" w14:paraId="681C0BCB" w14:textId="3AF58F8A">
      <w:pPr>
        <w:pStyle w:val="FootnoteText"/>
      </w:pPr>
      <w:r>
        <w:rPr>
          <w:rStyle w:val="FootnoteReference"/>
        </w:rPr>
        <w:footnoteRef/>
      </w:r>
      <w:r>
        <w:t xml:space="preserve"> </w:t>
      </w:r>
      <w:r>
        <w:rPr>
          <w:i/>
          <w:iCs/>
        </w:rPr>
        <w:t>See</w:t>
      </w:r>
      <w:r>
        <w:t xml:space="preserve"> 47 CFR § 1.106(b)(2)(ii).</w:t>
      </w:r>
    </w:p>
  </w:footnote>
  <w:footnote w:id="26">
    <w:p w:rsidR="00814869" w:rsidRPr="00F55669" w:rsidP="00814869" w14:paraId="16FD48A2" w14:textId="180D113F">
      <w:pPr>
        <w:pStyle w:val="FootnoteText"/>
      </w:pPr>
      <w:r>
        <w:rPr>
          <w:rStyle w:val="FootnoteReference"/>
        </w:rPr>
        <w:footnoteRef/>
      </w:r>
      <w:r>
        <w:t xml:space="preserve"> </w:t>
      </w:r>
      <w:r>
        <w:rPr>
          <w:i/>
        </w:rPr>
        <w:t>See</w:t>
      </w:r>
      <w:r>
        <w:t xml:space="preserve"> 47 CFR §§ 1.106(c)(1), 1.106(c)(2).</w:t>
      </w:r>
    </w:p>
  </w:footnote>
  <w:footnote w:id="27">
    <w:p w:rsidR="00814869" w:rsidRPr="00F55669" w:rsidP="00814869" w14:paraId="3B167ABE" w14:textId="47818265">
      <w:pPr>
        <w:pStyle w:val="FootnoteText"/>
      </w:pPr>
      <w:r>
        <w:rPr>
          <w:rStyle w:val="FootnoteReference"/>
        </w:rPr>
        <w:footnoteRef/>
      </w:r>
      <w:r>
        <w:t xml:space="preserve"> </w:t>
      </w:r>
      <w:r>
        <w:rPr>
          <w:i/>
        </w:rPr>
        <w:t>See</w:t>
      </w:r>
      <w:r>
        <w:t xml:space="preserve"> </w:t>
      </w:r>
      <w:r w:rsidR="001A3277">
        <w:t>OneWeb</w:t>
      </w:r>
      <w:r>
        <w:t xml:space="preserve"> Petition at 2</w:t>
      </w:r>
      <w:r w:rsidR="00F345D7">
        <w:t>-5</w:t>
      </w:r>
      <w:r>
        <w:t>.</w:t>
      </w:r>
    </w:p>
  </w:footnote>
  <w:footnote w:id="28">
    <w:p w:rsidR="00814869" w:rsidP="00814869" w14:paraId="686FAD7A" w14:textId="23A9ABAA">
      <w:pPr>
        <w:pStyle w:val="FootnoteText"/>
      </w:pPr>
      <w:r>
        <w:rPr>
          <w:rStyle w:val="FootnoteReference"/>
        </w:rPr>
        <w:footnoteRef/>
      </w:r>
      <w:r>
        <w:t xml:space="preserve"> </w:t>
      </w:r>
      <w:r w:rsidRPr="0007383D">
        <w:t>See</w:t>
      </w:r>
      <w:r>
        <w:t xml:space="preserve"> </w:t>
      </w:r>
      <w:r w:rsidRPr="0007383D">
        <w:t>47</w:t>
      </w:r>
      <w:r>
        <w:t xml:space="preserve"> CFR § 25.261.</w:t>
      </w:r>
    </w:p>
  </w:footnote>
  <w:footnote w:id="29">
    <w:p w:rsidR="00814869" w:rsidP="00814869" w14:paraId="1F5F1516" w14:textId="4F2E4D8D">
      <w:pPr>
        <w:pStyle w:val="FootnoteText"/>
      </w:pPr>
      <w:r>
        <w:rPr>
          <w:rStyle w:val="FootnoteReference"/>
        </w:rPr>
        <w:footnoteRef/>
      </w:r>
      <w:r>
        <w:t xml:space="preserve"> </w:t>
      </w:r>
      <w:r w:rsidRPr="0007383D">
        <w:t>See</w:t>
      </w:r>
      <w:r>
        <w:t xml:space="preserve"> </w:t>
      </w:r>
      <w:r w:rsidRPr="0007383D">
        <w:t>47</w:t>
      </w:r>
      <w:r>
        <w:t xml:space="preserve"> CFR § 25.261(b).</w:t>
      </w:r>
    </w:p>
  </w:footnote>
  <w:footnote w:id="30">
    <w:p w:rsidR="00814869" w:rsidP="00814869" w14:paraId="1DB8B8D2" w14:textId="74368217">
      <w:pPr>
        <w:pStyle w:val="FootnoteText"/>
      </w:pPr>
      <w:r>
        <w:rPr>
          <w:rStyle w:val="FootnoteReference"/>
        </w:rPr>
        <w:footnoteRef/>
      </w:r>
      <w:r>
        <w:t xml:space="preserve"> </w:t>
      </w:r>
      <w:r w:rsidRPr="00531B5A">
        <w:t>See</w:t>
      </w:r>
      <w:r>
        <w:t xml:space="preserve"> </w:t>
      </w:r>
      <w:r w:rsidRPr="00531B5A">
        <w:t>47</w:t>
      </w:r>
      <w:r>
        <w:t xml:space="preserve"> CFR § 25.261(c)(1-3).</w:t>
      </w:r>
    </w:p>
  </w:footnote>
  <w:footnote w:id="31">
    <w:p w:rsidR="00814869" w:rsidP="00814869" w14:paraId="5297233C" w14:textId="77777777">
      <w:pPr>
        <w:pStyle w:val="FootnoteText"/>
      </w:pPr>
      <w:r>
        <w:rPr>
          <w:rStyle w:val="FootnoteReference"/>
        </w:rPr>
        <w:footnoteRef/>
      </w:r>
      <w:r>
        <w:t xml:space="preserve"> </w:t>
      </w:r>
      <w:r>
        <w:rPr>
          <w:i/>
        </w:rPr>
        <w:t>Id.</w:t>
      </w:r>
    </w:p>
  </w:footnote>
  <w:footnote w:id="32">
    <w:p w:rsidR="00814869" w:rsidRPr="00F55669" w:rsidP="00814869" w14:paraId="0B2F9190" w14:textId="77777777">
      <w:pPr>
        <w:pStyle w:val="FootnoteText"/>
      </w:pPr>
      <w:r>
        <w:rPr>
          <w:rStyle w:val="FootnoteReference"/>
        </w:rPr>
        <w:footnoteRef/>
      </w:r>
      <w:r>
        <w:t xml:space="preserve"> </w:t>
      </w:r>
      <w:r>
        <w:rPr>
          <w:i/>
        </w:rPr>
        <w:t>See</w:t>
      </w:r>
      <w:r>
        <w:t xml:space="preserve"> SpaceX Opposition at 2-3, 5-6, 8, Table 2.</w:t>
      </w:r>
    </w:p>
  </w:footnote>
  <w:footnote w:id="33">
    <w:p w:rsidR="005819CD" w:rsidRPr="001A3277" w14:paraId="7FD0EF21" w14:textId="40724B9E">
      <w:pPr>
        <w:pStyle w:val="FootnoteText"/>
      </w:pPr>
      <w:r>
        <w:rPr>
          <w:rStyle w:val="FootnoteReference"/>
        </w:rPr>
        <w:footnoteRef/>
      </w:r>
      <w:r>
        <w:t xml:space="preserve"> </w:t>
      </w:r>
      <w:r w:rsidRPr="001A3277">
        <w:rPr>
          <w:i/>
          <w:iCs/>
        </w:rPr>
        <w:t>Id</w:t>
      </w:r>
      <w:r w:rsidRPr="005A0F24" w:rsidR="00533D01">
        <w:t>.</w:t>
      </w:r>
    </w:p>
  </w:footnote>
  <w:footnote w:id="34">
    <w:p w:rsidR="00814869" w:rsidRPr="001E0892" w:rsidP="00814869" w14:paraId="6A8394B0" w14:textId="5B850F44">
      <w:pPr>
        <w:pStyle w:val="FootnoteText"/>
        <w:rPr>
          <w:i/>
        </w:rPr>
      </w:pPr>
      <w:r>
        <w:rPr>
          <w:rStyle w:val="FootnoteReference"/>
        </w:rPr>
        <w:footnoteRef/>
      </w:r>
      <w:r>
        <w:t xml:space="preserve"> </w:t>
      </w:r>
      <w:r w:rsidRPr="003A41A0" w:rsidR="000B74A3">
        <w:rPr>
          <w:i/>
          <w:iCs/>
        </w:rPr>
        <w:t>See</w:t>
      </w:r>
      <w:r w:rsidR="000B74A3">
        <w:t xml:space="preserve"> </w:t>
      </w:r>
      <w:r w:rsidR="001A3277">
        <w:t>OneWeb</w:t>
      </w:r>
      <w:r>
        <w:rPr>
          <w:i/>
        </w:rPr>
        <w:t xml:space="preserve"> </w:t>
      </w:r>
      <w:r w:rsidRPr="003A41A0">
        <w:rPr>
          <w:iCs/>
        </w:rPr>
        <w:t>Petition</w:t>
      </w:r>
      <w:r>
        <w:rPr>
          <w:i/>
        </w:rPr>
        <w:t xml:space="preserve"> </w:t>
      </w:r>
      <w:r w:rsidRPr="003A41A0">
        <w:rPr>
          <w:iCs/>
        </w:rPr>
        <w:t>at 6-7</w:t>
      </w:r>
      <w:r>
        <w:rPr>
          <w:i/>
        </w:rPr>
        <w:t>.</w:t>
      </w:r>
    </w:p>
  </w:footnote>
  <w:footnote w:id="35">
    <w:p w:rsidR="00814869" w:rsidRPr="00341AF2" w:rsidP="00814869" w14:paraId="54EC2629" w14:textId="77777777">
      <w:pPr>
        <w:pStyle w:val="FootnoteText"/>
      </w:pPr>
      <w:r>
        <w:rPr>
          <w:rStyle w:val="FootnoteReference"/>
        </w:rPr>
        <w:footnoteRef/>
      </w:r>
      <w:r>
        <w:t xml:space="preserve"> </w:t>
      </w:r>
      <w:r>
        <w:rPr>
          <w:i/>
        </w:rPr>
        <w:t>Id.</w:t>
      </w:r>
    </w:p>
  </w:footnote>
  <w:footnote w:id="36">
    <w:p w:rsidR="00814869" w:rsidP="00814869" w14:paraId="2634AC30" w14:textId="2950EF19">
      <w:pPr>
        <w:pStyle w:val="FootnoteText"/>
      </w:pPr>
      <w:r>
        <w:rPr>
          <w:rStyle w:val="FootnoteReference"/>
        </w:rPr>
        <w:footnoteRef/>
      </w:r>
      <w:r>
        <w:t xml:space="preserve"> </w:t>
      </w:r>
      <w:r>
        <w:rPr>
          <w:i/>
        </w:rPr>
        <w:t>Id.</w:t>
      </w:r>
      <w:r>
        <w:t xml:space="preserve">; </w:t>
      </w:r>
      <w:r w:rsidRPr="004968C7">
        <w:rPr>
          <w:i/>
        </w:rPr>
        <w:t>see also</w:t>
      </w:r>
      <w:r>
        <w:t xml:space="preserve"> </w:t>
      </w:r>
      <w:r w:rsidR="001A3277">
        <w:t>OneWeb</w:t>
      </w:r>
      <w:r>
        <w:t xml:space="preserve"> Reply at 8-9.</w:t>
      </w:r>
    </w:p>
  </w:footnote>
  <w:footnote w:id="37">
    <w:p w:rsidR="00814869" w:rsidRPr="00EE7729" w:rsidP="00814869" w14:paraId="4DBE85C8" w14:textId="4DA375E8">
      <w:pPr>
        <w:pStyle w:val="FootnoteText"/>
      </w:pPr>
      <w:r>
        <w:rPr>
          <w:rStyle w:val="FootnoteReference"/>
        </w:rPr>
        <w:footnoteRef/>
      </w:r>
      <w:r>
        <w:t xml:space="preserve"> </w:t>
      </w:r>
      <w:r w:rsidRPr="003A41A0" w:rsidR="000B74A3">
        <w:rPr>
          <w:i/>
          <w:iCs/>
        </w:rPr>
        <w:t>See</w:t>
      </w:r>
      <w:r w:rsidR="000B74A3">
        <w:t xml:space="preserve"> </w:t>
      </w:r>
      <w:r w:rsidRPr="000B74A3">
        <w:t>SpaceX</w:t>
      </w:r>
      <w:r>
        <w:t xml:space="preserve"> Opposition at 9.</w:t>
      </w:r>
    </w:p>
  </w:footnote>
  <w:footnote w:id="38">
    <w:p w:rsidR="00814869" w:rsidRPr="00C42258" w:rsidP="00814869" w14:paraId="4137611B" w14:textId="77777777">
      <w:pPr>
        <w:pStyle w:val="FootnoteText"/>
      </w:pPr>
      <w:r>
        <w:rPr>
          <w:rStyle w:val="FootnoteReference"/>
        </w:rPr>
        <w:footnoteRef/>
      </w:r>
      <w:r>
        <w:t xml:space="preserve"> </w:t>
      </w:r>
      <w:r>
        <w:rPr>
          <w:i/>
        </w:rPr>
        <w:t>Id.</w:t>
      </w:r>
      <w:r>
        <w:t xml:space="preserve"> at 9-10.</w:t>
      </w:r>
    </w:p>
  </w:footnote>
  <w:footnote w:id="39">
    <w:p w:rsidR="00814869" w:rsidRPr="00C42258" w:rsidP="00814869" w14:paraId="0495105E" w14:textId="77777777">
      <w:pPr>
        <w:pStyle w:val="FootnoteText"/>
      </w:pPr>
      <w:r>
        <w:rPr>
          <w:rStyle w:val="FootnoteReference"/>
        </w:rPr>
        <w:footnoteRef/>
      </w:r>
      <w:r>
        <w:t xml:space="preserve"> </w:t>
      </w:r>
      <w:r>
        <w:rPr>
          <w:i/>
        </w:rPr>
        <w:t>Id.</w:t>
      </w:r>
    </w:p>
  </w:footnote>
  <w:footnote w:id="40">
    <w:p w:rsidR="00814869" w:rsidRPr="001C394D" w:rsidP="00814869" w14:paraId="65A1AB88" w14:textId="77777777">
      <w:pPr>
        <w:pStyle w:val="FootnoteText"/>
      </w:pPr>
      <w:r>
        <w:rPr>
          <w:rStyle w:val="FootnoteReference"/>
        </w:rPr>
        <w:footnoteRef/>
      </w:r>
      <w:r>
        <w:t xml:space="preserve"> </w:t>
      </w:r>
      <w:r>
        <w:rPr>
          <w:i/>
        </w:rPr>
        <w:t>Id.</w:t>
      </w:r>
    </w:p>
  </w:footnote>
  <w:footnote w:id="41">
    <w:p w:rsidR="00E60569" w14:paraId="0A63D27D" w14:textId="281AF6B2">
      <w:pPr>
        <w:pStyle w:val="FootnoteText"/>
      </w:pPr>
      <w:r>
        <w:rPr>
          <w:rStyle w:val="FootnoteReference"/>
        </w:rPr>
        <w:footnoteRef/>
      </w:r>
      <w:r>
        <w:t xml:space="preserve"> </w:t>
      </w:r>
      <w:r w:rsidRPr="003A41A0">
        <w:rPr>
          <w:i/>
          <w:iCs/>
        </w:rPr>
        <w:t>See NGSO FSS Report and Order</w:t>
      </w:r>
      <w:r w:rsidRPr="00E60569">
        <w:t>, 32 FCC Rcd at 7827, para. 55 (stating that “given the variety of NGSO FSS system proposals and their potential to offer broadband services directly to consumers, we believe it is premature to adopt any additional technical limitations to promote sharing among NGSO FSS systems”).</w:t>
      </w:r>
    </w:p>
  </w:footnote>
  <w:footnote w:id="42">
    <w:p w:rsidR="00E83E7A" w14:paraId="21BA573A" w14:textId="7DD98BBD">
      <w:pPr>
        <w:pStyle w:val="FootnoteText"/>
      </w:pPr>
      <w:r>
        <w:rPr>
          <w:rStyle w:val="FootnoteReference"/>
        </w:rPr>
        <w:footnoteRef/>
      </w:r>
      <w:r>
        <w:t xml:space="preserve"> See SpaceX Opposition at 10.</w:t>
      </w:r>
    </w:p>
  </w:footnote>
  <w:footnote w:id="43">
    <w:p w:rsidR="00814869" w:rsidRPr="003A41A0" w:rsidP="00814869" w14:paraId="6425AEEC" w14:textId="2FBAD8D4">
      <w:pPr>
        <w:pStyle w:val="FootnoteText"/>
        <w:rPr>
          <w:iCs/>
        </w:rPr>
      </w:pPr>
      <w:r>
        <w:rPr>
          <w:rStyle w:val="FootnoteReference"/>
        </w:rPr>
        <w:footnoteRef/>
      </w:r>
      <w:r>
        <w:t xml:space="preserve"> </w:t>
      </w:r>
      <w:r w:rsidR="00483C30">
        <w:t>Kepler Petition at 1-2, 5-13.</w:t>
      </w:r>
    </w:p>
  </w:footnote>
  <w:footnote w:id="44">
    <w:p w:rsidR="00814869" w:rsidRPr="00AB65F7" w:rsidP="00814869" w14:paraId="14B476CB" w14:textId="6A299EB2">
      <w:pPr>
        <w:pStyle w:val="FootnoteText"/>
      </w:pPr>
      <w:r>
        <w:rPr>
          <w:rStyle w:val="FootnoteReference"/>
        </w:rPr>
        <w:footnoteRef/>
      </w:r>
      <w:r>
        <w:t xml:space="preserve"> </w:t>
      </w:r>
      <w:r>
        <w:rPr>
          <w:i/>
        </w:rPr>
        <w:t xml:space="preserve">See </w:t>
      </w:r>
      <w:r w:rsidR="00664263">
        <w:rPr>
          <w:iCs/>
        </w:rPr>
        <w:t>Consolidated Opposition to Petitions of SpaceX, IBFS File No. SAT-MOD-20190830-00087, at 9-10 (filed Oct. 30, 2019) (</w:t>
      </w:r>
      <w:r>
        <w:rPr>
          <w:iCs/>
        </w:rPr>
        <w:t>SpaceX Consolidated Opposition</w:t>
      </w:r>
      <w:r w:rsidR="00664263">
        <w:rPr>
          <w:iCs/>
        </w:rPr>
        <w:t>.</w:t>
      </w:r>
    </w:p>
  </w:footnote>
  <w:footnote w:id="45">
    <w:p w:rsidR="00814869" w:rsidRPr="0045720F" w:rsidP="00814869" w14:paraId="6A3E022A" w14:textId="601130A9">
      <w:pPr>
        <w:pStyle w:val="FootnoteText"/>
      </w:pPr>
      <w:r>
        <w:rPr>
          <w:rStyle w:val="FootnoteReference"/>
        </w:rPr>
        <w:footnoteRef/>
      </w:r>
      <w:r>
        <w:t xml:space="preserve"> </w:t>
      </w:r>
      <w:r>
        <w:rPr>
          <w:i/>
        </w:rPr>
        <w:t>See</w:t>
      </w:r>
      <w:r>
        <w:t xml:space="preserve"> 47 U.S.C. § 405(a); 47 CFR § 1.106(f).</w:t>
      </w:r>
    </w:p>
  </w:footnote>
  <w:footnote w:id="46">
    <w:p w:rsidR="00814869" w:rsidRPr="0096030B" w:rsidP="00814869" w14:paraId="67E5FCD7" w14:textId="77777777">
      <w:pPr>
        <w:pStyle w:val="FootnoteText"/>
      </w:pPr>
      <w:r>
        <w:rPr>
          <w:rStyle w:val="FootnoteReference"/>
        </w:rPr>
        <w:footnoteRef/>
      </w:r>
      <w:r>
        <w:t xml:space="preserve"> </w:t>
      </w:r>
      <w:r w:rsidRPr="00E42007">
        <w:rPr>
          <w:i/>
          <w:iCs/>
        </w:rPr>
        <w:t>See</w:t>
      </w:r>
      <w:r>
        <w:t xml:space="preserve"> Kepler Petition at 13.</w:t>
      </w:r>
    </w:p>
  </w:footnote>
  <w:footnote w:id="47">
    <w:p w:rsidR="00814869" w:rsidRPr="00FC5205" w:rsidP="00814869" w14:paraId="7D21C068" w14:textId="77777777">
      <w:pPr>
        <w:pStyle w:val="FootnoteText"/>
      </w:pPr>
      <w:r>
        <w:rPr>
          <w:rStyle w:val="FootnoteReference"/>
        </w:rPr>
        <w:footnoteRef/>
      </w:r>
      <w:r>
        <w:t xml:space="preserve"> </w:t>
      </w:r>
      <w:r>
        <w:rPr>
          <w:i/>
        </w:rPr>
        <w:t>See Virgin Islands Telephone Corp. v. FCC</w:t>
      </w:r>
      <w:r>
        <w:t xml:space="preserve">, 989 F.2d 1231, 1237 (D.C. Cir. 1993) (citing </w:t>
      </w:r>
      <w:r>
        <w:rPr>
          <w:i/>
        </w:rPr>
        <w:t>Reuters LTD. V. FCC</w:t>
      </w:r>
      <w:r>
        <w:t>, 781 F.2d 946, 951-52 (D.C. Cir. 1986)).</w:t>
      </w:r>
    </w:p>
  </w:footnote>
  <w:footnote w:id="48">
    <w:p w:rsidR="009A2334" w:rsidRPr="00F305ED" w:rsidP="009A2334" w14:paraId="49A50D29" w14:textId="618D0407">
      <w:pPr>
        <w:pStyle w:val="FootnoteText"/>
      </w:pPr>
      <w:r>
        <w:rPr>
          <w:rStyle w:val="FootnoteReference"/>
        </w:rPr>
        <w:footnoteRef/>
      </w:r>
      <w:r>
        <w:t xml:space="preserve"> </w:t>
      </w:r>
      <w:r w:rsidRPr="005729F9">
        <w:rPr>
          <w:i/>
          <w:iCs/>
        </w:rPr>
        <w:t>See</w:t>
      </w:r>
      <w:r>
        <w:rPr>
          <w:i/>
          <w:iCs/>
        </w:rPr>
        <w:t xml:space="preserve"> Kepler Petition </w:t>
      </w:r>
      <w:r w:rsidRPr="005729F9">
        <w:rPr>
          <w:i/>
          <w:iCs/>
        </w:rPr>
        <w:t>at</w:t>
      </w:r>
      <w:r>
        <w:t xml:space="preserve"> 7-11.</w:t>
      </w:r>
    </w:p>
  </w:footnote>
  <w:footnote w:id="49">
    <w:p w:rsidR="009A2334" w:rsidRPr="00583762" w:rsidP="009A2334" w14:paraId="5BF6BD6D" w14:textId="77777777">
      <w:pPr>
        <w:pStyle w:val="FootnoteText"/>
      </w:pPr>
      <w:r>
        <w:rPr>
          <w:rStyle w:val="FootnoteReference"/>
        </w:rPr>
        <w:footnoteRef/>
      </w:r>
      <w:r>
        <w:t xml:space="preserve"> </w:t>
      </w:r>
      <w:r>
        <w:rPr>
          <w:i/>
        </w:rPr>
        <w:t>Id.</w:t>
      </w:r>
      <w:r>
        <w:t xml:space="preserve"> at 7-8.</w:t>
      </w:r>
    </w:p>
  </w:footnote>
  <w:footnote w:id="50">
    <w:p w:rsidR="009A2334" w:rsidRPr="00DF73E3" w:rsidP="009A2334" w14:paraId="23CDEF24" w14:textId="77777777">
      <w:pPr>
        <w:pStyle w:val="FootnoteText"/>
      </w:pPr>
      <w:r>
        <w:rPr>
          <w:rStyle w:val="FootnoteReference"/>
        </w:rPr>
        <w:footnoteRef/>
      </w:r>
      <w:r>
        <w:t xml:space="preserve"> </w:t>
      </w:r>
      <w:r>
        <w:rPr>
          <w:i/>
        </w:rPr>
        <w:t>Id.</w:t>
      </w:r>
      <w:r>
        <w:t xml:space="preserve"> at 8-9.</w:t>
      </w:r>
    </w:p>
  </w:footnote>
  <w:footnote w:id="51">
    <w:p w:rsidR="009A2334" w:rsidP="009A2334" w14:paraId="7CBCB27E" w14:textId="77777777">
      <w:pPr>
        <w:pStyle w:val="FootnoteText"/>
      </w:pPr>
      <w:r>
        <w:rPr>
          <w:rStyle w:val="FootnoteReference"/>
        </w:rPr>
        <w:footnoteRef/>
      </w:r>
      <w:r>
        <w:t xml:space="preserve"> </w:t>
      </w:r>
      <w:r>
        <w:rPr>
          <w:i/>
        </w:rPr>
        <w:t xml:space="preserve">See </w:t>
      </w:r>
      <w:r w:rsidRPr="00463F16">
        <w:t>SpaceX Consolidated Opposition</w:t>
      </w:r>
      <w:r w:rsidRPr="00463F16">
        <w:t xml:space="preserve"> </w:t>
      </w:r>
      <w:r>
        <w:t>at 9-10, n.22.</w:t>
      </w:r>
    </w:p>
  </w:footnote>
  <w:footnote w:id="52">
    <w:p w:rsidR="00814869" w:rsidRPr="00084615" w:rsidP="00814869" w14:paraId="12DF6319" w14:textId="588F8C42">
      <w:pPr>
        <w:pStyle w:val="FootnoteText"/>
      </w:pPr>
      <w:r>
        <w:rPr>
          <w:rStyle w:val="FootnoteReference"/>
        </w:rPr>
        <w:footnoteRef/>
      </w:r>
      <w:r>
        <w:t xml:space="preserve"> </w:t>
      </w:r>
      <w:r w:rsidR="001F018D">
        <w:rPr>
          <w:i/>
          <w:iCs/>
        </w:rPr>
        <w:t>Id</w:t>
      </w:r>
      <w:r>
        <w:t>.</w:t>
      </w:r>
    </w:p>
  </w:footnote>
  <w:footnote w:id="53">
    <w:p w:rsidR="00814869" w:rsidRPr="00226BB8" w:rsidP="00814869" w14:paraId="1EE97FBD" w14:textId="05523C0E">
      <w:pPr>
        <w:pStyle w:val="FootnoteText"/>
      </w:pPr>
      <w:r>
        <w:rPr>
          <w:rStyle w:val="FootnoteReference"/>
        </w:rPr>
        <w:footnoteRef/>
      </w:r>
      <w:r>
        <w:t xml:space="preserve"> </w:t>
      </w:r>
      <w:r>
        <w:rPr>
          <w:i/>
        </w:rPr>
        <w:t>Id.</w:t>
      </w:r>
      <w:r>
        <w:t xml:space="preserve"> at 9-10;</w:t>
      </w:r>
      <w:r w:rsidRPr="001926BB">
        <w:t xml:space="preserve"> </w:t>
      </w:r>
      <w:r w:rsidRPr="00DE449C">
        <w:rPr>
          <w:i/>
        </w:rPr>
        <w:t>First Modification Order</w:t>
      </w:r>
      <w:r>
        <w:t xml:space="preserve"> at</w:t>
      </w:r>
      <w:r w:rsidR="000E250F">
        <w:t xml:space="preserve"> 2532-35,</w:t>
      </w:r>
      <w:r>
        <w:t xml:space="preserve"> paras. 18-22.</w:t>
      </w:r>
    </w:p>
  </w:footnote>
  <w:footnote w:id="54">
    <w:p w:rsidR="00814869" w:rsidP="00814869" w14:paraId="7ED63E56" w14:textId="77777777">
      <w:pPr>
        <w:pStyle w:val="FootnoteText"/>
      </w:pPr>
      <w:r>
        <w:rPr>
          <w:rStyle w:val="FootnoteReference"/>
        </w:rPr>
        <w:footnoteRef/>
      </w:r>
      <w:r>
        <w:t xml:space="preserve"> </w:t>
      </w:r>
      <w:r>
        <w:rPr>
          <w:i/>
        </w:rPr>
        <w:t>See</w:t>
      </w:r>
      <w:r>
        <w:rPr>
          <w:iCs/>
        </w:rPr>
        <w:t xml:space="preserve"> Kepler Petition</w:t>
      </w:r>
      <w:r>
        <w:t xml:space="preserve"> at 1.</w:t>
      </w:r>
    </w:p>
  </w:footnote>
  <w:footnote w:id="55">
    <w:p w:rsidR="00814869" w:rsidRPr="00A765B6" w:rsidP="00814869" w14:paraId="7C2270C9" w14:textId="77777777">
      <w:pPr>
        <w:pStyle w:val="FootnoteText"/>
      </w:pPr>
      <w:r>
        <w:rPr>
          <w:rStyle w:val="FootnoteReference"/>
        </w:rPr>
        <w:footnoteRef/>
      </w:r>
      <w:r>
        <w:t xml:space="preserve"> </w:t>
      </w:r>
      <w:r>
        <w:rPr>
          <w:i/>
        </w:rPr>
        <w:t>Id.</w:t>
      </w:r>
      <w:r>
        <w:t xml:space="preserve"> at 6-7.</w:t>
      </w:r>
    </w:p>
  </w:footnote>
  <w:footnote w:id="56">
    <w:p w:rsidR="00814869" w:rsidRPr="007B591C" w:rsidP="00814869" w14:paraId="504DBF7C" w14:textId="77777777">
      <w:pPr>
        <w:pStyle w:val="FootnoteText"/>
      </w:pPr>
      <w:r>
        <w:rPr>
          <w:rStyle w:val="FootnoteReference"/>
        </w:rPr>
        <w:footnoteRef/>
      </w:r>
      <w:r>
        <w:t xml:space="preserve"> </w:t>
      </w:r>
      <w:r>
        <w:rPr>
          <w:i/>
          <w:iCs/>
        </w:rPr>
        <w:t>Id.</w:t>
      </w:r>
      <w:r>
        <w:t xml:space="preserve"> at 6.</w:t>
      </w:r>
    </w:p>
  </w:footnote>
  <w:footnote w:id="57">
    <w:p w:rsidR="00814869" w:rsidRPr="00DF73E3" w:rsidP="00814869" w14:paraId="6D360FF2" w14:textId="29F49A65">
      <w:pPr>
        <w:pStyle w:val="FootnoteText"/>
      </w:pPr>
      <w:r>
        <w:rPr>
          <w:rStyle w:val="FootnoteReference"/>
        </w:rPr>
        <w:footnoteRef/>
      </w:r>
      <w:r>
        <w:t xml:space="preserve"> </w:t>
      </w:r>
      <w:r w:rsidR="00B9085D">
        <w:rPr>
          <w:i/>
        </w:rPr>
        <w:t>I</w:t>
      </w:r>
      <w:r>
        <w:rPr>
          <w:i/>
        </w:rPr>
        <w:t>d.</w:t>
      </w:r>
      <w:r>
        <w:t xml:space="preserve"> at 7-11.</w:t>
      </w:r>
    </w:p>
  </w:footnote>
  <w:footnote w:id="58">
    <w:p w:rsidR="00814869" w:rsidRPr="00753651" w:rsidP="00814869" w14:paraId="21C8375C" w14:textId="0E84B597">
      <w:pPr>
        <w:pStyle w:val="FootnoteText"/>
      </w:pPr>
      <w:r>
        <w:rPr>
          <w:rStyle w:val="FootnoteReference"/>
        </w:rPr>
        <w:footnoteRef/>
      </w:r>
      <w:r>
        <w:t xml:space="preserve"> </w:t>
      </w:r>
      <w:r>
        <w:rPr>
          <w:i/>
          <w:iCs/>
        </w:rPr>
        <w:t>See</w:t>
      </w:r>
      <w:r>
        <w:t xml:space="preserve"> </w:t>
      </w:r>
      <w:r w:rsidRPr="003A41A0">
        <w:rPr>
          <w:i/>
          <w:iCs/>
        </w:rPr>
        <w:t>First Modification Order</w:t>
      </w:r>
      <w:r w:rsidR="000E250F">
        <w:t>, at 2532-35,</w:t>
      </w:r>
      <w:r>
        <w:t xml:space="preserve"> </w:t>
      </w:r>
      <w:r w:rsidR="00D55967">
        <w:t>p</w:t>
      </w:r>
      <w:r>
        <w:t>aras. 18-22.</w:t>
      </w:r>
    </w:p>
  </w:footnote>
  <w:footnote w:id="59">
    <w:p w:rsidR="00814869" w:rsidRPr="00C74DEB" w:rsidP="00814869" w14:paraId="19008A42" w14:textId="77777777">
      <w:pPr>
        <w:pStyle w:val="FootnoteText"/>
      </w:pPr>
      <w:r>
        <w:rPr>
          <w:rStyle w:val="FootnoteReference"/>
        </w:rPr>
        <w:footnoteRef/>
      </w:r>
      <w:r>
        <w:t xml:space="preserve"> </w:t>
      </w:r>
      <w:r>
        <w:rPr>
          <w:i/>
          <w:iCs/>
        </w:rPr>
        <w:t>Id.</w:t>
      </w:r>
      <w:r>
        <w:t xml:space="preserve"> at para. 22.</w:t>
      </w:r>
    </w:p>
  </w:footnote>
  <w:footnote w:id="60">
    <w:p w:rsidR="00814869" w:rsidRPr="00C74DEB" w:rsidP="00814869" w14:paraId="44C4C48B" w14:textId="77777777">
      <w:pPr>
        <w:pStyle w:val="FootnoteText"/>
      </w:pPr>
      <w:r>
        <w:rPr>
          <w:rStyle w:val="FootnoteReference"/>
        </w:rPr>
        <w:footnoteRef/>
      </w:r>
      <w:r>
        <w:t xml:space="preserve"> </w:t>
      </w:r>
      <w:r>
        <w:rPr>
          <w:i/>
          <w:iCs/>
        </w:rPr>
        <w:t>Id.</w:t>
      </w:r>
    </w:p>
  </w:footnote>
  <w:footnote w:id="61">
    <w:p w:rsidR="00814869" w:rsidRPr="0069340B" w:rsidP="00814869" w14:paraId="4BB4D5AC" w14:textId="1350B469">
      <w:pPr>
        <w:pStyle w:val="FootnoteText"/>
      </w:pPr>
      <w:r>
        <w:rPr>
          <w:rStyle w:val="FootnoteReference"/>
        </w:rPr>
        <w:footnoteRef/>
      </w:r>
      <w:r>
        <w:t xml:space="preserve"> </w:t>
      </w:r>
      <w:r>
        <w:rPr>
          <w:i/>
        </w:rPr>
        <w:t>See</w:t>
      </w:r>
      <w:r>
        <w:t xml:space="preserve"> </w:t>
      </w:r>
      <w:r w:rsidR="00D215F0">
        <w:rPr>
          <w:i/>
          <w:iCs/>
        </w:rPr>
        <w:t xml:space="preserve">Mitigation of </w:t>
      </w:r>
      <w:r w:rsidRPr="00CF6D86">
        <w:rPr>
          <w:i/>
        </w:rPr>
        <w:t>Orbital Debris in the New Space Age</w:t>
      </w:r>
      <w:r>
        <w:t xml:space="preserve">, </w:t>
      </w:r>
      <w:r w:rsidR="00B465E1">
        <w:t xml:space="preserve">Report and Order and Further </w:t>
      </w:r>
      <w:r>
        <w:t xml:space="preserve">Notice of Proposed Rulemaking, </w:t>
      </w:r>
      <w:r w:rsidR="00B465E1">
        <w:t xml:space="preserve">FCC-20-54, </w:t>
      </w:r>
      <w:r>
        <w:t xml:space="preserve">para. </w:t>
      </w:r>
      <w:r w:rsidR="00B465E1">
        <w:t>35</w:t>
      </w:r>
      <w:r>
        <w:t xml:space="preserve"> (</w:t>
      </w:r>
      <w:r w:rsidR="00B465E1">
        <w:t>Apr.</w:t>
      </w:r>
      <w:r>
        <w:t xml:space="preserve"> </w:t>
      </w:r>
      <w:r w:rsidR="00B465E1">
        <w:t>24</w:t>
      </w:r>
      <w:r>
        <w:t xml:space="preserve">, </w:t>
      </w:r>
      <w:r w:rsidR="00B465E1">
        <w:t>2020</w:t>
      </w:r>
      <w:r>
        <w:t>).</w:t>
      </w:r>
    </w:p>
  </w:footnote>
  <w:footnote w:id="62">
    <w:p w:rsidR="00814869" w:rsidP="00814869" w14:paraId="11A1D8E1" w14:textId="0FB908D0">
      <w:pPr>
        <w:pStyle w:val="FootnoteText"/>
      </w:pPr>
      <w:r>
        <w:rPr>
          <w:rStyle w:val="FootnoteReference"/>
        </w:rPr>
        <w:footnoteRef/>
      </w:r>
      <w:r>
        <w:t xml:space="preserve"> </w:t>
      </w:r>
      <w:r w:rsidRPr="005729F9" w:rsidR="00F15217">
        <w:rPr>
          <w:i/>
          <w:iCs/>
        </w:rPr>
        <w:t xml:space="preserve">See </w:t>
      </w:r>
      <w:r w:rsidRPr="00491264" w:rsidR="00F15217">
        <w:rPr>
          <w:i/>
          <w:iCs/>
        </w:rPr>
        <w:t>First Modification Order</w:t>
      </w:r>
      <w:r w:rsidR="00F15217">
        <w:t xml:space="preserve"> </w:t>
      </w:r>
      <w:r w:rsidRPr="00F15217">
        <w:t>at</w:t>
      </w:r>
      <w:r>
        <w:t xml:space="preserve"> 2532-34, paras. 18-22.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25FB5" w:rsidP="00810B6F" w14:paraId="436A06F6" w14:textId="6168F3B4">
    <w:pPr>
      <w:pStyle w:val="Header"/>
      <w:rPr>
        <w:b w:val="0"/>
      </w:rPr>
    </w:pPr>
    <w:r>
      <w:tab/>
      <w:t>Federal Communications Commission</w:t>
    </w:r>
    <w:r>
      <w:tab/>
    </w:r>
    <w:r w:rsidR="009615B3">
      <w:t xml:space="preserve">DA </w:t>
    </w:r>
    <w:r w:rsidRPr="0040160B" w:rsidR="0040160B">
      <w:t>20-588</w:t>
    </w:r>
  </w:p>
  <w:p w:rsidR="00D25FB5" w14:paraId="5599F05F" w14:textId="3B845E2D">
    <w:pPr>
      <w:tabs>
        <w:tab w:val="left" w:pos="-720"/>
      </w:tabs>
      <w:suppressAutoHyphens/>
      <w:spacing w:line="19" w:lineRule="exact"/>
      <w:rPr>
        <w:spacing w:val="-2"/>
      </w:rPr>
    </w:pPr>
    <w:r>
      <w:rPr>
        <w:noProof/>
      </w:rPr>
      <mc:AlternateContent>
        <mc:Choice Requires="wps">
          <w:drawing>
            <wp:anchor distT="0" distB="0" distL="114300" distR="114300" simplePos="0" relativeHeight="251658240" behindDoc="1" locked="0" layoutInCell="0" allowOverlap="1">
              <wp:simplePos x="0" y="0"/>
              <wp:positionH relativeFrom="margin">
                <wp:posOffset>0</wp:posOffset>
              </wp:positionH>
              <wp:positionV relativeFrom="paragraph">
                <wp:posOffset>0</wp:posOffset>
              </wp:positionV>
              <wp:extent cx="5943600" cy="12065"/>
              <wp:effectExtent l="0" t="0" r="0" b="0"/>
              <wp:wrapNone/>
              <wp:docPr id="2" name="Rectangle 1"/>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5943600" cy="12065"/>
                      </a:xfrm>
                      <a:prstGeom prst="rect">
                        <a:avLst/>
                      </a:prstGeom>
                      <a:solidFill>
                        <a:srgbClr val="000000"/>
                      </a:solidFill>
                      <a:ln>
                        <a:noFill/>
                      </a:ln>
                      <a:effectLst/>
                      <a:extLst>
                        <a:ext xmlns:a="http://schemas.openxmlformats.org/drawingml/2006/main" uri="{91240B29-F687-4F45-9708-019B960494DF}">
                          <a14:hiddenLine xmlns:a14="http://schemas.microsoft.com/office/drawing/2010/main" w="635">
                            <a:solidFill>
                              <a:srgbClr val="000000"/>
                            </a:solidFill>
                            <a:miter lim="800000"/>
                            <a:headEnd/>
                            <a:tailEnd/>
                          </a14:hiddenLine>
                        </a:ext>
                        <a:ext xmlns:a="http://schemas.openxmlformats.org/drawingml/2006/main" uri="{AF507438-7753-43E0-B8FC-AC1667EBCBE1}">
                          <a14:hiddenEffects xmlns:a14="http://schemas.microsoft.com/office/drawing/2010/main">
                            <a:effectLst>
                              <a:outerShdw algn="ctr" dir="2700000" dist="35921" rotWithShape="0">
                                <a:srgbClr val="808080"/>
                              </a:outerShdw>
                            </a:effectLst>
                          </a14:hiddenEffects>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id="Rectangle 1" o:spid="_x0000_s2049" style="width:468pt;height:0.95pt;margin-top:0;margin-left:0;mso-height-percent:0;mso-height-relative:page;mso-position-horizontal-relative:margin;mso-width-percent:0;mso-width-relative:page;mso-wrap-distance-bottom:0;mso-wrap-distance-left:9pt;mso-wrap-distance-right:9pt;mso-wrap-distance-top:0;mso-wrap-style:square;position:absolute;visibility:visible;v-text-anchor:top;z-index:-251657216" o:allowincell="f" fillcolor="black" stroked="f" strokeweight="0.05pt">
              <w10:wrap anchorx="margin"/>
            </v:rect>
          </w:pict>
        </mc:Fallback>
      </mc:AlternateContent>
    </w:r>
  </w:p>
  <w:p w:rsidR="00D25FB5" w14:paraId="0DA740A9" w14:textId="77777777">
    <w:pPr>
      <w:spacing w:after="389" w:line="100" w:lineRule="exact"/>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D06D3" w:rsidRPr="00ED06D3" w:rsidP="00ED06D3" w14:paraId="15B6F1C5" w14:textId="29C74EFA">
    <w:pPr>
      <w:pStyle w:val="Header"/>
      <w:numPr>
        <w:ilvl w:val="0"/>
        <w:numId w:val="11"/>
      </w:numPr>
    </w:pPr>
    <w:r>
      <w:rPr>
        <w:noProof/>
      </w:rPr>
      <mc:AlternateContent>
        <mc:Choice Requires="wps">
          <w:drawing>
            <wp:anchor distT="0" distB="0" distL="114300" distR="114300" simplePos="0" relativeHeight="251660288" behindDoc="1" locked="0" layoutInCell="0" allowOverlap="1">
              <wp:simplePos x="0" y="0"/>
              <wp:positionH relativeFrom="margin">
                <wp:posOffset>7620</wp:posOffset>
              </wp:positionH>
              <wp:positionV relativeFrom="paragraph">
                <wp:posOffset>160655</wp:posOffset>
              </wp:positionV>
              <wp:extent cx="5943600" cy="12065"/>
              <wp:effectExtent l="0" t="0" r="0" b="0"/>
              <wp:wrapNone/>
              <wp:docPr id="1" name="Rectangle 3"/>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5943600" cy="12065"/>
                      </a:xfrm>
                      <a:prstGeom prst="rect">
                        <a:avLst/>
                      </a:prstGeom>
                      <a:solidFill>
                        <a:srgbClr val="000000"/>
                      </a:solidFill>
                      <a:ln>
                        <a:noFill/>
                      </a:ln>
                      <a:effectLst/>
                      <a:extLst>
                        <a:ext xmlns:a="http://schemas.openxmlformats.org/drawingml/2006/main" uri="{91240B29-F687-4F45-9708-019B960494DF}">
                          <a14:hiddenLine xmlns:a14="http://schemas.microsoft.com/office/drawing/2010/main" w="635">
                            <a:solidFill>
                              <a:srgbClr val="000000"/>
                            </a:solidFill>
                            <a:miter lim="800000"/>
                            <a:headEnd/>
                            <a:tailEnd/>
                          </a14:hiddenLine>
                        </a:ext>
                        <a:ext xmlns:a="http://schemas.openxmlformats.org/drawingml/2006/main" uri="{AF507438-7753-43E0-B8FC-AC1667EBCBE1}">
                          <a14:hiddenEffects xmlns:a14="http://schemas.microsoft.com/office/drawing/2010/main">
                            <a:effectLst>
                              <a:outerShdw algn="ctr" dir="2700000" dist="35921" rotWithShape="0">
                                <a:srgbClr val="808080"/>
                              </a:outerShdw>
                            </a:effectLst>
                          </a14:hiddenEffects>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id="Rectangle 3" o:spid="_x0000_s2050" style="width:468pt;height:0.95pt;margin-top:12.65pt;margin-left:0.6pt;mso-height-percent:0;mso-height-relative:page;mso-position-horizontal-relative:margin;mso-width-percent:0;mso-width-relative:page;mso-wrap-distance-bottom:0;mso-wrap-distance-left:9pt;mso-wrap-distance-right:9pt;mso-wrap-distance-top:0;mso-wrap-style:square;position:absolute;visibility:visible;v-text-anchor:top;z-index:-251655168" o:allowincell="f" fillcolor="black" stroked="f" strokeweight="0.05pt">
              <w10:wrap anchorx="margin"/>
            </v:rect>
          </w:pict>
        </mc:Fallback>
      </mc:AlternateContent>
    </w:r>
    <w:r w:rsidR="00D25FB5">
      <w:tab/>
      <w:t>Federal Communications Commission</w:t>
    </w:r>
    <w:r w:rsidR="00D25FB5">
      <w:tab/>
    </w:r>
    <w:r w:rsidR="009615B3">
      <w:t xml:space="preserve">DA </w:t>
    </w:r>
    <w:r w:rsidRPr="00ED06D3">
      <w:t>20-588</w:t>
    </w:r>
  </w:p>
  <w:p w:rsidR="00D25FB5" w:rsidP="00810B6F" w14:paraId="77F7E998" w14:textId="264DE780">
    <w:pPr>
      <w:pStyle w:val="Header"/>
      <w:rPr>
        <w:b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84B453C"/>
    <w:multiLevelType w:val="singleLevel"/>
    <w:tmpl w:val="40A8E97A"/>
    <w:lvl w:ilvl="0">
      <w:start w:val="1"/>
      <w:numFmt w:val="decimal"/>
      <w:lvlText w:val="%1."/>
      <w:lvlJc w:val="left"/>
      <w:pPr>
        <w:tabs>
          <w:tab w:val="num" w:pos="1080"/>
        </w:tabs>
        <w:ind w:left="0" w:firstLine="720"/>
      </w:pPr>
    </w:lvl>
  </w:abstractNum>
  <w:abstractNum w:abstractNumId="1">
    <w:nsid w:val="23F40A0F"/>
    <w:multiLevelType w:val="singleLevel"/>
    <w:tmpl w:val="3244DD0A"/>
    <w:lvl w:ilvl="0">
      <w:start w:val="1"/>
      <w:numFmt w:val="bullet"/>
      <w:lvlText w:val=""/>
      <w:lvlJc w:val="left"/>
      <w:pPr>
        <w:tabs>
          <w:tab w:val="num" w:pos="360"/>
        </w:tabs>
        <w:ind w:left="360" w:hanging="360"/>
      </w:pPr>
      <w:rPr>
        <w:rFonts w:ascii="Symbol" w:hAnsi="Symbol" w:hint="default"/>
      </w:rPr>
    </w:lvl>
  </w:abstractNum>
  <w:abstractNum w:abstractNumId="2">
    <w:nsid w:val="248246F3"/>
    <w:multiLevelType w:val="singleLevel"/>
    <w:tmpl w:val="B1F45678"/>
    <w:lvl w:ilvl="0">
      <w:start w:val="1"/>
      <w:numFmt w:val="decimal"/>
      <w:lvlText w:val="%1."/>
      <w:lvlJc w:val="left"/>
      <w:pPr>
        <w:tabs>
          <w:tab w:val="num" w:pos="1080"/>
        </w:tabs>
        <w:ind w:left="0" w:firstLine="720"/>
      </w:pPr>
    </w:lvl>
  </w:abstractNum>
  <w:abstractNum w:abstractNumId="3">
    <w:nsid w:val="27E06CBB"/>
    <w:multiLevelType w:val="multilevel"/>
    <w:tmpl w:val="F1A86982"/>
    <w:lvl w:ilvl="0">
      <w:start w:val="1"/>
      <w:numFmt w:val="upperRoman"/>
      <w:pStyle w:val="Heading1"/>
      <w:lvlText w:val="%1."/>
      <w:lvlJc w:val="left"/>
      <w:pPr>
        <w:tabs>
          <w:tab w:val="num" w:pos="720"/>
        </w:tabs>
        <w:ind w:left="720" w:hanging="720"/>
      </w:pPr>
    </w:lvl>
    <w:lvl w:ilvl="1">
      <w:start w:val="1"/>
      <w:numFmt w:val="upperLetter"/>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lowerLetter"/>
      <w:pStyle w:val="Heading4"/>
      <w:lvlText w:val="%4."/>
      <w:lvlJc w:val="left"/>
      <w:pPr>
        <w:tabs>
          <w:tab w:val="num" w:pos="2880"/>
        </w:tabs>
        <w:ind w:left="2880" w:hanging="720"/>
      </w:pPr>
    </w:lvl>
    <w:lvl w:ilvl="4">
      <w:start w:val="1"/>
      <w:numFmt w:val="lowerRoman"/>
      <w:pStyle w:val="Heading5"/>
      <w:lvlText w:val="(%5)"/>
      <w:lvlJc w:val="left"/>
      <w:pPr>
        <w:tabs>
          <w:tab w:val="num" w:pos="3600"/>
        </w:tabs>
        <w:ind w:left="3600" w:hanging="720"/>
      </w:pPr>
    </w:lvl>
    <w:lvl w:ilvl="5">
      <w:start w:val="1"/>
      <w:numFmt w:val="lowerLetter"/>
      <w:pStyle w:val="Heading6"/>
      <w:lvlText w:val="(%6)"/>
      <w:lvlJc w:val="left"/>
      <w:pPr>
        <w:tabs>
          <w:tab w:val="num" w:pos="4320"/>
        </w:tabs>
        <w:ind w:left="4320" w:hanging="720"/>
      </w:pPr>
    </w:lvl>
    <w:lvl w:ilvl="6">
      <w:start w:val="1"/>
      <w:numFmt w:val="lowerRoman"/>
      <w:pStyle w:val="Heading7"/>
      <w:lvlText w:val="(%7)"/>
      <w:lvlJc w:val="left"/>
      <w:pPr>
        <w:tabs>
          <w:tab w:val="num" w:pos="5040"/>
        </w:tabs>
        <w:ind w:left="4320" w:firstLine="0"/>
      </w:pPr>
    </w:lvl>
    <w:lvl w:ilvl="7">
      <w:start w:val="1"/>
      <w:numFmt w:val="lowerLetter"/>
      <w:pStyle w:val="Heading8"/>
      <w:lvlText w:val="(%8)"/>
      <w:lvlJc w:val="left"/>
      <w:pPr>
        <w:tabs>
          <w:tab w:val="num" w:pos="5400"/>
        </w:tabs>
        <w:ind w:left="5040" w:firstLine="0"/>
      </w:pPr>
    </w:lvl>
    <w:lvl w:ilvl="8">
      <w:start w:val="1"/>
      <w:numFmt w:val="lowerRoman"/>
      <w:pStyle w:val="Heading9"/>
      <w:lvlText w:val="(%9)"/>
      <w:lvlJc w:val="left"/>
      <w:pPr>
        <w:tabs>
          <w:tab w:val="num" w:pos="6120"/>
        </w:tabs>
        <w:ind w:left="5760" w:firstLine="0"/>
      </w:pPr>
    </w:lvl>
  </w:abstractNum>
  <w:abstractNum w:abstractNumId="4">
    <w:nsid w:val="314A2CF4"/>
    <w:multiLevelType w:val="hybridMultilevel"/>
    <w:tmpl w:val="6E949D04"/>
    <w:lvl w:ilvl="0">
      <w:start w:val="1"/>
      <w:numFmt w:val="lowerLetter"/>
      <w:lvlText w:val="%1."/>
      <w:lvlJc w:val="left"/>
      <w:pPr>
        <w:ind w:left="720" w:hanging="360"/>
      </w:pPr>
      <w:rPr>
        <w:b w:val="0"/>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3FA42630"/>
    <w:multiLevelType w:val="hybridMultilevel"/>
    <w:tmpl w:val="7F2633A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4DF61CE4"/>
    <w:multiLevelType w:val="multilevel"/>
    <w:tmpl w:val="F1A86982"/>
    <w:lvl w:ilvl="0">
      <w:start w:val="1"/>
      <w:numFmt w:val="upperRoman"/>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lowerLetter"/>
      <w:lvlText w:val="(%6)"/>
      <w:lvlJc w:val="left"/>
      <w:pPr>
        <w:tabs>
          <w:tab w:val="num" w:pos="4320"/>
        </w:tabs>
        <w:ind w:left="4320" w:hanging="720"/>
      </w:pPr>
    </w:lvl>
    <w:lvl w:ilvl="6">
      <w:start w:val="1"/>
      <w:numFmt w:val="lowerRoman"/>
      <w:lvlText w:val="(%7)"/>
      <w:lvlJc w:val="left"/>
      <w:pPr>
        <w:tabs>
          <w:tab w:val="num" w:pos="504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7">
    <w:nsid w:val="61182925"/>
    <w:multiLevelType w:val="singleLevel"/>
    <w:tmpl w:val="A9EE9842"/>
    <w:lvl w:ilvl="0">
      <w:start w:val="1"/>
      <w:numFmt w:val="decimal"/>
      <w:pStyle w:val="ParaNum"/>
      <w:lvlText w:val="%1."/>
      <w:lvlJc w:val="left"/>
      <w:pPr>
        <w:tabs>
          <w:tab w:val="num" w:pos="1080"/>
        </w:tabs>
        <w:ind w:left="0" w:firstLine="720"/>
      </w:pPr>
    </w:lvl>
  </w:abstractNum>
  <w:num w:numId="1">
    <w:abstractNumId w:val="1"/>
  </w:num>
  <w:num w:numId="2">
    <w:abstractNumId w:val="7"/>
  </w:num>
  <w:num w:numId="3">
    <w:abstractNumId w:val="3"/>
  </w:num>
  <w:num w:numId="4">
    <w:abstractNumId w:val="6"/>
  </w:num>
  <w:num w:numId="5">
    <w:abstractNumId w:val="2"/>
  </w:num>
  <w:num w:numId="6">
    <w:abstractNumId w:val="0"/>
  </w:num>
  <w:num w:numId="7">
    <w:abstractNumId w:val="7"/>
    <w:lvlOverride w:ilvl="0">
      <w:startOverride w:val="1"/>
    </w:lvlOverride>
  </w:num>
  <w:num w:numId="8">
    <w:abstractNumId w:val="7"/>
    <w:lvlOverride w:ilvl="0">
      <w:startOverride w:val="1"/>
    </w:lvlOverride>
  </w:num>
  <w:num w:numId="9">
    <w:abstractNumId w:val="7"/>
    <w:lvlOverride w:ilvl="0">
      <w:startOverride w:val="1"/>
    </w:lvlOverride>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hyphenationZone w:val="95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0"/>
    <w:footnote w:id="1"/>
    <w:footnote w:id="2"/>
  </w:footnotePr>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869"/>
    <w:rsid w:val="00003A58"/>
    <w:rsid w:val="00006C44"/>
    <w:rsid w:val="0000744E"/>
    <w:rsid w:val="00012015"/>
    <w:rsid w:val="0002062A"/>
    <w:rsid w:val="00036039"/>
    <w:rsid w:val="00037F90"/>
    <w:rsid w:val="0004356A"/>
    <w:rsid w:val="000444FB"/>
    <w:rsid w:val="00047E2A"/>
    <w:rsid w:val="00052842"/>
    <w:rsid w:val="0007383D"/>
    <w:rsid w:val="00080A40"/>
    <w:rsid w:val="00084615"/>
    <w:rsid w:val="000875BF"/>
    <w:rsid w:val="00096D8C"/>
    <w:rsid w:val="000B2F5A"/>
    <w:rsid w:val="000B74A3"/>
    <w:rsid w:val="000B7C09"/>
    <w:rsid w:val="000C0434"/>
    <w:rsid w:val="000C0B65"/>
    <w:rsid w:val="000D7DB6"/>
    <w:rsid w:val="000E05FE"/>
    <w:rsid w:val="000E250F"/>
    <w:rsid w:val="000E3D42"/>
    <w:rsid w:val="000F348D"/>
    <w:rsid w:val="001052FC"/>
    <w:rsid w:val="00116CB3"/>
    <w:rsid w:val="00122BD5"/>
    <w:rsid w:val="00133F79"/>
    <w:rsid w:val="00142E2D"/>
    <w:rsid w:val="0014307B"/>
    <w:rsid w:val="00145A03"/>
    <w:rsid w:val="00161328"/>
    <w:rsid w:val="001671F4"/>
    <w:rsid w:val="001725B8"/>
    <w:rsid w:val="0018088D"/>
    <w:rsid w:val="001926BB"/>
    <w:rsid w:val="00194A66"/>
    <w:rsid w:val="00196189"/>
    <w:rsid w:val="001A3277"/>
    <w:rsid w:val="001A456B"/>
    <w:rsid w:val="001C1077"/>
    <w:rsid w:val="001C394D"/>
    <w:rsid w:val="001D6BCF"/>
    <w:rsid w:val="001E01CA"/>
    <w:rsid w:val="001E0892"/>
    <w:rsid w:val="001F018D"/>
    <w:rsid w:val="001F3AD4"/>
    <w:rsid w:val="002070A8"/>
    <w:rsid w:val="00221DBD"/>
    <w:rsid w:val="00226BB8"/>
    <w:rsid w:val="00267850"/>
    <w:rsid w:val="002700A7"/>
    <w:rsid w:val="00275CF5"/>
    <w:rsid w:val="0028301F"/>
    <w:rsid w:val="002848EF"/>
    <w:rsid w:val="00285017"/>
    <w:rsid w:val="002857D8"/>
    <w:rsid w:val="00285BDF"/>
    <w:rsid w:val="002A2D2E"/>
    <w:rsid w:val="002B753A"/>
    <w:rsid w:val="002C00E8"/>
    <w:rsid w:val="002C073E"/>
    <w:rsid w:val="002C0B68"/>
    <w:rsid w:val="002E2773"/>
    <w:rsid w:val="002F0810"/>
    <w:rsid w:val="002F0D2A"/>
    <w:rsid w:val="00301431"/>
    <w:rsid w:val="00301760"/>
    <w:rsid w:val="003119AE"/>
    <w:rsid w:val="0031622B"/>
    <w:rsid w:val="00333DA4"/>
    <w:rsid w:val="00341AF2"/>
    <w:rsid w:val="00343749"/>
    <w:rsid w:val="003620B4"/>
    <w:rsid w:val="00363533"/>
    <w:rsid w:val="003660ED"/>
    <w:rsid w:val="003754B1"/>
    <w:rsid w:val="00384966"/>
    <w:rsid w:val="0039245A"/>
    <w:rsid w:val="00393D30"/>
    <w:rsid w:val="003A41A0"/>
    <w:rsid w:val="003A4413"/>
    <w:rsid w:val="003B0550"/>
    <w:rsid w:val="003B1F1F"/>
    <w:rsid w:val="003B694F"/>
    <w:rsid w:val="003C4695"/>
    <w:rsid w:val="003C49E5"/>
    <w:rsid w:val="003C6378"/>
    <w:rsid w:val="003D68AE"/>
    <w:rsid w:val="003D6FB5"/>
    <w:rsid w:val="003F171C"/>
    <w:rsid w:val="0040160B"/>
    <w:rsid w:val="00412FC5"/>
    <w:rsid w:val="00415F94"/>
    <w:rsid w:val="00422276"/>
    <w:rsid w:val="004234C3"/>
    <w:rsid w:val="00423516"/>
    <w:rsid w:val="004242F1"/>
    <w:rsid w:val="00425E4C"/>
    <w:rsid w:val="00440DCF"/>
    <w:rsid w:val="00445A00"/>
    <w:rsid w:val="00445BD2"/>
    <w:rsid w:val="00451B0F"/>
    <w:rsid w:val="0045720F"/>
    <w:rsid w:val="004616F1"/>
    <w:rsid w:val="00463F16"/>
    <w:rsid w:val="00473E7B"/>
    <w:rsid w:val="00480A9F"/>
    <w:rsid w:val="00483C30"/>
    <w:rsid w:val="00491264"/>
    <w:rsid w:val="004968C7"/>
    <w:rsid w:val="004B149A"/>
    <w:rsid w:val="004B5AFE"/>
    <w:rsid w:val="004C2EE3"/>
    <w:rsid w:val="004C6D4E"/>
    <w:rsid w:val="004D2E82"/>
    <w:rsid w:val="004D3298"/>
    <w:rsid w:val="004E46A9"/>
    <w:rsid w:val="004E4A22"/>
    <w:rsid w:val="004F021F"/>
    <w:rsid w:val="00501356"/>
    <w:rsid w:val="00505751"/>
    <w:rsid w:val="00506387"/>
    <w:rsid w:val="00511968"/>
    <w:rsid w:val="00517E60"/>
    <w:rsid w:val="0052414C"/>
    <w:rsid w:val="0053070C"/>
    <w:rsid w:val="0053174C"/>
    <w:rsid w:val="00531B5A"/>
    <w:rsid w:val="00533D01"/>
    <w:rsid w:val="005402CB"/>
    <w:rsid w:val="00540573"/>
    <w:rsid w:val="00540DAF"/>
    <w:rsid w:val="00541CDD"/>
    <w:rsid w:val="00545885"/>
    <w:rsid w:val="00555667"/>
    <w:rsid w:val="0055614C"/>
    <w:rsid w:val="00556C0F"/>
    <w:rsid w:val="00566D06"/>
    <w:rsid w:val="005729F9"/>
    <w:rsid w:val="005819CD"/>
    <w:rsid w:val="00583762"/>
    <w:rsid w:val="00594099"/>
    <w:rsid w:val="00594F74"/>
    <w:rsid w:val="005952F5"/>
    <w:rsid w:val="005963AE"/>
    <w:rsid w:val="005A022A"/>
    <w:rsid w:val="005A0F24"/>
    <w:rsid w:val="005A21AE"/>
    <w:rsid w:val="005B28A7"/>
    <w:rsid w:val="005C5BFC"/>
    <w:rsid w:val="005E0FFF"/>
    <w:rsid w:val="005E14C2"/>
    <w:rsid w:val="005F0677"/>
    <w:rsid w:val="00607BA5"/>
    <w:rsid w:val="0061180A"/>
    <w:rsid w:val="006127A0"/>
    <w:rsid w:val="00612D6A"/>
    <w:rsid w:val="0061306B"/>
    <w:rsid w:val="00620327"/>
    <w:rsid w:val="00620ACA"/>
    <w:rsid w:val="00626079"/>
    <w:rsid w:val="00626EB6"/>
    <w:rsid w:val="00627569"/>
    <w:rsid w:val="00637A07"/>
    <w:rsid w:val="00644C6B"/>
    <w:rsid w:val="00650A2F"/>
    <w:rsid w:val="00655D03"/>
    <w:rsid w:val="00664263"/>
    <w:rsid w:val="00683388"/>
    <w:rsid w:val="00683F84"/>
    <w:rsid w:val="00693107"/>
    <w:rsid w:val="0069340B"/>
    <w:rsid w:val="006A6A81"/>
    <w:rsid w:val="006B649D"/>
    <w:rsid w:val="006D6A04"/>
    <w:rsid w:val="006F076E"/>
    <w:rsid w:val="006F4999"/>
    <w:rsid w:val="006F7393"/>
    <w:rsid w:val="007004E0"/>
    <w:rsid w:val="0070224F"/>
    <w:rsid w:val="007115F7"/>
    <w:rsid w:val="007148D2"/>
    <w:rsid w:val="00735F29"/>
    <w:rsid w:val="007423CB"/>
    <w:rsid w:val="00742C78"/>
    <w:rsid w:val="00745344"/>
    <w:rsid w:val="00752CBE"/>
    <w:rsid w:val="00753651"/>
    <w:rsid w:val="0075645D"/>
    <w:rsid w:val="0076474D"/>
    <w:rsid w:val="00764C97"/>
    <w:rsid w:val="00774363"/>
    <w:rsid w:val="00781173"/>
    <w:rsid w:val="00785689"/>
    <w:rsid w:val="00786DB7"/>
    <w:rsid w:val="00794720"/>
    <w:rsid w:val="0079754B"/>
    <w:rsid w:val="007A1E6D"/>
    <w:rsid w:val="007A3B34"/>
    <w:rsid w:val="007A45F4"/>
    <w:rsid w:val="007B0EB2"/>
    <w:rsid w:val="007B591C"/>
    <w:rsid w:val="007C59F8"/>
    <w:rsid w:val="007C60BB"/>
    <w:rsid w:val="007F3417"/>
    <w:rsid w:val="007F6245"/>
    <w:rsid w:val="00804991"/>
    <w:rsid w:val="00810B6F"/>
    <w:rsid w:val="00814869"/>
    <w:rsid w:val="00822CE0"/>
    <w:rsid w:val="00841AB1"/>
    <w:rsid w:val="008458C2"/>
    <w:rsid w:val="00845FFD"/>
    <w:rsid w:val="008646CF"/>
    <w:rsid w:val="00881BE2"/>
    <w:rsid w:val="008943C1"/>
    <w:rsid w:val="008C46C0"/>
    <w:rsid w:val="008C68F1"/>
    <w:rsid w:val="00907454"/>
    <w:rsid w:val="0091608D"/>
    <w:rsid w:val="00920379"/>
    <w:rsid w:val="00921803"/>
    <w:rsid w:val="00926503"/>
    <w:rsid w:val="00926A0E"/>
    <w:rsid w:val="0096030B"/>
    <w:rsid w:val="009615B3"/>
    <w:rsid w:val="00963D46"/>
    <w:rsid w:val="009726D8"/>
    <w:rsid w:val="009A2334"/>
    <w:rsid w:val="009B5EE5"/>
    <w:rsid w:val="009C1AFA"/>
    <w:rsid w:val="009D0EDF"/>
    <w:rsid w:val="009D2037"/>
    <w:rsid w:val="009D5278"/>
    <w:rsid w:val="009D7308"/>
    <w:rsid w:val="009E3A7D"/>
    <w:rsid w:val="009E6795"/>
    <w:rsid w:val="009F47E2"/>
    <w:rsid w:val="009F76DB"/>
    <w:rsid w:val="00A17C74"/>
    <w:rsid w:val="00A32C3B"/>
    <w:rsid w:val="00A349F7"/>
    <w:rsid w:val="00A45F4F"/>
    <w:rsid w:val="00A600A9"/>
    <w:rsid w:val="00A6423F"/>
    <w:rsid w:val="00A648D3"/>
    <w:rsid w:val="00A649BC"/>
    <w:rsid w:val="00A66B08"/>
    <w:rsid w:val="00A729C6"/>
    <w:rsid w:val="00A765B6"/>
    <w:rsid w:val="00AA55B7"/>
    <w:rsid w:val="00AA5B9E"/>
    <w:rsid w:val="00AA5E40"/>
    <w:rsid w:val="00AB2407"/>
    <w:rsid w:val="00AB53DF"/>
    <w:rsid w:val="00AB65F7"/>
    <w:rsid w:val="00AC635E"/>
    <w:rsid w:val="00AD3F53"/>
    <w:rsid w:val="00AF154F"/>
    <w:rsid w:val="00B06178"/>
    <w:rsid w:val="00B07E5C"/>
    <w:rsid w:val="00B17FB4"/>
    <w:rsid w:val="00B419D6"/>
    <w:rsid w:val="00B41F91"/>
    <w:rsid w:val="00B465E1"/>
    <w:rsid w:val="00B46F61"/>
    <w:rsid w:val="00B52627"/>
    <w:rsid w:val="00B6755A"/>
    <w:rsid w:val="00B811F7"/>
    <w:rsid w:val="00B9085D"/>
    <w:rsid w:val="00B92FE7"/>
    <w:rsid w:val="00BA5DC6"/>
    <w:rsid w:val="00BA6196"/>
    <w:rsid w:val="00BC6D8C"/>
    <w:rsid w:val="00BD18E9"/>
    <w:rsid w:val="00BD7544"/>
    <w:rsid w:val="00C0108D"/>
    <w:rsid w:val="00C029B1"/>
    <w:rsid w:val="00C03CF3"/>
    <w:rsid w:val="00C34006"/>
    <w:rsid w:val="00C36B4C"/>
    <w:rsid w:val="00C37310"/>
    <w:rsid w:val="00C42258"/>
    <w:rsid w:val="00C426B1"/>
    <w:rsid w:val="00C56F2E"/>
    <w:rsid w:val="00C66160"/>
    <w:rsid w:val="00C675A8"/>
    <w:rsid w:val="00C67CE1"/>
    <w:rsid w:val="00C71559"/>
    <w:rsid w:val="00C71BFF"/>
    <w:rsid w:val="00C721AC"/>
    <w:rsid w:val="00C72615"/>
    <w:rsid w:val="00C74DEB"/>
    <w:rsid w:val="00C80877"/>
    <w:rsid w:val="00C8530B"/>
    <w:rsid w:val="00C90D6A"/>
    <w:rsid w:val="00C9196F"/>
    <w:rsid w:val="00C957FD"/>
    <w:rsid w:val="00CA247E"/>
    <w:rsid w:val="00CA6D21"/>
    <w:rsid w:val="00CC46C3"/>
    <w:rsid w:val="00CC72B6"/>
    <w:rsid w:val="00CD7C80"/>
    <w:rsid w:val="00CE7C83"/>
    <w:rsid w:val="00CF172B"/>
    <w:rsid w:val="00CF6D86"/>
    <w:rsid w:val="00D0218D"/>
    <w:rsid w:val="00D07906"/>
    <w:rsid w:val="00D10DED"/>
    <w:rsid w:val="00D215F0"/>
    <w:rsid w:val="00D25FB5"/>
    <w:rsid w:val="00D44223"/>
    <w:rsid w:val="00D45CC9"/>
    <w:rsid w:val="00D46EFB"/>
    <w:rsid w:val="00D54D55"/>
    <w:rsid w:val="00D55967"/>
    <w:rsid w:val="00D55E74"/>
    <w:rsid w:val="00D6475C"/>
    <w:rsid w:val="00D71C9D"/>
    <w:rsid w:val="00D73AA8"/>
    <w:rsid w:val="00D74C75"/>
    <w:rsid w:val="00D83D1D"/>
    <w:rsid w:val="00D934FA"/>
    <w:rsid w:val="00DA20FA"/>
    <w:rsid w:val="00DA2529"/>
    <w:rsid w:val="00DA5CB4"/>
    <w:rsid w:val="00DA7C25"/>
    <w:rsid w:val="00DB130A"/>
    <w:rsid w:val="00DB2A6E"/>
    <w:rsid w:val="00DB2EBB"/>
    <w:rsid w:val="00DC0571"/>
    <w:rsid w:val="00DC10A1"/>
    <w:rsid w:val="00DC655F"/>
    <w:rsid w:val="00DD00CD"/>
    <w:rsid w:val="00DD0B59"/>
    <w:rsid w:val="00DD7EBD"/>
    <w:rsid w:val="00DE41D0"/>
    <w:rsid w:val="00DE449C"/>
    <w:rsid w:val="00DF3620"/>
    <w:rsid w:val="00DF62B6"/>
    <w:rsid w:val="00DF73E3"/>
    <w:rsid w:val="00E07225"/>
    <w:rsid w:val="00E26F44"/>
    <w:rsid w:val="00E40EFB"/>
    <w:rsid w:val="00E42007"/>
    <w:rsid w:val="00E46786"/>
    <w:rsid w:val="00E5409F"/>
    <w:rsid w:val="00E54D9A"/>
    <w:rsid w:val="00E54FC0"/>
    <w:rsid w:val="00E5762A"/>
    <w:rsid w:val="00E60569"/>
    <w:rsid w:val="00E83E7A"/>
    <w:rsid w:val="00E945BE"/>
    <w:rsid w:val="00E957A8"/>
    <w:rsid w:val="00EA1709"/>
    <w:rsid w:val="00EA3D40"/>
    <w:rsid w:val="00EB026E"/>
    <w:rsid w:val="00EB1FF0"/>
    <w:rsid w:val="00EC439F"/>
    <w:rsid w:val="00EC5364"/>
    <w:rsid w:val="00EC5E5D"/>
    <w:rsid w:val="00EC76EE"/>
    <w:rsid w:val="00ED06D3"/>
    <w:rsid w:val="00ED1DC5"/>
    <w:rsid w:val="00ED2E8F"/>
    <w:rsid w:val="00EE29E2"/>
    <w:rsid w:val="00EE531C"/>
    <w:rsid w:val="00EE6488"/>
    <w:rsid w:val="00EE7729"/>
    <w:rsid w:val="00F021FA"/>
    <w:rsid w:val="00F10CA7"/>
    <w:rsid w:val="00F15217"/>
    <w:rsid w:val="00F305ED"/>
    <w:rsid w:val="00F315D3"/>
    <w:rsid w:val="00F345D7"/>
    <w:rsid w:val="00F41A79"/>
    <w:rsid w:val="00F55669"/>
    <w:rsid w:val="00F62E97"/>
    <w:rsid w:val="00F64209"/>
    <w:rsid w:val="00F650FD"/>
    <w:rsid w:val="00F822B2"/>
    <w:rsid w:val="00F82F4F"/>
    <w:rsid w:val="00F87C93"/>
    <w:rsid w:val="00F93BF5"/>
    <w:rsid w:val="00F97499"/>
    <w:rsid w:val="00FA19CC"/>
    <w:rsid w:val="00FA641A"/>
    <w:rsid w:val="00FC26E7"/>
    <w:rsid w:val="00FC5205"/>
    <w:rsid w:val="00FC6688"/>
    <w:rsid w:val="00FE1300"/>
    <w:rsid w:val="00FE6CB9"/>
    <w:rsid w:val="00FF6FD0"/>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5:chartTrackingRefBased/>
  <w15:docId w15:val="{0CE4D820-E018-45BA-A35D-576CAB3B3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4869"/>
    <w:pPr>
      <w:widowControl w:val="0"/>
    </w:pPr>
    <w:rPr>
      <w:snapToGrid w:val="0"/>
      <w:kern w:val="28"/>
      <w:sz w:val="22"/>
    </w:rPr>
  </w:style>
  <w:style w:type="paragraph" w:styleId="Heading1">
    <w:name w:val="heading 1"/>
    <w:basedOn w:val="Normal"/>
    <w:next w:val="ParaNum"/>
    <w:qFormat/>
    <w:rsid w:val="00626EB6"/>
    <w:pPr>
      <w:keepNext/>
      <w:numPr>
        <w:numId w:val="3"/>
      </w:numPr>
      <w:tabs>
        <w:tab w:val="left" w:pos="720"/>
      </w:tabs>
      <w:suppressAutoHyphens/>
      <w:spacing w:after="120"/>
      <w:outlineLvl w:val="0"/>
    </w:pPr>
    <w:rPr>
      <w:rFonts w:ascii="Times New Roman Bold" w:hAnsi="Times New Roman Bold"/>
      <w:b/>
      <w:caps/>
    </w:rPr>
  </w:style>
  <w:style w:type="paragraph" w:styleId="Heading2">
    <w:name w:val="heading 2"/>
    <w:basedOn w:val="Normal"/>
    <w:next w:val="ParaNum"/>
    <w:autoRedefine/>
    <w:qFormat/>
    <w:rsid w:val="007A1E6D"/>
    <w:pPr>
      <w:keepNext/>
      <w:numPr>
        <w:ilvl w:val="1"/>
        <w:numId w:val="3"/>
      </w:numPr>
      <w:spacing w:after="120"/>
      <w:outlineLvl w:val="1"/>
    </w:pPr>
    <w:rPr>
      <w:b/>
    </w:rPr>
  </w:style>
  <w:style w:type="paragraph" w:styleId="Heading3">
    <w:name w:val="heading 3"/>
    <w:basedOn w:val="Normal"/>
    <w:next w:val="ParaNum"/>
    <w:qFormat/>
    <w:rsid w:val="00BA6196"/>
    <w:pPr>
      <w:keepNext/>
      <w:numPr>
        <w:ilvl w:val="2"/>
        <w:numId w:val="3"/>
      </w:numPr>
      <w:tabs>
        <w:tab w:val="left" w:pos="2160"/>
      </w:tabs>
      <w:spacing w:after="120"/>
      <w:outlineLvl w:val="2"/>
    </w:pPr>
    <w:rPr>
      <w:b/>
    </w:rPr>
  </w:style>
  <w:style w:type="paragraph" w:styleId="Heading4">
    <w:name w:val="heading 4"/>
    <w:basedOn w:val="Normal"/>
    <w:next w:val="ParaNum"/>
    <w:qFormat/>
    <w:rsid w:val="00C426B1"/>
    <w:pPr>
      <w:keepNext/>
      <w:numPr>
        <w:ilvl w:val="3"/>
        <w:numId w:val="3"/>
      </w:numPr>
      <w:tabs>
        <w:tab w:val="left" w:pos="2880"/>
      </w:tabs>
      <w:spacing w:after="120"/>
      <w:outlineLvl w:val="3"/>
    </w:pPr>
    <w:rPr>
      <w:b/>
    </w:rPr>
  </w:style>
  <w:style w:type="paragraph" w:styleId="Heading5">
    <w:name w:val="heading 5"/>
    <w:basedOn w:val="Normal"/>
    <w:next w:val="ParaNum"/>
    <w:qFormat/>
    <w:rsid w:val="00511968"/>
    <w:pPr>
      <w:keepNext/>
      <w:numPr>
        <w:ilvl w:val="4"/>
        <w:numId w:val="3"/>
      </w:numPr>
      <w:tabs>
        <w:tab w:val="left" w:pos="3600"/>
      </w:tabs>
      <w:suppressAutoHyphens/>
      <w:spacing w:after="120"/>
      <w:outlineLvl w:val="4"/>
    </w:pPr>
    <w:rPr>
      <w:b/>
    </w:rPr>
  </w:style>
  <w:style w:type="paragraph" w:styleId="Heading6">
    <w:name w:val="heading 6"/>
    <w:basedOn w:val="Normal"/>
    <w:next w:val="ParaNum"/>
    <w:qFormat/>
    <w:rsid w:val="00036039"/>
    <w:pPr>
      <w:numPr>
        <w:ilvl w:val="5"/>
        <w:numId w:val="3"/>
      </w:numPr>
      <w:tabs>
        <w:tab w:val="left" w:pos="4320"/>
      </w:tabs>
      <w:spacing w:after="120"/>
      <w:outlineLvl w:val="5"/>
    </w:pPr>
    <w:rPr>
      <w:b/>
    </w:rPr>
  </w:style>
  <w:style w:type="paragraph" w:styleId="Heading7">
    <w:name w:val="heading 7"/>
    <w:basedOn w:val="Normal"/>
    <w:next w:val="ParaNum"/>
    <w:qFormat/>
    <w:rsid w:val="00036039"/>
    <w:pPr>
      <w:numPr>
        <w:ilvl w:val="6"/>
        <w:numId w:val="3"/>
      </w:numPr>
      <w:tabs>
        <w:tab w:val="left" w:pos="5040"/>
      </w:tabs>
      <w:spacing w:after="120"/>
      <w:ind w:left="5040" w:hanging="720"/>
      <w:outlineLvl w:val="6"/>
    </w:pPr>
    <w:rPr>
      <w:b/>
    </w:rPr>
  </w:style>
  <w:style w:type="paragraph" w:styleId="Heading8">
    <w:name w:val="heading 8"/>
    <w:basedOn w:val="Normal"/>
    <w:next w:val="ParaNum"/>
    <w:qFormat/>
    <w:rsid w:val="001E01CA"/>
    <w:pPr>
      <w:numPr>
        <w:ilvl w:val="7"/>
        <w:numId w:val="3"/>
      </w:numPr>
      <w:tabs>
        <w:tab w:val="clear" w:pos="5400"/>
        <w:tab w:val="left" w:pos="5760"/>
      </w:tabs>
      <w:spacing w:after="120"/>
      <w:ind w:left="5760" w:hanging="720"/>
      <w:outlineLvl w:val="7"/>
    </w:pPr>
    <w:rPr>
      <w:b/>
    </w:rPr>
  </w:style>
  <w:style w:type="paragraph" w:styleId="Heading9">
    <w:name w:val="heading 9"/>
    <w:basedOn w:val="Normal"/>
    <w:next w:val="ParaNum"/>
    <w:qFormat/>
    <w:rsid w:val="001E01CA"/>
    <w:pPr>
      <w:numPr>
        <w:ilvl w:val="8"/>
        <w:numId w:val="3"/>
      </w:numPr>
      <w:tabs>
        <w:tab w:val="clear" w:pos="6120"/>
        <w:tab w:val="left" w:pos="6480"/>
      </w:tabs>
      <w:spacing w:after="120"/>
      <w:ind w:left="6480" w:hanging="72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Num">
    <w:name w:val="ParaNum"/>
    <w:basedOn w:val="Normal"/>
    <w:link w:val="ParaNumChar1"/>
    <w:rsid w:val="00E07225"/>
    <w:pPr>
      <w:numPr>
        <w:numId w:val="2"/>
      </w:numPr>
      <w:tabs>
        <w:tab w:val="clear" w:pos="1080"/>
        <w:tab w:val="num" w:pos="1440"/>
      </w:tabs>
      <w:spacing w:after="120"/>
    </w:pPr>
  </w:style>
  <w:style w:type="paragraph" w:styleId="EndnoteText">
    <w:name w:val="endnote text"/>
    <w:basedOn w:val="Normal"/>
    <w:semiHidden/>
    <w:rPr>
      <w:sz w:val="20"/>
    </w:rPr>
  </w:style>
  <w:style w:type="character" w:styleId="EndnoteReference">
    <w:name w:val="endnote reference"/>
    <w:semiHidden/>
    <w:rPr>
      <w:vertAlign w:val="superscript"/>
    </w:rPr>
  </w:style>
  <w:style w:type="paragraph" w:styleId="FootnoteText">
    <w:name w:val="footnote text"/>
    <w:aliases w:val="Footnote Text Char Char Char,Footnote Text Char Char Char Char Char,Footnote Text Char1,Footnote Text Char1 Char,Footnote Text Char1 Char Char Char,Footnote Text Char1 Char Char Char Char Char,Footnote Text Char2,fn,ft"/>
    <w:link w:val="FootnoteTextChar"/>
    <w:uiPriority w:val="99"/>
    <w:rsid w:val="000E3D42"/>
    <w:pPr>
      <w:spacing w:after="120"/>
    </w:pPr>
  </w:style>
  <w:style w:type="character" w:styleId="FootnoteReference">
    <w:name w:val="footnote reference"/>
    <w:aliases w:val="(NECG) Footnote Reference,A,Appel note de bas de p,FR,Footnote Reference/,Footnote Reference1,Style 12,Style 124,Style 13,Style 17,Style 3,Style 34,Style 4,Style 6,Style 7,Style 9,fr,o"/>
    <w:uiPriority w:val="99"/>
    <w:rsid w:val="00A32C3B"/>
    <w:rPr>
      <w:rFonts w:ascii="Times New Roman" w:hAnsi="Times New Roman"/>
      <w:dstrike w:val="0"/>
      <w:color w:val="auto"/>
      <w:sz w:val="20"/>
      <w:vertAlign w:val="superscript"/>
    </w:rPr>
  </w:style>
  <w:style w:type="paragraph" w:styleId="TOC1">
    <w:name w:val="toc 1"/>
    <w:basedOn w:val="Normal"/>
    <w:next w:val="Normal"/>
    <w:semiHidden/>
    <w:pPr>
      <w:tabs>
        <w:tab w:val="left" w:pos="360"/>
        <w:tab w:val="right" w:leader="dot" w:pos="9360"/>
      </w:tabs>
      <w:suppressAutoHyphens/>
      <w:ind w:left="360" w:right="720" w:hanging="360"/>
    </w:pPr>
    <w:rPr>
      <w:caps/>
      <w:noProof/>
    </w:rPr>
  </w:style>
  <w:style w:type="paragraph" w:styleId="TOC2">
    <w:name w:val="toc 2"/>
    <w:basedOn w:val="Normal"/>
    <w:next w:val="Normal"/>
    <w:semiHidden/>
    <w:pPr>
      <w:tabs>
        <w:tab w:val="left" w:pos="720"/>
        <w:tab w:val="right" w:leader="dot" w:pos="9360"/>
      </w:tabs>
      <w:suppressAutoHyphens/>
      <w:ind w:left="720" w:right="720" w:hanging="360"/>
    </w:pPr>
    <w:rPr>
      <w:noProof/>
    </w:rPr>
  </w:style>
  <w:style w:type="paragraph" w:styleId="TOC3">
    <w:name w:val="toc 3"/>
    <w:basedOn w:val="Normal"/>
    <w:next w:val="Normal"/>
    <w:semiHidden/>
    <w:pPr>
      <w:tabs>
        <w:tab w:val="left" w:pos="1080"/>
        <w:tab w:val="right" w:leader="dot" w:pos="9360"/>
      </w:tabs>
      <w:suppressAutoHyphens/>
      <w:ind w:left="1080" w:right="720" w:hanging="360"/>
    </w:pPr>
    <w:rPr>
      <w:noProof/>
    </w:rPr>
  </w:style>
  <w:style w:type="paragraph" w:styleId="TOC4">
    <w:name w:val="toc 4"/>
    <w:basedOn w:val="Normal"/>
    <w:next w:val="Normal"/>
    <w:autoRedefine/>
    <w:semiHidden/>
    <w:pPr>
      <w:tabs>
        <w:tab w:val="left" w:pos="1440"/>
        <w:tab w:val="right" w:leader="dot" w:pos="9360"/>
      </w:tabs>
      <w:suppressAutoHyphens/>
      <w:ind w:left="1440" w:right="720" w:hanging="360"/>
    </w:pPr>
    <w:rPr>
      <w:noProof/>
    </w:rPr>
  </w:style>
  <w:style w:type="paragraph" w:styleId="TOC5">
    <w:name w:val="toc 5"/>
    <w:basedOn w:val="Normal"/>
    <w:next w:val="Normal"/>
    <w:autoRedefine/>
    <w:semiHidden/>
    <w:pPr>
      <w:tabs>
        <w:tab w:val="left" w:pos="1800"/>
        <w:tab w:val="right" w:leader="dot" w:pos="9360"/>
      </w:tabs>
      <w:suppressAutoHyphens/>
      <w:ind w:left="1800" w:right="720" w:hanging="360"/>
    </w:pPr>
    <w:rPr>
      <w:noProof/>
    </w:rPr>
  </w:style>
  <w:style w:type="paragraph" w:styleId="TOC6">
    <w:name w:val="toc 6"/>
    <w:basedOn w:val="Normal"/>
    <w:next w:val="Normal"/>
    <w:autoRedefine/>
    <w:semiHidden/>
    <w:pPr>
      <w:tabs>
        <w:tab w:val="left" w:pos="2160"/>
        <w:tab w:val="right" w:leader="dot" w:pos="9360"/>
      </w:tabs>
      <w:suppressAutoHyphens/>
      <w:ind w:left="2160" w:hanging="360"/>
    </w:pPr>
    <w:rPr>
      <w:noProof/>
    </w:rPr>
  </w:style>
  <w:style w:type="paragraph" w:styleId="TOC7">
    <w:name w:val="toc 7"/>
    <w:basedOn w:val="Normal"/>
    <w:next w:val="Normal"/>
    <w:autoRedefine/>
    <w:semiHidden/>
    <w:pPr>
      <w:tabs>
        <w:tab w:val="left" w:pos="2520"/>
        <w:tab w:val="right" w:leader="dot" w:pos="9360"/>
      </w:tabs>
      <w:suppressAutoHyphens/>
      <w:ind w:left="2520" w:hanging="360"/>
    </w:pPr>
    <w:rPr>
      <w:noProof/>
    </w:rPr>
  </w:style>
  <w:style w:type="paragraph" w:styleId="TOC8">
    <w:name w:val="toc 8"/>
    <w:basedOn w:val="Normal"/>
    <w:next w:val="Normal"/>
    <w:autoRedefine/>
    <w:semiHidden/>
    <w:pPr>
      <w:tabs>
        <w:tab w:val="left" w:pos="2880"/>
        <w:tab w:val="right" w:leader="dot" w:pos="9360"/>
      </w:tabs>
      <w:suppressAutoHyphens/>
      <w:ind w:left="2880" w:hanging="360"/>
    </w:pPr>
    <w:rPr>
      <w:noProof/>
    </w:rPr>
  </w:style>
  <w:style w:type="paragraph" w:styleId="TOC9">
    <w:name w:val="toc 9"/>
    <w:basedOn w:val="Normal"/>
    <w:next w:val="Normal"/>
    <w:autoRedefine/>
    <w:semiHidden/>
    <w:pPr>
      <w:tabs>
        <w:tab w:val="left" w:pos="3240"/>
        <w:tab w:val="right" w:leader="dot" w:pos="9360"/>
      </w:tabs>
      <w:suppressAutoHyphens/>
      <w:ind w:left="3240" w:hanging="360"/>
    </w:pPr>
    <w:rPr>
      <w:noProof/>
    </w:rPr>
  </w:style>
  <w:style w:type="paragraph" w:styleId="TOAHeading">
    <w:name w:val="toa heading"/>
    <w:basedOn w:val="Normal"/>
    <w:next w:val="Normal"/>
    <w:semiHidden/>
    <w:pPr>
      <w:tabs>
        <w:tab w:val="right" w:pos="9360"/>
      </w:tabs>
      <w:suppressAutoHyphens/>
    </w:pPr>
  </w:style>
  <w:style w:type="character" w:customStyle="1" w:styleId="EquationCaption">
    <w:name w:val="_Equation Caption"/>
  </w:style>
  <w:style w:type="paragraph" w:styleId="Header">
    <w:name w:val="header"/>
    <w:basedOn w:val="Normal"/>
    <w:autoRedefine/>
    <w:pPr>
      <w:tabs>
        <w:tab w:val="center" w:pos="4680"/>
        <w:tab w:val="right" w:pos="9360"/>
      </w:tabs>
    </w:pPr>
    <w:rPr>
      <w:b/>
    </w:r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BlockText">
    <w:name w:val="Block Text"/>
    <w:basedOn w:val="Normal"/>
    <w:pPr>
      <w:spacing w:after="240"/>
      <w:ind w:left="1440" w:right="1440"/>
    </w:pPr>
  </w:style>
  <w:style w:type="paragraph" w:customStyle="1" w:styleId="Paratitle">
    <w:name w:val="Para title"/>
    <w:basedOn w:val="Normal"/>
    <w:pPr>
      <w:tabs>
        <w:tab w:val="center" w:pos="9270"/>
      </w:tabs>
      <w:spacing w:after="240"/>
    </w:pPr>
    <w:rPr>
      <w:spacing w:val="-2"/>
    </w:rPr>
  </w:style>
  <w:style w:type="paragraph" w:customStyle="1" w:styleId="Bullet">
    <w:name w:val="Bullet"/>
    <w:basedOn w:val="Normal"/>
    <w:pPr>
      <w:tabs>
        <w:tab w:val="left" w:pos="2160"/>
      </w:tabs>
      <w:spacing w:after="220"/>
      <w:ind w:left="2160" w:hanging="720"/>
    </w:pPr>
  </w:style>
  <w:style w:type="paragraph" w:customStyle="1" w:styleId="TableFormat">
    <w:name w:val="TableFormat"/>
    <w:basedOn w:val="Bullet"/>
    <w:pPr>
      <w:tabs>
        <w:tab w:val="clear" w:pos="2160"/>
        <w:tab w:val="left" w:pos="5040"/>
      </w:tabs>
      <w:ind w:left="5040" w:hanging="3600"/>
    </w:pPr>
  </w:style>
  <w:style w:type="paragraph" w:customStyle="1" w:styleId="TOCTitle">
    <w:name w:val="TOC Title"/>
    <w:basedOn w:val="Normal"/>
    <w:pPr>
      <w:spacing w:before="240" w:after="240"/>
      <w:jc w:val="center"/>
    </w:pPr>
    <w:rPr>
      <w:rFonts w:ascii="Times New Roman Bold" w:hAnsi="Times New Roman Bold"/>
      <w:b/>
      <w:caps/>
      <w:spacing w:val="-2"/>
    </w:rPr>
  </w:style>
  <w:style w:type="paragraph" w:customStyle="1" w:styleId="StyleBoldCentered">
    <w:name w:val="Style Bold Centered"/>
    <w:basedOn w:val="Normal"/>
    <w:rsid w:val="00096D8C"/>
    <w:pPr>
      <w:jc w:val="center"/>
    </w:pPr>
    <w:rPr>
      <w:rFonts w:ascii="Times New Roman Bold" w:hAnsi="Times New Roman Bold"/>
      <w:b/>
      <w:bCs/>
      <w:caps/>
      <w:szCs w:val="22"/>
    </w:rPr>
  </w:style>
  <w:style w:type="character" w:styleId="Hyperlink">
    <w:name w:val="Hyperlink"/>
    <w:rsid w:val="002A2D2E"/>
    <w:rPr>
      <w:color w:val="0000FF"/>
      <w:u w:val="single"/>
    </w:rPr>
  </w:style>
  <w:style w:type="character" w:customStyle="1" w:styleId="FooterChar">
    <w:name w:val="Footer Char"/>
    <w:link w:val="Footer"/>
    <w:uiPriority w:val="99"/>
    <w:rsid w:val="009D7308"/>
    <w:rPr>
      <w:snapToGrid w:val="0"/>
      <w:kern w:val="28"/>
      <w:sz w:val="22"/>
    </w:rPr>
  </w:style>
  <w:style w:type="character" w:styleId="CommentReference">
    <w:name w:val="annotation reference"/>
    <w:rsid w:val="00814869"/>
    <w:rPr>
      <w:sz w:val="16"/>
      <w:szCs w:val="16"/>
    </w:rPr>
  </w:style>
  <w:style w:type="paragraph" w:styleId="CommentText">
    <w:name w:val="annotation text"/>
    <w:basedOn w:val="Normal"/>
    <w:link w:val="CommentTextChar"/>
    <w:rsid w:val="00814869"/>
    <w:rPr>
      <w:sz w:val="20"/>
    </w:rPr>
  </w:style>
  <w:style w:type="character" w:customStyle="1" w:styleId="CommentTextChar">
    <w:name w:val="Comment Text Char"/>
    <w:link w:val="CommentText"/>
    <w:rsid w:val="00814869"/>
    <w:rPr>
      <w:snapToGrid w:val="0"/>
      <w:kern w:val="28"/>
    </w:rPr>
  </w:style>
  <w:style w:type="paragraph" w:styleId="CommentSubject">
    <w:name w:val="annotation subject"/>
    <w:basedOn w:val="CommentText"/>
    <w:next w:val="CommentText"/>
    <w:link w:val="CommentSubjectChar"/>
    <w:rsid w:val="00814869"/>
    <w:rPr>
      <w:b/>
      <w:bCs/>
    </w:rPr>
  </w:style>
  <w:style w:type="character" w:customStyle="1" w:styleId="CommentSubjectChar">
    <w:name w:val="Comment Subject Char"/>
    <w:link w:val="CommentSubject"/>
    <w:rsid w:val="00814869"/>
    <w:rPr>
      <w:b/>
      <w:bCs/>
      <w:snapToGrid w:val="0"/>
      <w:kern w:val="28"/>
    </w:rPr>
  </w:style>
  <w:style w:type="paragraph" w:styleId="BalloonText">
    <w:name w:val="Balloon Text"/>
    <w:basedOn w:val="Normal"/>
    <w:link w:val="BalloonTextChar"/>
    <w:rsid w:val="00814869"/>
    <w:rPr>
      <w:rFonts w:ascii="Segoe UI" w:hAnsi="Segoe UI" w:cs="Segoe UI"/>
      <w:sz w:val="18"/>
      <w:szCs w:val="18"/>
    </w:rPr>
  </w:style>
  <w:style w:type="character" w:customStyle="1" w:styleId="BalloonTextChar">
    <w:name w:val="Balloon Text Char"/>
    <w:link w:val="BalloonText"/>
    <w:rsid w:val="00814869"/>
    <w:rPr>
      <w:rFonts w:ascii="Segoe UI" w:hAnsi="Segoe UI" w:cs="Segoe UI"/>
      <w:snapToGrid w:val="0"/>
      <w:kern w:val="28"/>
      <w:sz w:val="18"/>
      <w:szCs w:val="18"/>
    </w:rPr>
  </w:style>
  <w:style w:type="character" w:customStyle="1" w:styleId="FootnoteTextChar">
    <w:name w:val="Footnote Text Char"/>
    <w:aliases w:val="Footnote Text Char Char Char Char,Footnote Text Char Char Char Char Char Char,Footnote Text Char1 Char Char,Footnote Text Char1 Char Char Char Char,Footnote Text Char1 Char Char Char Char Char Char,Footnote Text Char1 Char1,fn Char"/>
    <w:link w:val="FootnoteText"/>
    <w:uiPriority w:val="99"/>
    <w:rsid w:val="00814869"/>
  </w:style>
  <w:style w:type="character" w:customStyle="1" w:styleId="ParaNumChar1">
    <w:name w:val="ParaNum Char1"/>
    <w:link w:val="ParaNum"/>
    <w:rsid w:val="009E3A7D"/>
    <w:rPr>
      <w:snapToGrid w:val="0"/>
      <w:kern w:val="28"/>
      <w:sz w:val="22"/>
    </w:rPr>
  </w:style>
  <w:style w:type="paragraph" w:styleId="ListParagraph">
    <w:name w:val="List Paragraph"/>
    <w:basedOn w:val="Normal"/>
    <w:uiPriority w:val="34"/>
    <w:qFormat/>
    <w:rsid w:val="00ED06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eader" Target="header2.xml" /><Relationship Id="rId9" Type="http://schemas.openxmlformats.org/officeDocument/2006/relationships/footer" Target="footer3.xml" /></Relationships>
</file>

<file path=word/_rels/settings.xml.rels>&#65279;<?xml version="1.0" encoding="utf-8" standalone="yes"?><Relationships xmlns="http://schemas.openxmlformats.org/package/2006/relationships"><Relationship Id="rId1" Type="http://schemas.openxmlformats.org/officeDocument/2006/relationships/attachedTemplate" Target="file:///M:\Forms\OS%20Process\Orders%20TOC%20by%20Paragraph.d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Orders TOC by Paragraph</Template>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