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cs="Times New Roman"/>
          <w:b/>
          <w:sz w:val="44"/>
          <w:szCs w:val="44"/>
        </w:rPr>
      </w:pPr>
      <w:r>
        <w:rPr>
          <w:rFonts w:hint="eastAsia" w:ascii="宋体" w:hAnsi="宋体" w:eastAsia="宋体" w:cs="Times New Roman"/>
          <w:b/>
          <w:sz w:val="44"/>
          <w:szCs w:val="44"/>
        </w:rPr>
        <w:t>载人月面着陆与上升飞行器创意方案征集大赛参赛方案说明书</w:t>
      </w:r>
    </w:p>
    <w:p>
      <w:pPr>
        <w:jc w:val="center"/>
        <w:rPr>
          <w:rFonts w:ascii="仿宋_GB2312" w:hAnsi="Calibri" w:eastAsia="仿宋_GB2312" w:cs="Times New Roman"/>
          <w:b/>
          <w:sz w:val="52"/>
          <w:szCs w:val="52"/>
        </w:rPr>
      </w:pPr>
    </w:p>
    <w:p>
      <w:pPr>
        <w:rPr>
          <w:rFonts w:ascii="仿宋_GB2312" w:hAnsi="Calibri" w:eastAsia="仿宋_GB2312" w:cs="Times New Roman"/>
          <w:sz w:val="28"/>
          <w:szCs w:val="28"/>
        </w:rPr>
      </w:pPr>
    </w:p>
    <w:p>
      <w:pPr>
        <w:ind w:left="840" w:leftChars="400"/>
        <w:rPr>
          <w:rFonts w:ascii="仿宋_GB2312" w:hAnsi="Calibri" w:eastAsia="仿宋_GB2312" w:cs="Times New Roman"/>
          <w:b/>
          <w:color w:val="00B050"/>
          <w:sz w:val="32"/>
          <w:szCs w:val="32"/>
        </w:rPr>
      </w:pPr>
      <w:r>
        <w:rPr>
          <w:rFonts w:hint="eastAsia" w:ascii="Calibri" w:hAnsi="Calibri" w:eastAsia="宋体" w:cs="Times New Roman"/>
          <w:b/>
          <w:sz w:val="32"/>
          <w:szCs w:val="32"/>
        </w:rPr>
        <w:t>方 案 名 称：</w:t>
      </w:r>
      <w:r>
        <w:rPr>
          <w:rFonts w:ascii="仿宋_GB2312" w:hAnsi="Calibri" w:eastAsia="仿宋_GB2312" w:cs="Times New Roman"/>
          <w:b/>
          <w:color w:val="00B050"/>
          <w:sz w:val="32"/>
          <w:szCs w:val="32"/>
        </w:rPr>
        <w:t xml:space="preserve"> </w:t>
      </w:r>
      <w:r>
        <w:rPr>
          <w:rFonts w:hint="eastAsia" w:cs="Times New Roman" w:asciiTheme="minorEastAsia" w:hAnsiTheme="minorEastAsia"/>
          <w:b/>
          <w:kern w:val="0"/>
          <w:sz w:val="32"/>
          <w:szCs w:val="32"/>
        </w:rPr>
        <w:t>一种采用电动泵发动机的载人月面着陆与上升飞行器设计</w:t>
      </w:r>
    </w:p>
    <w:p>
      <w:pPr>
        <w:ind w:left="420" w:leftChars="200" w:firstLine="630" w:firstLineChars="196"/>
        <w:rPr>
          <w:rFonts w:ascii="Microsoft Yi Baiti" w:hAnsi="Microsoft Yi Baiti" w:cs="Microsoft Yi Baiti"/>
          <w:b/>
          <w:sz w:val="32"/>
          <w:szCs w:val="32"/>
        </w:rPr>
      </w:pPr>
      <w:r>
        <w:rPr>
          <w:rFonts w:hint="eastAsia" w:ascii="Calibri" w:hAnsi="Calibri" w:eastAsia="宋体" w:cs="Times New Roman"/>
          <w:b/>
          <w:sz w:val="32"/>
          <w:szCs w:val="32"/>
        </w:rPr>
        <w:t>方 案 类 别（请勾选）：技术类</w:t>
      </w:r>
      <w:r>
        <w:rPr>
          <w:rFonts w:hint="eastAsia" w:ascii="Calibri" w:hAnsi="Calibri" w:eastAsia="宋体" w:cs="Times New Roman"/>
          <w:b/>
          <w:sz w:val="32"/>
          <w:szCs w:val="32"/>
        </w:rPr>
        <w:sym w:font="Wingdings 2" w:char="00A3"/>
      </w:r>
      <w:r>
        <w:rPr>
          <w:rFonts w:hint="eastAsia" w:ascii="Calibri" w:hAnsi="Calibri" w:eastAsia="宋体" w:cs="Times New Roman"/>
          <w:b/>
          <w:sz w:val="32"/>
          <w:szCs w:val="32"/>
        </w:rPr>
        <w:t xml:space="preserve"> 创意类</w:t>
      </w:r>
      <w:r>
        <w:rPr>
          <w:rFonts w:hint="eastAsia" w:ascii="宋体" w:hAnsi="宋体" w:eastAsia="宋体" w:cs="宋体"/>
          <w:b/>
          <w:sz w:val="32"/>
          <w:szCs w:val="32"/>
        </w:rPr>
        <w:t>√</w:t>
      </w:r>
    </w:p>
    <w:p>
      <w:pPr>
        <w:ind w:left="420" w:leftChars="200" w:firstLine="630" w:firstLineChars="196"/>
        <w:rPr>
          <w:rFonts w:ascii="Calibri" w:hAnsi="Calibri" w:eastAsia="宋体" w:cs="Times New Roman"/>
          <w:b/>
          <w:sz w:val="32"/>
          <w:szCs w:val="32"/>
        </w:rPr>
      </w:pPr>
      <w:r>
        <w:rPr>
          <w:rFonts w:hint="eastAsia" w:ascii="Calibri" w:hAnsi="Calibri" w:eastAsia="宋体" w:cs="Times New Roman"/>
          <w:b/>
          <w:sz w:val="32"/>
          <w:szCs w:val="32"/>
        </w:rPr>
        <w:t>参 赛 单 位：个人</w:t>
      </w:r>
    </w:p>
    <w:p>
      <w:pPr>
        <w:ind w:left="420" w:leftChars="200" w:firstLine="630" w:firstLineChars="196"/>
        <w:rPr>
          <w:rFonts w:hint="eastAsia" w:ascii="Calibri" w:hAnsi="Calibri" w:eastAsia="宋体" w:cs="Times New Roman"/>
          <w:b/>
          <w:sz w:val="32"/>
          <w:szCs w:val="32"/>
        </w:rPr>
      </w:pPr>
      <w:r>
        <w:rPr>
          <w:rFonts w:hint="eastAsia" w:ascii="Calibri" w:hAnsi="Calibri" w:eastAsia="宋体" w:cs="Times New Roman"/>
          <w:b/>
          <w:sz w:val="32"/>
          <w:szCs w:val="32"/>
        </w:rPr>
        <w:t>项目负责人 ：</w:t>
      </w:r>
    </w:p>
    <w:p>
      <w:pPr>
        <w:rPr>
          <w:rFonts w:hint="eastAsia" w:ascii="Calibri" w:hAnsi="Calibri" w:eastAsia="宋体" w:cs="Times New Roman"/>
          <w:b/>
          <w:sz w:val="32"/>
          <w:szCs w:val="32"/>
        </w:rPr>
      </w:pPr>
      <w:r>
        <w:rPr>
          <w:rFonts w:hint="eastAsia" w:ascii="Calibri" w:hAnsi="Calibri" w:eastAsia="宋体" w:cs="Times New Roman"/>
          <w:b/>
          <w:sz w:val="32"/>
          <w:szCs w:val="32"/>
          <w:lang w:val="en-US" w:eastAsia="zh-CN"/>
        </w:rPr>
        <w:t xml:space="preserve">       </w:t>
      </w:r>
      <w:r>
        <w:rPr>
          <w:rFonts w:hint="eastAsia" w:ascii="Calibri" w:hAnsi="Calibri" w:eastAsia="宋体" w:cs="Times New Roman"/>
          <w:b/>
          <w:sz w:val="32"/>
          <w:szCs w:val="32"/>
        </w:rPr>
        <w:t>联 系 电 话：</w:t>
      </w:r>
    </w:p>
    <w:p>
      <w:pPr>
        <w:rPr>
          <w:rFonts w:ascii="Calibri" w:hAnsi="Calibri" w:eastAsia="宋体" w:cs="Times New Roman"/>
          <w:b/>
          <w:sz w:val="32"/>
          <w:szCs w:val="32"/>
        </w:rPr>
      </w:pPr>
      <w:r>
        <w:rPr>
          <w:rFonts w:hint="eastAsia" w:ascii="Calibri" w:hAnsi="Calibri" w:eastAsia="宋体" w:cs="Times New Roman"/>
          <w:b/>
          <w:sz w:val="32"/>
          <w:szCs w:val="32"/>
          <w:lang w:val="en-US" w:eastAsia="zh-CN"/>
        </w:rPr>
        <w:t xml:space="preserve">      </w:t>
      </w:r>
      <w:r>
        <w:rPr>
          <w:rFonts w:ascii="Calibri" w:hAnsi="Calibri" w:eastAsia="宋体" w:cs="Times New Roman"/>
          <w:b/>
          <w:sz w:val="32"/>
          <w:szCs w:val="32"/>
        </w:rPr>
        <w:t xml:space="preserve"> </w:t>
      </w:r>
      <w:r>
        <w:rPr>
          <w:rFonts w:hint="eastAsia" w:ascii="Calibri" w:hAnsi="Calibri" w:eastAsia="宋体" w:cs="Times New Roman"/>
          <w:b/>
          <w:sz w:val="32"/>
          <w:szCs w:val="32"/>
        </w:rPr>
        <w:t>编 制 日 期：2018年9月5日</w:t>
      </w:r>
    </w:p>
    <w:p>
      <w:pPr>
        <w:jc w:val="center"/>
        <w:rPr>
          <w:rFonts w:ascii="黑体" w:eastAsia="黑体"/>
          <w:b/>
          <w:sz w:val="32"/>
        </w:rPr>
      </w:pPr>
    </w:p>
    <w:p>
      <w:pPr>
        <w:widowControl/>
        <w:jc w:val="left"/>
        <w:rPr>
          <w:rFonts w:ascii="黑体" w:eastAsia="黑体"/>
          <w:b/>
          <w:sz w:val="32"/>
        </w:rPr>
      </w:pPr>
      <w:r>
        <w:rPr>
          <w:rFonts w:ascii="黑体" w:eastAsia="黑体"/>
          <w:b/>
          <w:sz w:val="32"/>
        </w:rPr>
        <w:br w:type="page"/>
      </w:r>
    </w:p>
    <w:sdt>
      <w:sdtPr>
        <w:rPr>
          <w:lang w:val="zh-CN"/>
        </w:rPr>
        <w:id w:val="2059197593"/>
      </w:sdtPr>
      <w:sdtEndPr>
        <w:rPr>
          <w:rFonts w:cs="Times New Roman" w:asciiTheme="majorEastAsia" w:hAnsiTheme="majorEastAsia"/>
          <w:b/>
          <w:bCs/>
          <w:iCs/>
          <w:caps/>
          <w:color w:val="auto"/>
          <w:kern w:val="2"/>
          <w:sz w:val="28"/>
          <w:szCs w:val="28"/>
          <w:lang w:val="zh-CN"/>
        </w:rPr>
      </w:sdtEndPr>
      <w:sdtContent>
        <w:p>
          <w:pPr>
            <w:pStyle w:val="12"/>
            <w:jc w:val="center"/>
            <w:rPr>
              <w:rFonts w:ascii="黑体" w:hAnsi="黑体" w:eastAsia="黑体"/>
              <w:b/>
              <w:color w:val="auto"/>
            </w:rPr>
          </w:pPr>
          <w:r>
            <w:rPr>
              <w:rFonts w:ascii="黑体" w:hAnsi="黑体" w:eastAsia="黑体"/>
              <w:b/>
              <w:color w:val="auto"/>
              <w:lang w:val="zh-CN"/>
            </w:rPr>
            <w:t>目</w:t>
          </w:r>
          <w:r>
            <w:rPr>
              <w:rFonts w:hint="eastAsia" w:ascii="黑体" w:hAnsi="黑体" w:eastAsia="黑体"/>
              <w:b/>
              <w:color w:val="auto"/>
              <w:lang w:val="zh-CN"/>
            </w:rPr>
            <w:t xml:space="preserve"> </w:t>
          </w:r>
          <w:r>
            <w:rPr>
              <w:rFonts w:ascii="黑体" w:hAnsi="黑体" w:eastAsia="黑体"/>
              <w:b/>
              <w:color w:val="auto"/>
              <w:lang w:val="zh-CN"/>
            </w:rPr>
            <w:t>录</w:t>
          </w:r>
        </w:p>
        <w:p>
          <w:pPr>
            <w:pStyle w:val="6"/>
            <w:spacing w:line="360" w:lineRule="auto"/>
            <w:ind w:left="210" w:right="210"/>
            <w:rPr>
              <w:rFonts w:asciiTheme="majorEastAsia" w:hAnsiTheme="majorEastAsia" w:eastAsiaTheme="majorEastAsia"/>
              <w:b/>
              <w:sz w:val="28"/>
              <w:szCs w:val="28"/>
            </w:rPr>
          </w:pPr>
          <w:r>
            <w:rPr>
              <w:rFonts w:asciiTheme="majorEastAsia" w:hAnsiTheme="majorEastAsia" w:eastAsiaTheme="majorEastAsia"/>
              <w:b/>
              <w:bCs w:val="0"/>
              <w:sz w:val="28"/>
              <w:szCs w:val="28"/>
            </w:rPr>
            <w:t>1 概述</w:t>
          </w:r>
          <w:r>
            <w:rPr>
              <w:rFonts w:asciiTheme="majorEastAsia" w:hAnsiTheme="majorEastAsia" w:eastAsiaTheme="majorEastAsia"/>
              <w:sz w:val="28"/>
              <w:szCs w:val="28"/>
            </w:rPr>
            <w:ptab w:relativeTo="margin" w:alignment="right" w:leader="dot"/>
          </w:r>
          <w:r>
            <w:rPr>
              <w:rFonts w:asciiTheme="majorEastAsia" w:hAnsiTheme="majorEastAsia" w:eastAsiaTheme="majorEastAsia"/>
              <w:b/>
              <w:sz w:val="28"/>
              <w:szCs w:val="28"/>
              <w:lang w:val="zh-CN"/>
            </w:rPr>
            <w:t>3</w:t>
          </w:r>
        </w:p>
        <w:p>
          <w:pPr>
            <w:pStyle w:val="6"/>
            <w:spacing w:line="360" w:lineRule="auto"/>
            <w:ind w:left="210" w:right="210"/>
            <w:rPr>
              <w:rFonts w:asciiTheme="majorEastAsia" w:hAnsiTheme="majorEastAsia" w:eastAsiaTheme="majorEastAsia"/>
              <w:b/>
              <w:sz w:val="28"/>
              <w:szCs w:val="28"/>
              <w:lang w:val="zh-CN"/>
            </w:rPr>
          </w:pPr>
          <w:r>
            <w:rPr>
              <w:rFonts w:asciiTheme="majorEastAsia" w:hAnsiTheme="majorEastAsia" w:eastAsiaTheme="majorEastAsia"/>
              <w:b/>
              <w:bCs w:val="0"/>
              <w:sz w:val="28"/>
              <w:szCs w:val="28"/>
            </w:rPr>
            <w:t>2方案总体介绍</w:t>
          </w:r>
          <w:r>
            <w:rPr>
              <w:rFonts w:asciiTheme="majorEastAsia" w:hAnsiTheme="majorEastAsia" w:eastAsiaTheme="majorEastAsia"/>
              <w:b/>
              <w:sz w:val="28"/>
              <w:szCs w:val="28"/>
            </w:rPr>
            <w:ptab w:relativeTo="margin" w:alignment="right" w:leader="dot"/>
          </w:r>
          <w:r>
            <w:rPr>
              <w:rFonts w:asciiTheme="majorEastAsia" w:hAnsiTheme="majorEastAsia" w:eastAsiaTheme="majorEastAsia"/>
              <w:b/>
              <w:sz w:val="28"/>
              <w:szCs w:val="28"/>
              <w:lang w:val="zh-CN"/>
            </w:rPr>
            <w:t>3</w:t>
          </w:r>
        </w:p>
        <w:p>
          <w:pPr>
            <w:spacing w:line="360" w:lineRule="auto"/>
            <w:rPr>
              <w:rFonts w:cs="Times New Roman" w:asciiTheme="majorEastAsia" w:hAnsiTheme="majorEastAsia" w:eastAsiaTheme="majorEastAsia"/>
              <w:b/>
              <w:sz w:val="28"/>
              <w:szCs w:val="28"/>
            </w:rPr>
          </w:pPr>
          <w:r>
            <w:rPr>
              <w:rFonts w:cs="Times New Roman" w:asciiTheme="majorEastAsia" w:hAnsiTheme="majorEastAsia" w:eastAsiaTheme="majorEastAsia"/>
              <w:b/>
              <w:sz w:val="28"/>
              <w:szCs w:val="28"/>
              <w:lang w:val="zh-CN"/>
            </w:rPr>
            <w:t xml:space="preserve">  3主要分系统介绍</w:t>
          </w:r>
          <w:r>
            <w:rPr>
              <w:rFonts w:cs="Times New Roman" w:asciiTheme="majorEastAsia" w:hAnsiTheme="majorEastAsia" w:eastAsiaTheme="majorEastAsia"/>
              <w:b/>
              <w:sz w:val="28"/>
              <w:szCs w:val="28"/>
            </w:rPr>
            <w:ptab w:relativeTo="margin" w:alignment="right" w:leader="dot"/>
          </w:r>
          <w:r>
            <w:rPr>
              <w:rFonts w:cs="Times New Roman" w:asciiTheme="majorEastAsia" w:hAnsiTheme="majorEastAsia" w:eastAsiaTheme="majorEastAsia"/>
              <w:b/>
              <w:sz w:val="28"/>
              <w:szCs w:val="28"/>
            </w:rPr>
            <w:t>3</w:t>
          </w:r>
        </w:p>
        <w:p>
          <w:pPr>
            <w:spacing w:line="360" w:lineRule="auto"/>
            <w:rPr>
              <w:rFonts w:cs="Times New Roman" w:asciiTheme="majorEastAsia" w:hAnsiTheme="majorEastAsia" w:eastAsiaTheme="majorEastAsia"/>
              <w:b/>
              <w:sz w:val="28"/>
              <w:szCs w:val="28"/>
            </w:rPr>
          </w:pPr>
          <w:r>
            <w:rPr>
              <w:rFonts w:cs="Times New Roman" w:asciiTheme="majorEastAsia" w:hAnsiTheme="majorEastAsia" w:eastAsiaTheme="majorEastAsia"/>
              <w:b/>
              <w:sz w:val="28"/>
              <w:szCs w:val="28"/>
            </w:rPr>
            <w:t xml:space="preserve">    3.1</w:t>
          </w:r>
          <w:r>
            <w:rPr>
              <w:rFonts w:hint="eastAsia" w:cs="Times New Roman" w:asciiTheme="majorEastAsia" w:hAnsiTheme="majorEastAsia" w:eastAsiaTheme="majorEastAsia"/>
              <w:b/>
              <w:sz w:val="28"/>
              <w:szCs w:val="28"/>
            </w:rPr>
            <w:t>结构分系统</w:t>
          </w:r>
          <w:r>
            <w:rPr>
              <w:rFonts w:cs="Times New Roman" w:asciiTheme="majorEastAsia" w:hAnsiTheme="majorEastAsia" w:eastAsiaTheme="majorEastAsia"/>
              <w:b/>
              <w:sz w:val="28"/>
              <w:szCs w:val="28"/>
            </w:rPr>
            <w:ptab w:relativeTo="margin" w:alignment="right" w:leader="dot"/>
          </w:r>
          <w:r>
            <w:rPr>
              <w:rFonts w:cs="Times New Roman" w:asciiTheme="majorEastAsia" w:hAnsiTheme="majorEastAsia" w:eastAsiaTheme="majorEastAsia"/>
              <w:b/>
              <w:sz w:val="28"/>
              <w:szCs w:val="28"/>
            </w:rPr>
            <w:t>3</w:t>
          </w:r>
        </w:p>
        <w:p>
          <w:pPr>
            <w:spacing w:line="360" w:lineRule="auto"/>
            <w:ind w:firstLine="562" w:firstLineChars="200"/>
            <w:rPr>
              <w:rFonts w:hint="eastAsia" w:cs="Times New Roman" w:asciiTheme="majorEastAsia" w:hAnsiTheme="majorEastAsia" w:eastAsiaTheme="majorEastAsia"/>
              <w:b/>
              <w:sz w:val="28"/>
              <w:szCs w:val="28"/>
            </w:rPr>
          </w:pPr>
          <w:r>
            <w:rPr>
              <w:rFonts w:cs="Times New Roman" w:asciiTheme="majorEastAsia" w:hAnsiTheme="majorEastAsia" w:eastAsiaTheme="majorEastAsia"/>
              <w:b/>
              <w:sz w:val="28"/>
              <w:szCs w:val="28"/>
            </w:rPr>
            <w:t>3.2 推进分系统</w:t>
          </w:r>
          <w:r>
            <w:rPr>
              <w:rFonts w:cs="Times New Roman" w:asciiTheme="majorEastAsia" w:hAnsiTheme="majorEastAsia" w:eastAsiaTheme="majorEastAsia"/>
              <w:b/>
              <w:sz w:val="28"/>
              <w:szCs w:val="28"/>
            </w:rPr>
            <w:ptab w:relativeTo="margin" w:alignment="right" w:leader="dot"/>
          </w:r>
          <w:r>
            <w:rPr>
              <w:rFonts w:cs="Times New Roman" w:asciiTheme="majorEastAsia" w:hAnsiTheme="majorEastAsia" w:eastAsiaTheme="majorEastAsia"/>
              <w:b/>
              <w:sz w:val="28"/>
              <w:szCs w:val="28"/>
            </w:rPr>
            <w:t>5</w:t>
          </w:r>
          <w:bookmarkStart w:id="0" w:name="_GoBack"/>
          <w:bookmarkEnd w:id="0"/>
        </w:p>
        <w:p>
          <w:pPr>
            <w:spacing w:line="360" w:lineRule="auto"/>
            <w:ind w:firstLine="562" w:firstLineChars="200"/>
            <w:rPr>
              <w:rFonts w:cs="Times New Roman" w:asciiTheme="majorEastAsia" w:hAnsiTheme="majorEastAsia" w:eastAsiaTheme="majorEastAsia"/>
              <w:b/>
              <w:sz w:val="28"/>
              <w:szCs w:val="28"/>
            </w:rPr>
          </w:pPr>
          <w:r>
            <w:rPr>
              <w:rFonts w:cs="Times New Roman" w:asciiTheme="majorEastAsia" w:hAnsiTheme="majorEastAsia" w:eastAsiaTheme="majorEastAsia"/>
              <w:b/>
              <w:sz w:val="28"/>
              <w:szCs w:val="28"/>
            </w:rPr>
            <w:t>3.3 电源分系统</w:t>
          </w:r>
          <w:r>
            <w:rPr>
              <w:rFonts w:cs="Times New Roman" w:asciiTheme="majorEastAsia" w:hAnsiTheme="majorEastAsia" w:eastAsiaTheme="majorEastAsia"/>
              <w:b/>
              <w:sz w:val="28"/>
              <w:szCs w:val="28"/>
            </w:rPr>
            <w:ptab w:relativeTo="margin" w:alignment="right" w:leader="dot"/>
          </w:r>
          <w:r>
            <w:rPr>
              <w:rFonts w:cs="Times New Roman" w:asciiTheme="majorEastAsia" w:hAnsiTheme="majorEastAsia" w:eastAsiaTheme="majorEastAsia"/>
              <w:b/>
              <w:sz w:val="28"/>
              <w:szCs w:val="28"/>
            </w:rPr>
            <w:t>6</w:t>
          </w:r>
        </w:p>
        <w:p>
          <w:pPr>
            <w:spacing w:line="360" w:lineRule="auto"/>
            <w:ind w:firstLine="562" w:firstLineChars="200"/>
            <w:rPr>
              <w:rFonts w:cs="Times New Roman" w:asciiTheme="majorEastAsia" w:hAnsiTheme="majorEastAsia" w:eastAsiaTheme="majorEastAsia"/>
              <w:b/>
              <w:sz w:val="28"/>
              <w:szCs w:val="28"/>
            </w:rPr>
          </w:pPr>
          <w:r>
            <w:rPr>
              <w:rFonts w:cs="Times New Roman" w:asciiTheme="majorEastAsia" w:hAnsiTheme="majorEastAsia" w:eastAsiaTheme="majorEastAsia"/>
              <w:b/>
              <w:sz w:val="28"/>
              <w:szCs w:val="28"/>
            </w:rPr>
            <w:t>3.4</w:t>
          </w:r>
          <w:r>
            <w:rPr>
              <w:rFonts w:hint="eastAsia" w:cs="Times New Roman" w:asciiTheme="majorEastAsia" w:hAnsiTheme="majorEastAsia" w:eastAsiaTheme="majorEastAsia"/>
              <w:b/>
              <w:sz w:val="28"/>
              <w:szCs w:val="28"/>
            </w:rPr>
            <w:t>低温推进剂热管理分系统</w:t>
          </w:r>
          <w:r>
            <w:rPr>
              <w:rFonts w:cs="Times New Roman" w:asciiTheme="majorEastAsia" w:hAnsiTheme="majorEastAsia" w:eastAsiaTheme="majorEastAsia"/>
              <w:b/>
              <w:sz w:val="28"/>
              <w:szCs w:val="28"/>
            </w:rPr>
            <w:ptab w:relativeTo="margin" w:alignment="right" w:leader="dot"/>
          </w:r>
          <w:r>
            <w:rPr>
              <w:rFonts w:cs="Times New Roman" w:asciiTheme="majorEastAsia" w:hAnsiTheme="majorEastAsia" w:eastAsiaTheme="majorEastAsia"/>
              <w:b/>
              <w:sz w:val="28"/>
              <w:szCs w:val="28"/>
            </w:rPr>
            <w:t>6</w:t>
          </w:r>
        </w:p>
        <w:p>
          <w:pPr>
            <w:spacing w:line="360" w:lineRule="auto"/>
            <w:ind w:firstLine="562" w:firstLineChars="200"/>
            <w:rPr>
              <w:rFonts w:cs="Times New Roman" w:asciiTheme="majorEastAsia" w:hAnsiTheme="majorEastAsia" w:eastAsiaTheme="majorEastAsia"/>
              <w:b/>
              <w:sz w:val="28"/>
              <w:szCs w:val="28"/>
            </w:rPr>
          </w:pPr>
          <w:r>
            <w:rPr>
              <w:rFonts w:cs="Times New Roman" w:asciiTheme="majorEastAsia" w:hAnsiTheme="majorEastAsia" w:eastAsiaTheme="majorEastAsia"/>
              <w:b/>
              <w:sz w:val="28"/>
              <w:szCs w:val="28"/>
            </w:rPr>
            <w:t>3.5</w:t>
          </w:r>
          <w:r>
            <w:rPr>
              <w:rFonts w:hint="eastAsia" w:cs="Times New Roman" w:asciiTheme="majorEastAsia" w:hAnsiTheme="majorEastAsia" w:eastAsiaTheme="majorEastAsia"/>
              <w:b/>
              <w:sz w:val="28"/>
              <w:szCs w:val="28"/>
            </w:rPr>
            <w:t>通信分系统</w:t>
          </w:r>
          <w:r>
            <w:rPr>
              <w:rFonts w:cs="Times New Roman" w:asciiTheme="majorEastAsia" w:hAnsiTheme="majorEastAsia" w:eastAsiaTheme="majorEastAsia"/>
              <w:b/>
              <w:sz w:val="28"/>
              <w:szCs w:val="28"/>
            </w:rPr>
            <w:ptab w:relativeTo="margin" w:alignment="right" w:leader="dot"/>
          </w:r>
          <w:r>
            <w:rPr>
              <w:rFonts w:cs="Times New Roman" w:asciiTheme="majorEastAsia" w:hAnsiTheme="majorEastAsia" w:eastAsiaTheme="majorEastAsia"/>
              <w:b/>
              <w:sz w:val="28"/>
              <w:szCs w:val="28"/>
            </w:rPr>
            <w:t>7</w:t>
          </w:r>
        </w:p>
        <w:p>
          <w:pPr>
            <w:spacing w:line="360" w:lineRule="auto"/>
            <w:ind w:firstLine="562" w:firstLineChars="200"/>
            <w:rPr>
              <w:rFonts w:cs="Times New Roman" w:asciiTheme="majorEastAsia" w:hAnsiTheme="majorEastAsia" w:eastAsiaTheme="majorEastAsia"/>
              <w:b/>
              <w:sz w:val="28"/>
              <w:szCs w:val="28"/>
            </w:rPr>
          </w:pPr>
          <w:r>
            <w:rPr>
              <w:rFonts w:cs="Times New Roman" w:asciiTheme="majorEastAsia" w:hAnsiTheme="majorEastAsia" w:eastAsiaTheme="majorEastAsia"/>
              <w:b/>
              <w:sz w:val="28"/>
              <w:szCs w:val="28"/>
            </w:rPr>
            <w:t>3.6</w:t>
          </w:r>
          <w:r>
            <w:rPr>
              <w:rFonts w:hint="eastAsia" w:cs="Times New Roman" w:asciiTheme="majorEastAsia" w:hAnsiTheme="majorEastAsia" w:eastAsiaTheme="majorEastAsia"/>
              <w:b/>
              <w:sz w:val="28"/>
              <w:szCs w:val="28"/>
            </w:rPr>
            <w:t>姿态控制分系统</w:t>
          </w:r>
          <w:r>
            <w:rPr>
              <w:rFonts w:cs="Times New Roman" w:asciiTheme="majorEastAsia" w:hAnsiTheme="majorEastAsia" w:eastAsiaTheme="majorEastAsia"/>
              <w:b/>
              <w:sz w:val="28"/>
              <w:szCs w:val="28"/>
            </w:rPr>
            <w:ptab w:relativeTo="margin" w:alignment="right" w:leader="dot"/>
          </w:r>
          <w:r>
            <w:rPr>
              <w:rFonts w:cs="Times New Roman" w:asciiTheme="majorEastAsia" w:hAnsiTheme="majorEastAsia" w:eastAsiaTheme="majorEastAsia"/>
              <w:b/>
              <w:sz w:val="28"/>
              <w:szCs w:val="28"/>
            </w:rPr>
            <w:t>8</w:t>
          </w:r>
        </w:p>
        <w:p>
          <w:pPr>
            <w:spacing w:line="360" w:lineRule="auto"/>
            <w:ind w:firstLine="562" w:firstLineChars="200"/>
            <w:rPr>
              <w:rFonts w:cs="Times New Roman" w:asciiTheme="majorEastAsia" w:hAnsiTheme="majorEastAsia" w:eastAsiaTheme="majorEastAsia"/>
              <w:b/>
              <w:sz w:val="28"/>
              <w:szCs w:val="28"/>
            </w:rPr>
          </w:pPr>
          <w:r>
            <w:rPr>
              <w:rFonts w:cs="Times New Roman" w:asciiTheme="majorEastAsia" w:hAnsiTheme="majorEastAsia" w:eastAsiaTheme="majorEastAsia"/>
              <w:b/>
              <w:sz w:val="28"/>
              <w:szCs w:val="28"/>
            </w:rPr>
            <w:t>3.7</w:t>
          </w:r>
          <w:r>
            <w:rPr>
              <w:rFonts w:hint="eastAsia" w:cs="Times New Roman" w:asciiTheme="majorEastAsia" w:hAnsiTheme="majorEastAsia" w:eastAsiaTheme="majorEastAsia"/>
              <w:b/>
              <w:sz w:val="28"/>
              <w:szCs w:val="28"/>
            </w:rPr>
            <w:t>着陆缓冲分系统</w:t>
          </w:r>
          <w:r>
            <w:rPr>
              <w:rFonts w:cs="Times New Roman" w:asciiTheme="majorEastAsia" w:hAnsiTheme="majorEastAsia" w:eastAsiaTheme="majorEastAsia"/>
              <w:b/>
              <w:sz w:val="28"/>
              <w:szCs w:val="28"/>
            </w:rPr>
            <w:ptab w:relativeTo="margin" w:alignment="right" w:leader="dot"/>
          </w:r>
          <w:r>
            <w:rPr>
              <w:rFonts w:cs="Times New Roman" w:asciiTheme="majorEastAsia" w:hAnsiTheme="majorEastAsia" w:eastAsiaTheme="majorEastAsia"/>
              <w:b/>
              <w:sz w:val="28"/>
              <w:szCs w:val="28"/>
            </w:rPr>
            <w:t>9</w:t>
          </w:r>
        </w:p>
        <w:p>
          <w:pPr>
            <w:spacing w:line="360" w:lineRule="auto"/>
            <w:ind w:firstLine="562" w:firstLineChars="200"/>
            <w:rPr>
              <w:rFonts w:cs="Times New Roman" w:asciiTheme="majorEastAsia" w:hAnsiTheme="majorEastAsia" w:eastAsiaTheme="majorEastAsia"/>
              <w:b/>
              <w:sz w:val="28"/>
              <w:szCs w:val="28"/>
            </w:rPr>
          </w:pPr>
          <w:r>
            <w:rPr>
              <w:rFonts w:cs="Times New Roman" w:asciiTheme="majorEastAsia" w:hAnsiTheme="majorEastAsia" w:eastAsiaTheme="majorEastAsia"/>
              <w:b/>
              <w:sz w:val="28"/>
              <w:szCs w:val="28"/>
            </w:rPr>
            <w:t>3.8</w:t>
          </w:r>
          <w:r>
            <w:rPr>
              <w:rFonts w:hint="eastAsia" w:cs="Times New Roman" w:asciiTheme="majorEastAsia" w:hAnsiTheme="majorEastAsia" w:eastAsiaTheme="majorEastAsia"/>
              <w:b/>
              <w:sz w:val="28"/>
              <w:szCs w:val="28"/>
            </w:rPr>
            <w:t>分离分系统</w:t>
          </w:r>
          <w:r>
            <w:rPr>
              <w:rFonts w:cs="Times New Roman" w:asciiTheme="majorEastAsia" w:hAnsiTheme="majorEastAsia" w:eastAsiaTheme="majorEastAsia"/>
              <w:b/>
              <w:sz w:val="28"/>
              <w:szCs w:val="28"/>
            </w:rPr>
            <w:ptab w:relativeTo="margin" w:alignment="right" w:leader="dot"/>
          </w:r>
          <w:r>
            <w:rPr>
              <w:rFonts w:cs="Times New Roman" w:asciiTheme="majorEastAsia" w:hAnsiTheme="majorEastAsia" w:eastAsiaTheme="majorEastAsia"/>
              <w:b/>
              <w:sz w:val="28"/>
              <w:szCs w:val="28"/>
            </w:rPr>
            <w:t>9</w:t>
          </w:r>
        </w:p>
        <w:p>
          <w:pPr>
            <w:spacing w:line="360" w:lineRule="auto"/>
            <w:rPr>
              <w:rFonts w:cs="Times New Roman" w:asciiTheme="majorEastAsia" w:hAnsiTheme="majorEastAsia" w:eastAsiaTheme="majorEastAsia"/>
              <w:b/>
              <w:bCs/>
              <w:iCs/>
              <w:caps/>
              <w:sz w:val="28"/>
              <w:szCs w:val="28"/>
              <w:lang w:val="zh-CN"/>
            </w:rPr>
          </w:pPr>
          <w:r>
            <w:rPr>
              <w:rFonts w:cs="Times New Roman" w:asciiTheme="majorEastAsia" w:hAnsiTheme="majorEastAsia" w:eastAsiaTheme="majorEastAsia"/>
              <w:b/>
              <w:sz w:val="28"/>
              <w:szCs w:val="28"/>
            </w:rPr>
            <w:t>4</w:t>
          </w:r>
          <w:r>
            <w:rPr>
              <w:rFonts w:hint="eastAsia" w:cs="Times New Roman" w:asciiTheme="majorEastAsia" w:hAnsiTheme="majorEastAsia" w:eastAsiaTheme="majorEastAsia"/>
              <w:b/>
              <w:sz w:val="28"/>
              <w:szCs w:val="28"/>
            </w:rPr>
            <w:t>发展展望</w:t>
          </w:r>
          <w:r>
            <w:rPr>
              <w:rFonts w:cs="Times New Roman" w:asciiTheme="majorEastAsia" w:hAnsiTheme="majorEastAsia" w:eastAsiaTheme="majorEastAsia"/>
              <w:b/>
              <w:sz w:val="28"/>
              <w:szCs w:val="28"/>
            </w:rPr>
            <w:ptab w:relativeTo="margin" w:alignment="right" w:leader="dot"/>
          </w:r>
          <w:r>
            <w:rPr>
              <w:rFonts w:cs="Times New Roman" w:asciiTheme="majorEastAsia" w:hAnsiTheme="majorEastAsia" w:eastAsiaTheme="majorEastAsia"/>
              <w:b/>
              <w:sz w:val="28"/>
              <w:szCs w:val="28"/>
            </w:rPr>
            <w:t>12</w:t>
          </w:r>
        </w:p>
      </w:sdtContent>
    </w:sdt>
    <w:p>
      <w:pPr>
        <w:widowControl/>
        <w:jc w:val="left"/>
        <w:rPr>
          <w:rFonts w:ascii="Times New Roman" w:hAnsi="Times New Roman" w:eastAsia="黑体" w:cs="Times New Roman"/>
          <w:b/>
          <w:sz w:val="28"/>
          <w:szCs w:val="28"/>
        </w:rPr>
      </w:pPr>
      <w:r>
        <w:rPr>
          <w:rFonts w:ascii="Times New Roman" w:hAnsi="Times New Roman" w:eastAsia="黑体" w:cs="Times New Roman"/>
          <w:b/>
          <w:sz w:val="28"/>
          <w:szCs w:val="28"/>
        </w:rPr>
        <w:br w:type="page"/>
      </w:r>
    </w:p>
    <w:p>
      <w:pPr>
        <w:spacing w:before="156" w:beforeLines="50" w:after="156" w:afterLines="50" w:line="360" w:lineRule="auto"/>
        <w:rPr>
          <w:rFonts w:ascii="黑体" w:hAnsi="黑体" w:eastAsia="黑体"/>
          <w:sz w:val="30"/>
          <w:szCs w:val="30"/>
        </w:rPr>
      </w:pPr>
      <w:r>
        <w:rPr>
          <w:rFonts w:hint="eastAsia" w:ascii="黑体" w:hAnsi="黑体" w:eastAsia="黑体"/>
          <w:sz w:val="30"/>
          <w:szCs w:val="30"/>
        </w:rPr>
        <w:t>1 概述</w:t>
      </w:r>
    </w:p>
    <w:p>
      <w:pPr>
        <w:jc w:val="left"/>
        <w:rPr>
          <w:rFonts w:ascii="黑体" w:hAnsi="黑体" w:eastAsia="黑体"/>
          <w:sz w:val="24"/>
          <w:szCs w:val="24"/>
        </w:rPr>
      </w:pPr>
      <w:r>
        <w:rPr>
          <w:rFonts w:ascii="黑体" w:hAnsi="黑体" w:eastAsia="黑体"/>
          <w:sz w:val="24"/>
          <w:szCs w:val="24"/>
        </w:rPr>
        <w:t>针对我国未来的载人月球探测需求</w:t>
      </w:r>
      <w:r>
        <w:rPr>
          <w:rFonts w:hint="eastAsia" w:ascii="黑体" w:hAnsi="黑体" w:eastAsia="黑体"/>
          <w:sz w:val="24"/>
          <w:szCs w:val="24"/>
        </w:rPr>
        <w:t>，</w:t>
      </w:r>
      <w:r>
        <w:rPr>
          <w:rFonts w:ascii="黑体" w:hAnsi="黑体" w:eastAsia="黑体"/>
          <w:sz w:val="24"/>
          <w:szCs w:val="24"/>
        </w:rPr>
        <w:t>提出了一种载人登月着陆与上升飞行器的设计方案概念</w:t>
      </w:r>
      <w:r>
        <w:rPr>
          <w:rFonts w:hint="eastAsia" w:ascii="黑体" w:hAnsi="黑体" w:eastAsia="黑体"/>
          <w:sz w:val="24"/>
          <w:szCs w:val="24"/>
        </w:rPr>
        <w:t>。与目前各国提出的载人登月着陆与上升飞行器方案不同，该方案的最大创新点在于使用电动泵发动机作为飞行器下降与上升段的主动力，具有结构简单可靠、变推力调节方便等优点。该方案还采用了空间桁架结构、燃料</w:t>
      </w:r>
      <w:r>
        <w:rPr>
          <w:rFonts w:ascii="黑体" w:hAnsi="黑体" w:eastAsia="黑体"/>
          <w:sz w:val="24"/>
          <w:szCs w:val="24"/>
        </w:rPr>
        <w:t>统一供应系统等设计</w:t>
      </w:r>
      <w:r>
        <w:rPr>
          <w:rFonts w:hint="eastAsia" w:ascii="黑体" w:hAnsi="黑体" w:eastAsia="黑体"/>
          <w:sz w:val="24"/>
          <w:szCs w:val="24"/>
        </w:rPr>
        <w:t>。</w:t>
      </w:r>
    </w:p>
    <w:p>
      <w:pPr>
        <w:spacing w:before="156" w:beforeLines="50" w:after="156" w:afterLines="50" w:line="360" w:lineRule="auto"/>
        <w:rPr>
          <w:rFonts w:ascii="黑体" w:hAnsi="黑体" w:eastAsia="黑体"/>
          <w:sz w:val="30"/>
          <w:szCs w:val="30"/>
        </w:rPr>
      </w:pPr>
      <w:r>
        <w:rPr>
          <w:rFonts w:hint="eastAsia" w:ascii="黑体" w:hAnsi="黑体" w:eastAsia="黑体"/>
          <w:sz w:val="30"/>
          <w:szCs w:val="30"/>
        </w:rPr>
        <w:t>2</w:t>
      </w:r>
      <w:r>
        <w:rPr>
          <w:rFonts w:ascii="黑体" w:hAnsi="黑体" w:eastAsia="黑体"/>
          <w:sz w:val="30"/>
          <w:szCs w:val="30"/>
        </w:rPr>
        <w:t xml:space="preserve"> 方案总体介绍</w:t>
      </w:r>
    </w:p>
    <w:p>
      <w:pPr>
        <w:rPr>
          <w:rFonts w:ascii="黑体" w:hAnsi="黑体" w:eastAsia="黑体"/>
          <w:sz w:val="24"/>
          <w:szCs w:val="24"/>
        </w:rPr>
      </w:pPr>
      <w:r>
        <w:rPr>
          <w:rFonts w:ascii="黑体" w:hAnsi="黑体" w:eastAsia="黑体"/>
          <w:sz w:val="24"/>
          <w:szCs w:val="24"/>
        </w:rPr>
        <w:t>该</w:t>
      </w:r>
      <w:r>
        <w:rPr>
          <w:rFonts w:hint="eastAsia" w:ascii="黑体" w:hAnsi="黑体" w:eastAsia="黑体"/>
          <w:sz w:val="24"/>
          <w:szCs w:val="24"/>
        </w:rPr>
        <w:t>载人登月着陆与上升飞行器（以下简称飞行器）可以支持2名航天员在月面大于6小时的停留时间。由于不考虑重复使用，故采用二级构型，包括下降段与上升段。其中前者负责近月制动与动力下降，后者负责月面上升。这种结构在人类月球着陆探测器的设计中被广泛采用，久经考验，</w:t>
      </w:r>
      <w:r>
        <w:rPr>
          <w:rFonts w:ascii="黑体" w:hAnsi="黑体" w:eastAsia="黑体"/>
          <w:sz w:val="24"/>
          <w:szCs w:val="24"/>
        </w:rPr>
        <w:t>人类唯一成功实施的登月计划</w:t>
      </w:r>
      <w:r>
        <w:rPr>
          <w:rFonts w:hint="eastAsia" w:ascii="黑体" w:hAnsi="黑体" w:eastAsia="黑体"/>
          <w:sz w:val="24"/>
          <w:szCs w:val="24"/>
        </w:rPr>
        <w:t>——</w:t>
      </w:r>
      <w:r>
        <w:rPr>
          <w:rFonts w:ascii="黑体" w:hAnsi="黑体" w:eastAsia="黑体"/>
          <w:sz w:val="24"/>
          <w:szCs w:val="24"/>
        </w:rPr>
        <w:t>阿波罗计划中的登月飞行器也采用了这种构型</w:t>
      </w:r>
      <w:r>
        <w:rPr>
          <w:rFonts w:hint="eastAsia" w:ascii="黑体" w:hAnsi="黑体" w:eastAsia="黑体"/>
          <w:sz w:val="24"/>
          <w:szCs w:val="24"/>
        </w:rPr>
        <w:t>。</w:t>
      </w:r>
      <w:r>
        <w:rPr>
          <w:rFonts w:ascii="黑体" w:hAnsi="黑体" w:eastAsia="黑体"/>
          <w:sz w:val="24"/>
          <w:szCs w:val="24"/>
        </w:rPr>
        <w:t>飞行器上升与下降段推进剂采用液氧煤油无毒推进剂组合</w:t>
      </w:r>
      <w:r>
        <w:rPr>
          <w:rFonts w:hint="eastAsia" w:ascii="黑体" w:hAnsi="黑体" w:eastAsia="黑体"/>
          <w:sz w:val="24"/>
          <w:szCs w:val="24"/>
        </w:rPr>
        <w:t>，</w:t>
      </w:r>
      <w:r>
        <w:rPr>
          <w:rFonts w:ascii="黑体" w:hAnsi="黑体" w:eastAsia="黑体"/>
          <w:sz w:val="24"/>
          <w:szCs w:val="24"/>
        </w:rPr>
        <w:t>下降段动力为四台</w:t>
      </w:r>
      <w:r>
        <w:rPr>
          <w:rFonts w:hint="eastAsia" w:ascii="黑体" w:hAnsi="黑体" w:eastAsia="黑体"/>
          <w:sz w:val="24"/>
          <w:szCs w:val="24"/>
        </w:rPr>
        <w:t>2</w:t>
      </w:r>
      <w:r>
        <w:rPr>
          <w:rFonts w:ascii="黑体" w:hAnsi="黑体" w:eastAsia="黑体"/>
          <w:sz w:val="24"/>
          <w:szCs w:val="24"/>
        </w:rPr>
        <w:t>0kN级电动泵变推力发动机</w:t>
      </w:r>
      <w:r>
        <w:rPr>
          <w:rFonts w:hint="eastAsia" w:ascii="黑体" w:hAnsi="黑体" w:eastAsia="黑体"/>
          <w:sz w:val="24"/>
          <w:szCs w:val="24"/>
        </w:rPr>
        <w:t>。</w:t>
      </w:r>
      <w:r>
        <w:rPr>
          <w:rFonts w:ascii="黑体" w:hAnsi="黑体" w:eastAsia="黑体"/>
          <w:sz w:val="24"/>
          <w:szCs w:val="24"/>
        </w:rPr>
        <w:t>上升段则采用一台相同型号的发动机</w:t>
      </w:r>
      <w:r>
        <w:rPr>
          <w:rFonts w:hint="eastAsia" w:ascii="黑体" w:hAnsi="黑体" w:eastAsia="黑体"/>
          <w:sz w:val="24"/>
          <w:szCs w:val="24"/>
        </w:rPr>
        <w:t>。上升段与下降段发动机型号统一有利于缩短推进系统研发周期，节约研发费用。</w:t>
      </w:r>
      <w:r>
        <w:rPr>
          <w:rFonts w:ascii="黑体" w:hAnsi="黑体" w:eastAsia="黑体"/>
          <w:sz w:val="24"/>
          <w:szCs w:val="24"/>
        </w:rPr>
        <w:t>姿态控制系统则可以采用与长征五号辅助动力系统相同的气氧煤油姿态控制系统</w:t>
      </w:r>
      <w:r>
        <w:rPr>
          <w:rFonts w:hint="eastAsia" w:ascii="黑体" w:hAnsi="黑体" w:eastAsia="黑体"/>
          <w:sz w:val="24"/>
          <w:szCs w:val="24"/>
        </w:rPr>
        <w:t>，</w:t>
      </w:r>
      <w:r>
        <w:rPr>
          <w:rFonts w:ascii="黑体" w:hAnsi="黑体" w:eastAsia="黑体"/>
          <w:sz w:val="24"/>
          <w:szCs w:val="24"/>
        </w:rPr>
        <w:t>燃料由主推进系统燃料储箱统一供应</w:t>
      </w:r>
      <w:r>
        <w:rPr>
          <w:rFonts w:hint="eastAsia" w:ascii="黑体" w:hAnsi="黑体" w:eastAsia="黑体"/>
          <w:sz w:val="24"/>
          <w:szCs w:val="24"/>
        </w:rPr>
        <w:t>。飞行器电动泵发动机与其他设备的供电由主电源系统统一供应分配。其他具体参数见下表：</w:t>
      </w:r>
    </w:p>
    <w:p/>
    <w:p>
      <w:pPr>
        <w:ind w:firstLine="1920" w:firstLineChars="800"/>
        <w:rPr>
          <w:rFonts w:ascii="黑体" w:hAnsi="黑体" w:eastAsia="黑体"/>
          <w:sz w:val="24"/>
          <w:szCs w:val="24"/>
        </w:rPr>
      </w:pPr>
      <w:r>
        <w:rPr>
          <w:rFonts w:hint="eastAsia" w:ascii="黑体" w:hAnsi="黑体" w:eastAsia="黑体"/>
          <w:sz w:val="24"/>
          <w:szCs w:val="24"/>
        </w:rPr>
        <w:t>表1-1，载人登月着陆与上升飞行器数据</w:t>
      </w:r>
    </w:p>
    <w:p>
      <w:pPr>
        <w:ind w:firstLine="1920" w:firstLineChars="800"/>
        <w:rPr>
          <w:rFonts w:ascii="黑体" w:hAnsi="黑体" w:eastAsia="黑体"/>
          <w:sz w:val="24"/>
          <w:szCs w:val="24"/>
        </w:rPr>
      </w:pP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BDD6EE" w:themeFill="accent1" w:themeFillTint="66"/>
          </w:tcPr>
          <w:p>
            <w:r>
              <w:rPr>
                <w:rFonts w:hint="eastAsia"/>
              </w:rPr>
              <w:t>飞行器总体</w:t>
            </w:r>
          </w:p>
        </w:tc>
        <w:tc>
          <w:tcPr>
            <w:tcW w:w="4148" w:type="dxa"/>
            <w:shd w:val="clear" w:color="auto" w:fill="BDD6EE" w:themeFill="accent1" w:themeFillTint="66"/>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质量（进入TLL）</w:t>
            </w:r>
          </w:p>
        </w:tc>
        <w:tc>
          <w:tcPr>
            <w:tcW w:w="4148" w:type="dxa"/>
          </w:tcPr>
          <w:p>
            <w:r>
              <w:rPr>
                <w:rFonts w:hint="eastAsia"/>
              </w:rPr>
              <w:t>2</w:t>
            </w:r>
            <w:r>
              <w:t>5000</w:t>
            </w:r>
            <w:r>
              <w:rPr>
                <w:rFonts w:hint="eastAsia"/>
              </w:rPr>
              <w:t>k</w:t>
            </w:r>
            <w: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燃料质量</w:t>
            </w:r>
          </w:p>
        </w:tc>
        <w:tc>
          <w:tcPr>
            <w:tcW w:w="4148" w:type="dxa"/>
          </w:tcPr>
          <w:p>
            <w:r>
              <w:rPr>
                <w:rFonts w:hint="eastAsia"/>
              </w:rPr>
              <w:t>1</w:t>
            </w:r>
            <w:r>
              <w:t>6574kg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成员数</w:t>
            </w:r>
          </w:p>
        </w:tc>
        <w:tc>
          <w:tcPr>
            <w:tcW w:w="4148" w:type="dxa"/>
          </w:tcPr>
          <w:p>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月面停留时间</w:t>
            </w:r>
          </w:p>
        </w:tc>
        <w:tc>
          <w:tcPr>
            <w:tcW w:w="4148" w:type="dxa"/>
          </w:tcPr>
          <w:p>
            <w:r>
              <w:rPr>
                <w:rFonts w:hint="eastAsia"/>
              </w:rPr>
              <w:t>大于6小时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燃料组合</w:t>
            </w:r>
          </w:p>
        </w:tc>
        <w:tc>
          <w:tcPr>
            <w:tcW w:w="4148" w:type="dxa"/>
          </w:tcPr>
          <w:p>
            <w:r>
              <w:rPr>
                <w:rFonts w:hint="eastAsia"/>
              </w:rPr>
              <w:t>液氧煤油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电源</w:t>
            </w:r>
          </w:p>
        </w:tc>
        <w:tc>
          <w:tcPr>
            <w:tcW w:w="4148" w:type="dxa"/>
          </w:tcPr>
          <w:p>
            <w:r>
              <w:rPr>
                <w:rFonts w:hint="eastAsia"/>
              </w:rPr>
              <w:t>蓄电池、太阳能电池（可选）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BDD6EE" w:themeFill="accent1" w:themeFillTint="66"/>
          </w:tcPr>
          <w:p>
            <w:r>
              <w:rPr>
                <w:rFonts w:hint="eastAsia"/>
              </w:rPr>
              <w:t>上升段</w:t>
            </w:r>
          </w:p>
        </w:tc>
        <w:tc>
          <w:tcPr>
            <w:tcW w:w="4148" w:type="dxa"/>
            <w:shd w:val="clear" w:color="auto" w:fill="BDD6EE" w:themeFill="accent1" w:themeFillTint="66"/>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质量</w:t>
            </w:r>
          </w:p>
        </w:tc>
        <w:tc>
          <w:tcPr>
            <w:tcW w:w="4148" w:type="dxa"/>
          </w:tcPr>
          <w:p>
            <w:r>
              <w:rPr>
                <w:rFonts w:hint="eastAsia"/>
              </w:rPr>
              <w:t>4</w:t>
            </w:r>
            <w:r>
              <w:t>485kg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燃料质量</w:t>
            </w:r>
          </w:p>
        </w:tc>
        <w:tc>
          <w:tcPr>
            <w:tcW w:w="4148" w:type="dxa"/>
          </w:tcPr>
          <w:p>
            <w:r>
              <w:rPr>
                <w:rFonts w:hint="eastAsia"/>
              </w:rPr>
              <w:t>1</w:t>
            </w:r>
            <w:r>
              <w:t>920kg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对接系统</w:t>
            </w:r>
          </w:p>
        </w:tc>
        <w:tc>
          <w:tcPr>
            <w:tcW w:w="4148" w:type="dxa"/>
          </w:tcPr>
          <w:p>
            <w:r>
              <w:rPr>
                <w:rFonts w:hint="eastAsia"/>
              </w:rPr>
              <w:t>APAS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动力</w:t>
            </w:r>
          </w:p>
        </w:tc>
        <w:tc>
          <w:tcPr>
            <w:tcW w:w="4148" w:type="dxa"/>
          </w:tcPr>
          <w:p>
            <w:r>
              <w:rPr>
                <w:rFonts w:hint="eastAsia"/>
              </w:rPr>
              <w:t>20kN级电动泵变推力发动机×1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BDD6EE" w:themeFill="accent1" w:themeFillTint="66"/>
          </w:tcPr>
          <w:p>
            <w:r>
              <w:rPr>
                <w:rFonts w:hint="eastAsia"/>
              </w:rPr>
              <w:t>下降段</w:t>
            </w:r>
          </w:p>
        </w:tc>
        <w:tc>
          <w:tcPr>
            <w:tcW w:w="4148" w:type="dxa"/>
            <w:shd w:val="clear" w:color="auto" w:fill="BDD6EE" w:themeFill="accent1" w:themeFillTint="66"/>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质量</w:t>
            </w:r>
          </w:p>
        </w:tc>
        <w:tc>
          <w:tcPr>
            <w:tcW w:w="4148" w:type="dxa"/>
          </w:tcPr>
          <w:p>
            <w:r>
              <w:rPr>
                <w:rFonts w:hint="eastAsia"/>
              </w:rPr>
              <w:t>2</w:t>
            </w:r>
            <w:r>
              <w:t>0515kg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燃料质量</w:t>
            </w:r>
          </w:p>
        </w:tc>
        <w:tc>
          <w:tcPr>
            <w:tcW w:w="4148" w:type="dxa"/>
          </w:tcPr>
          <w:p>
            <w:r>
              <w:rPr>
                <w:rFonts w:hint="eastAsia"/>
              </w:rPr>
              <w:t>1</w:t>
            </w:r>
            <w:r>
              <w:t>4654kg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动力</w:t>
            </w:r>
          </w:p>
        </w:tc>
        <w:tc>
          <w:tcPr>
            <w:tcW w:w="4148" w:type="dxa"/>
          </w:tcPr>
          <w:p>
            <w:r>
              <w:rPr>
                <w:rFonts w:hint="eastAsia"/>
              </w:rPr>
              <w:t>20kN级电动泵变推力发动机×4</w:t>
            </w:r>
          </w:p>
        </w:tc>
      </w:tr>
    </w:tbl>
    <w:p>
      <w:pPr>
        <w:spacing w:before="156" w:beforeLines="50" w:after="156" w:afterLines="50" w:line="360" w:lineRule="auto"/>
        <w:rPr>
          <w:rFonts w:ascii="黑体" w:hAnsi="黑体" w:eastAsia="黑体"/>
          <w:sz w:val="30"/>
          <w:szCs w:val="30"/>
        </w:rPr>
      </w:pPr>
      <w:r>
        <w:rPr>
          <w:rFonts w:hint="eastAsia" w:ascii="黑体" w:hAnsi="黑体" w:eastAsia="黑体"/>
          <w:sz w:val="30"/>
          <w:szCs w:val="30"/>
        </w:rPr>
        <w:t>3</w:t>
      </w:r>
      <w:r>
        <w:rPr>
          <w:rFonts w:ascii="黑体" w:hAnsi="黑体" w:eastAsia="黑体"/>
          <w:sz w:val="30"/>
          <w:szCs w:val="30"/>
        </w:rPr>
        <w:t xml:space="preserve"> 主要分系统介绍</w:t>
      </w:r>
    </w:p>
    <w:p>
      <w:pPr>
        <w:spacing w:before="156" w:beforeLines="50" w:after="156" w:afterLines="50" w:line="360" w:lineRule="auto"/>
        <w:rPr>
          <w:rFonts w:ascii="黑体" w:hAnsi="黑体" w:eastAsia="黑体"/>
          <w:sz w:val="28"/>
          <w:szCs w:val="28"/>
        </w:rPr>
      </w:pPr>
      <w:r>
        <w:rPr>
          <w:rFonts w:hint="eastAsia" w:ascii="黑体" w:hAnsi="黑体" w:eastAsia="黑体"/>
          <w:sz w:val="28"/>
          <w:szCs w:val="28"/>
        </w:rPr>
        <w:t>3</w:t>
      </w:r>
      <w:r>
        <w:rPr>
          <w:rFonts w:ascii="黑体" w:hAnsi="黑体" w:eastAsia="黑体"/>
          <w:sz w:val="28"/>
          <w:szCs w:val="28"/>
        </w:rPr>
        <w:t>.1 结构分系统</w:t>
      </w:r>
    </w:p>
    <w:p>
      <w:pPr>
        <w:rPr>
          <w:rFonts w:ascii="黑体" w:hAnsi="黑体" w:eastAsia="黑体"/>
          <w:sz w:val="24"/>
          <w:szCs w:val="24"/>
        </w:rPr>
      </w:pPr>
      <w:r>
        <w:rPr>
          <w:rFonts w:ascii="黑体" w:hAnsi="黑体" w:eastAsia="黑体"/>
          <w:sz w:val="24"/>
          <w:szCs w:val="24"/>
        </w:rPr>
        <w:t>飞行器</w:t>
      </w:r>
      <w:r>
        <w:rPr>
          <w:rFonts w:hint="eastAsia" w:ascii="黑体" w:hAnsi="黑体" w:eastAsia="黑体"/>
          <w:sz w:val="24"/>
          <w:szCs w:val="24"/>
        </w:rPr>
        <w:t>下降段</w:t>
      </w:r>
      <w:r>
        <w:rPr>
          <w:rFonts w:ascii="黑体" w:hAnsi="黑体" w:eastAsia="黑体"/>
          <w:sz w:val="24"/>
          <w:szCs w:val="24"/>
        </w:rPr>
        <w:t>主体采用与美国星座计划配套的</w:t>
      </w:r>
      <w:r>
        <w:rPr>
          <w:rFonts w:ascii="Times New Roman" w:hAnsi="Times New Roman" w:eastAsia="黑体" w:cs="Times New Roman"/>
          <w:sz w:val="24"/>
          <w:szCs w:val="24"/>
        </w:rPr>
        <w:t>Altair</w:t>
      </w:r>
      <w:r>
        <w:rPr>
          <w:rFonts w:ascii="黑体" w:hAnsi="黑体" w:eastAsia="黑体"/>
          <w:sz w:val="24"/>
          <w:szCs w:val="24"/>
        </w:rPr>
        <w:t>登月舱相似的空间桁架结构</w:t>
      </w:r>
      <w:r>
        <w:rPr>
          <w:rFonts w:hint="eastAsia" w:ascii="黑体" w:hAnsi="黑体" w:eastAsia="黑体"/>
          <w:sz w:val="24"/>
          <w:szCs w:val="24"/>
        </w:rPr>
        <w:t>。</w:t>
      </w:r>
      <w:r>
        <w:rPr>
          <w:rFonts w:ascii="黑体" w:hAnsi="黑体" w:eastAsia="黑体"/>
          <w:sz w:val="24"/>
          <w:szCs w:val="24"/>
        </w:rPr>
        <w:t>桁架俯视图成八边形</w:t>
      </w:r>
      <w:r>
        <w:rPr>
          <w:rFonts w:hint="eastAsia" w:ascii="黑体" w:hAnsi="黑体" w:eastAsia="黑体"/>
          <w:sz w:val="24"/>
          <w:szCs w:val="24"/>
        </w:rPr>
        <w:t>，</w:t>
      </w:r>
      <w:r>
        <w:rPr>
          <w:rFonts w:ascii="黑体" w:hAnsi="黑体" w:eastAsia="黑体"/>
          <w:sz w:val="24"/>
          <w:szCs w:val="24"/>
        </w:rPr>
        <w:t>由两个平行的十字形桁条将桁架内部空间分为九部分</w:t>
      </w:r>
      <w:r>
        <w:rPr>
          <w:rFonts w:hint="eastAsia" w:ascii="黑体" w:hAnsi="黑体" w:eastAsia="黑体"/>
          <w:sz w:val="24"/>
          <w:szCs w:val="24"/>
        </w:rPr>
        <w:t>。</w:t>
      </w:r>
      <w:r>
        <w:rPr>
          <w:rFonts w:ascii="黑体" w:hAnsi="黑体" w:eastAsia="黑体"/>
          <w:sz w:val="24"/>
          <w:szCs w:val="24"/>
        </w:rPr>
        <w:t>中间的空间用于容纳上升级喷管延伸段及其他设备</w:t>
      </w:r>
      <w:r>
        <w:rPr>
          <w:rFonts w:hint="eastAsia" w:ascii="黑体" w:hAnsi="黑体" w:eastAsia="黑体"/>
          <w:sz w:val="24"/>
          <w:szCs w:val="24"/>
        </w:rPr>
        <w:t>，</w:t>
      </w:r>
      <w:r>
        <w:rPr>
          <w:rFonts w:ascii="黑体" w:hAnsi="黑体" w:eastAsia="黑体"/>
          <w:sz w:val="24"/>
          <w:szCs w:val="24"/>
        </w:rPr>
        <w:t>其前后左右的四个隔间用于容纳液氧储箱</w:t>
      </w:r>
      <w:r>
        <w:rPr>
          <w:rFonts w:hint="eastAsia" w:ascii="黑体" w:hAnsi="黑体" w:eastAsia="黑体"/>
          <w:sz w:val="24"/>
          <w:szCs w:val="24"/>
        </w:rPr>
        <w:t>，</w:t>
      </w:r>
      <w:r>
        <w:rPr>
          <w:rFonts w:ascii="黑体" w:hAnsi="黑体" w:eastAsia="黑体"/>
          <w:sz w:val="24"/>
          <w:szCs w:val="24"/>
        </w:rPr>
        <w:t>四个煤油储箱位于桁架的四个三角形隔间内</w:t>
      </w:r>
      <w:r>
        <w:rPr>
          <w:rFonts w:hint="eastAsia" w:ascii="黑体" w:hAnsi="黑体" w:eastAsia="黑体"/>
          <w:sz w:val="24"/>
          <w:szCs w:val="24"/>
        </w:rPr>
        <w:t>。</w:t>
      </w:r>
      <w:r>
        <w:rPr>
          <w:rFonts w:ascii="黑体" w:hAnsi="黑体" w:eastAsia="黑体"/>
          <w:sz w:val="24"/>
          <w:szCs w:val="24"/>
        </w:rPr>
        <w:t>与阿波罗计划中</w:t>
      </w:r>
      <w:r>
        <w:rPr>
          <w:rFonts w:hint="eastAsia" w:ascii="黑体" w:hAnsi="黑体" w:eastAsia="黑体"/>
          <w:sz w:val="24"/>
          <w:szCs w:val="24"/>
        </w:rPr>
        <w:t>鹰号登月舱的十字隔框结构相比，尽管十字隔框结构在载荷传递方面更有优势，但空间桁架结构的结构质量更轻，下降段干质比更高，也方便布置货物隔间。至于空间桁架结构在承力方面的问题，可以通过改进着陆缓冲机构和着陆过程飞行控制来解决。</w:t>
      </w:r>
    </w:p>
    <w:p>
      <w:pPr>
        <w:rPr>
          <w:rFonts w:ascii="黑体" w:hAnsi="黑体" w:eastAsia="黑体"/>
          <w:sz w:val="24"/>
          <w:szCs w:val="24"/>
        </w:rPr>
      </w:pPr>
      <w:r>
        <w:rPr>
          <w:rFonts w:ascii="黑体" w:hAnsi="黑体" w:eastAsia="黑体"/>
          <w:sz w:val="24"/>
          <w:szCs w:val="24"/>
        </w:rPr>
        <w:t>飞行器上升段采用卧式圆柱形结构</w:t>
      </w:r>
      <w:r>
        <w:rPr>
          <w:rFonts w:hint="eastAsia" w:ascii="黑体" w:hAnsi="黑体" w:eastAsia="黑体"/>
          <w:sz w:val="24"/>
          <w:szCs w:val="24"/>
        </w:rPr>
        <w:t>，单台主发动机构型。4个球形储箱用桁架固定在圆柱形主结构的两侧。相较于立式结构，卧式结构的有航天员视野较好、相同容积下地板面积更大、航天员乘坐更舒适等优点。立式结构则是在载荷传递效率有一定的优势。考虑到改善航天员在月球表面的工作环境和工作效率，故本方案采用卧式圆柱形结构。</w:t>
      </w:r>
    </w:p>
    <w:p>
      <w:pPr>
        <w:jc w:val="center"/>
        <w:rPr>
          <w:rFonts w:ascii="黑体" w:hAnsi="黑体" w:eastAsia="黑体"/>
          <w:sz w:val="24"/>
          <w:szCs w:val="24"/>
        </w:rPr>
      </w:pPr>
      <w:r>
        <w:rPr>
          <w:rFonts w:ascii="黑体" w:hAnsi="黑体" w:eastAsia="黑体"/>
          <w:sz w:val="24"/>
          <w:szCs w:val="24"/>
        </w:rPr>
        <w:pict>
          <v:shape id="_x0000_i1025" o:spt="75" type="#_x0000_t75" style="height:238.8pt;width:219.6pt;" filled="f" o:preferrelative="t" stroked="f" coordsize="21600,21600">
            <v:path/>
            <v:fill on="f" focussize="0,0"/>
            <v:stroke on="f" joinstyle="miter"/>
            <v:imagedata r:id="rId5" o:title="QQ图片20180905225038"/>
            <o:lock v:ext="edit" aspectratio="t"/>
            <w10:wrap type="none"/>
            <w10:anchorlock/>
          </v:shape>
        </w:pict>
      </w:r>
    </w:p>
    <w:p>
      <w:pPr>
        <w:jc w:val="center"/>
        <w:rPr>
          <w:rFonts w:ascii="黑体" w:hAnsi="黑体" w:eastAsia="黑体"/>
          <w:sz w:val="24"/>
          <w:szCs w:val="24"/>
        </w:rPr>
      </w:pPr>
      <w:r>
        <w:rPr>
          <w:rFonts w:ascii="黑体" w:hAnsi="黑体" w:eastAsia="黑体"/>
          <w:sz w:val="24"/>
          <w:szCs w:val="24"/>
        </w:rPr>
        <w:pict>
          <v:shape id="_x0000_i1026" o:spt="75" type="#_x0000_t75" style="height:265.2pt;width:233.4pt;" filled="f" o:preferrelative="t" stroked="f" coordsize="21600,21600">
            <v:path/>
            <v:fill on="f" focussize="0,0"/>
            <v:stroke on="f" joinstyle="miter"/>
            <v:imagedata r:id="rId6" o:title="QQ图片20180905225034"/>
            <o:lock v:ext="edit" aspectratio="t"/>
            <w10:wrap type="none"/>
            <w10:anchorlock/>
          </v:shape>
        </w:pict>
      </w:r>
    </w:p>
    <w:p>
      <w:pPr>
        <w:jc w:val="center"/>
        <w:rPr>
          <w:rFonts w:ascii="黑体" w:hAnsi="黑体" w:eastAsia="黑体"/>
          <w:sz w:val="24"/>
          <w:szCs w:val="24"/>
        </w:rPr>
      </w:pPr>
      <w:r>
        <w:rPr>
          <w:rFonts w:ascii="黑体" w:hAnsi="黑体" w:eastAsia="黑体"/>
          <w:sz w:val="24"/>
          <w:szCs w:val="24"/>
        </w:rPr>
        <w:pict>
          <v:shape id="_x0000_i1027" o:spt="75" type="#_x0000_t75" style="height:178.8pt;width:205.8pt;" filled="f" o:preferrelative="t" stroked="f" coordsize="21600,21600">
            <v:path/>
            <v:fill on="f" focussize="0,0"/>
            <v:stroke on="f" joinstyle="miter"/>
            <v:imagedata r:id="rId7" o:title="QQ图片20180905225047"/>
            <o:lock v:ext="edit" aspectratio="t"/>
            <w10:wrap type="none"/>
            <w10:anchorlock/>
          </v:shape>
        </w:pict>
      </w:r>
    </w:p>
    <w:p>
      <w:pPr>
        <w:jc w:val="center"/>
        <w:rPr>
          <w:rFonts w:ascii="黑体" w:hAnsi="黑体" w:eastAsia="黑体"/>
          <w:sz w:val="24"/>
          <w:szCs w:val="24"/>
        </w:rPr>
      </w:pPr>
      <w:r>
        <w:rPr>
          <w:rFonts w:ascii="黑体" w:hAnsi="黑体" w:eastAsia="黑体"/>
          <w:sz w:val="24"/>
          <w:szCs w:val="24"/>
        </w:rPr>
        <w:pict>
          <v:shape id="_x0000_i1028" o:spt="75" type="#_x0000_t75" style="height:180pt;width:210.6pt;" filled="f" o:preferrelative="t" stroked="f" coordsize="21600,21600">
            <v:path/>
            <v:fill on="f" focussize="0,0"/>
            <v:stroke on="f" joinstyle="miter"/>
            <v:imagedata r:id="rId8" o:title="QQ图片20180905225016"/>
            <o:lock v:ext="edit" aspectratio="t"/>
            <w10:wrap type="none"/>
            <w10:anchorlock/>
          </v:shape>
        </w:pict>
      </w:r>
    </w:p>
    <w:p>
      <w:pPr>
        <w:jc w:val="center"/>
        <w:rPr>
          <w:rFonts w:ascii="黑体" w:hAnsi="黑体" w:eastAsia="黑体"/>
          <w:sz w:val="24"/>
          <w:szCs w:val="24"/>
        </w:rPr>
      </w:pPr>
      <w:r>
        <w:rPr>
          <w:rFonts w:ascii="黑体" w:hAnsi="黑体" w:eastAsia="黑体"/>
          <w:sz w:val="24"/>
          <w:szCs w:val="24"/>
        </w:rPr>
        <w:t>图</w:t>
      </w:r>
      <w:r>
        <w:rPr>
          <w:rFonts w:hint="eastAsia" w:ascii="黑体" w:hAnsi="黑体" w:eastAsia="黑体"/>
          <w:sz w:val="24"/>
          <w:szCs w:val="24"/>
        </w:rPr>
        <w:t>3</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飞行器构型示意图</w:t>
      </w:r>
    </w:p>
    <w:p>
      <w:pPr>
        <w:spacing w:before="156" w:beforeLines="50" w:after="156" w:afterLines="50" w:line="360" w:lineRule="auto"/>
        <w:rPr>
          <w:rFonts w:ascii="黑体" w:hAnsi="黑体" w:eastAsia="黑体"/>
          <w:sz w:val="28"/>
          <w:szCs w:val="28"/>
        </w:rPr>
      </w:pPr>
      <w:r>
        <w:rPr>
          <w:rFonts w:hint="eastAsia" w:ascii="黑体" w:hAnsi="黑体" w:eastAsia="黑体"/>
          <w:sz w:val="28"/>
          <w:szCs w:val="28"/>
        </w:rPr>
        <w:t>3</w:t>
      </w:r>
      <w:r>
        <w:rPr>
          <w:rFonts w:ascii="黑体" w:hAnsi="黑体" w:eastAsia="黑体"/>
          <w:sz w:val="28"/>
          <w:szCs w:val="28"/>
        </w:rPr>
        <w:t>.2 推进分系统</w:t>
      </w:r>
    </w:p>
    <w:p>
      <w:pPr>
        <w:rPr>
          <w:rFonts w:ascii="黑体" w:hAnsi="黑体" w:eastAsia="黑体"/>
          <w:sz w:val="24"/>
          <w:szCs w:val="24"/>
        </w:rPr>
      </w:pPr>
      <w:r>
        <w:rPr>
          <w:rFonts w:ascii="黑体" w:hAnsi="黑体" w:eastAsia="黑体"/>
          <w:sz w:val="24"/>
          <w:szCs w:val="2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黑体" w:hAnsi="黑体" w:eastAsia="黑体"/>
          <w:sz w:val="24"/>
          <w:szCs w:val="24"/>
        </w:rPr>
        <w:instrText xml:space="preserve">ADDIN CNKISM.UserStyle</w:instrText>
      </w:r>
      <w:r>
        <w:rPr>
          <w:rFonts w:ascii="黑体" w:hAnsi="黑体" w:eastAsia="黑体"/>
          <w:sz w:val="24"/>
          <w:szCs w:val="24"/>
        </w:rPr>
        <w:fldChar w:fldCharType="end"/>
      </w:r>
      <w:r>
        <w:rPr>
          <w:rFonts w:hint="eastAsia" w:ascii="黑体" w:hAnsi="黑体" w:eastAsia="黑体"/>
          <w:sz w:val="24"/>
          <w:szCs w:val="24"/>
        </w:rPr>
        <w:t>从动力上，我们使用的是电动泵的泵动式火箭发动机，这也是我们这套方案的主要创新点。结果表明，电动泵供应系统比起挤压式推进系统具有明显优势，能获得更高的综合性能；锂离子电池具有较大的能量密度和功率密度，更适合用在电动泵供应系统。从电源上，我们研究发现，使用锂离子电池比较合适，其中三元锂电池的研究成果值得关注，如日本Panasonic推出的NCR18650B电池，容量3350mAh，重量仅仅48.5g，容积密度476Wh/L，能量密度243Wh/kg，这代表了目前的锂离子电池批量生产的最高水平。美国Sion Power公司研制的锂硫电池用于无人飞机上面，白天靠太阳能充电，晚上靠锂硫电池放电，连续飞行了14天。综上分析，电动泵系统将重点研究采用高效能的三元锂电池或锂硫电池作为电源的方案。而在电机选择上，随着永磁材料的不断发展，特别是钕铁硼稀土永磁材料的进步，电机的结构质量比起传动线圈励磁的电机轻了很多，如10kw的电机，采用线圈励磁的重量为220kg，换成稀土永磁材料以后重量仅仅92kg。目前，钕铁硼稀土电机的功率密度可以达到3 kW／kg 以上，效率一般均在95％以上。如YASA电机公 司生产的YASA-250电机，额定功率65 kW，电 机的重量只有18 kg，功率密度为3.6 kW／kg； YASA-400电机，额定功率85 kW，重量24kg， 功率密度3.5 kW/kg。作为电动泵的驱动源，直流无刷电机值得重视，这种电机具有高精度、高效率和高转矩的特点，适合应用于电动泵系统，所以我们在我们的发动机也采用了直流无刷电机。我们研究发现当燃烧室压力、工作时间和发动机推力均相同时，挤压式系统与推进剂的质量比明显高于电动泵系统与推进剂的质量比，这说明此时电动泵系统较挤压式系统具有明显的优势。如当燃烧室压力为l MPa，工作时间 为500 s，发动机推40kN时，挤压式系统的</w:t>
      </w:r>
      <w:r>
        <w:rPr>
          <w:rFonts w:ascii="黑体" w:hAnsi="黑体" w:eastAsia="黑体"/>
          <w:sz w:val="24"/>
          <w:szCs w:val="24"/>
        </w:rPr>
        <w:drawing>
          <wp:inline distT="0" distB="0" distL="114300" distR="114300">
            <wp:extent cx="348615" cy="161925"/>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48615" cy="161925"/>
                    </a:xfrm>
                    <a:prstGeom prst="rect">
                      <a:avLst/>
                    </a:prstGeom>
                    <a:noFill/>
                    <a:ln w="9525">
                      <a:noFill/>
                    </a:ln>
                  </pic:spPr>
                </pic:pic>
              </a:graphicData>
            </a:graphic>
          </wp:inline>
        </w:drawing>
      </w:r>
      <w:r>
        <w:rPr>
          <w:rFonts w:ascii="黑体" w:hAnsi="黑体" w:eastAsia="黑体"/>
          <w:sz w:val="24"/>
          <w:szCs w:val="24"/>
        </w:rPr>
        <w:t>。</w:t>
      </w:r>
      <w:r>
        <w:rPr>
          <w:rFonts w:hint="eastAsia" w:ascii="黑体" w:hAnsi="黑体" w:eastAsia="黑体"/>
          <w:sz w:val="24"/>
          <w:szCs w:val="24"/>
        </w:rPr>
        <w:t>约为O.06，而电动泵系统的</w:t>
      </w:r>
      <w:r>
        <w:rPr>
          <w:rFonts w:ascii="黑体" w:hAnsi="黑体" w:eastAsia="黑体"/>
          <w:sz w:val="24"/>
          <w:szCs w:val="24"/>
        </w:rPr>
        <w:drawing>
          <wp:inline distT="0" distB="0" distL="114300" distR="114300">
            <wp:extent cx="348615" cy="161925"/>
            <wp:effectExtent l="0" t="0" r="190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48615" cy="161925"/>
                    </a:xfrm>
                    <a:prstGeom prst="rect">
                      <a:avLst/>
                    </a:prstGeom>
                    <a:noFill/>
                    <a:ln w="9525">
                      <a:noFill/>
                    </a:ln>
                  </pic:spPr>
                </pic:pic>
              </a:graphicData>
            </a:graphic>
          </wp:inline>
        </w:drawing>
      </w:r>
      <w:r>
        <w:rPr>
          <w:rFonts w:hint="eastAsia" w:ascii="黑体" w:hAnsi="黑体" w:eastAsia="黑体"/>
          <w:sz w:val="24"/>
          <w:szCs w:val="24"/>
        </w:rPr>
        <w:t>只有约为 0．02。而且，进一步提高燃烧室压力，则挤压式系统较电动泵系统的质量增加更快。如当燃烧室压力增大到2 MPa，工作时间为1000 s，发动机推力40 kN时，挤压式系统的</w:t>
      </w:r>
      <w:r>
        <w:rPr>
          <w:rFonts w:ascii="黑体" w:hAnsi="黑体" w:eastAsia="黑体"/>
          <w:sz w:val="24"/>
          <w:szCs w:val="24"/>
        </w:rPr>
        <w:drawing>
          <wp:inline distT="0" distB="0" distL="114300" distR="114300">
            <wp:extent cx="348615" cy="161925"/>
            <wp:effectExtent l="0" t="0" r="190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48615" cy="161925"/>
                    </a:xfrm>
                    <a:prstGeom prst="rect">
                      <a:avLst/>
                    </a:prstGeom>
                    <a:noFill/>
                    <a:ln w="9525">
                      <a:noFill/>
                    </a:ln>
                  </pic:spPr>
                </pic:pic>
              </a:graphicData>
            </a:graphic>
          </wp:inline>
        </w:drawing>
      </w:r>
      <w:r>
        <w:rPr>
          <w:rFonts w:hint="eastAsia" w:ascii="黑体" w:hAnsi="黑体" w:eastAsia="黑体"/>
          <w:sz w:val="24"/>
          <w:szCs w:val="24"/>
        </w:rPr>
        <w:t>。达到了约 0.10。此时，需消耗推进剂约12．7 t，则整个推进系统的质量约为1．27 t，而电动泵系统的结构 质量只有254 kg。这说明，电动泵系统能够适应 更高的燃烧室压力，从而可以进一步减小推力室质量，或者相同结构质量下能够获得更高的发动机比冲性能。可以看出，随着电机和电池技术的进步，对推力较小、总冲需求较低的推进系统，采用电动泵供应比传统的挤压式系统已经具有明显的优势。而且，采用电动泵系统允许采用更高的燃烧室压力，这样还能够获得更高的综合性能。至于具体的发动机选择上。我们选择了液氧-煤油的组合方式，这个组合方式若采用一定的隔热手段（后续重将会讲到），可以维持日蒸发量小于0.5%，对于地月任务来说，其蒸发量处于可以接受的水平，而且其获得的高比冲比起传统的毒燃料来说更具优势和环保。我们的登月舱着陆段使用4台电动泵引擎，上升段使用1台电动泵引擎，而其中的数据经过我们的模拟计算，可以做到推力24KN，比冲3</w:t>
      </w:r>
      <w:r>
        <w:rPr>
          <w:rFonts w:ascii="黑体" w:hAnsi="黑体" w:eastAsia="黑体"/>
          <w:sz w:val="24"/>
          <w:szCs w:val="24"/>
        </w:rPr>
        <w:t>40</w:t>
      </w:r>
      <w:r>
        <w:rPr>
          <w:rFonts w:hint="eastAsia" w:ascii="黑体" w:hAnsi="黑体" w:eastAsia="黑体"/>
          <w:sz w:val="24"/>
          <w:szCs w:val="24"/>
        </w:rPr>
        <w:t>0m/s，自重36KG，我们计划使用无刷直流电机和三元锂电池，效率可由传统的燃气发生器循环的50%提高到了95%。我们每台发动机使用了2台电机驱动涡轮泵，每台电机功率37KW，转速约40000转/分钟，发动机推力室身部采用再生冷却，延伸段采用单壁辐射冷却，提高了喷管寿命同时也提高了燃料的燃烧效率。</w:t>
      </w:r>
    </w:p>
    <w:p>
      <w:pPr>
        <w:spacing w:line="360" w:lineRule="auto"/>
        <w:ind w:right="105" w:rightChars="50"/>
        <w:rPr>
          <w:rFonts w:ascii="黑体" w:hAnsi="黑体" w:eastAsia="黑体"/>
          <w:sz w:val="28"/>
          <w:szCs w:val="28"/>
        </w:rPr>
      </w:pPr>
      <w:r>
        <w:rPr>
          <w:rFonts w:hint="eastAsia" w:ascii="黑体" w:hAnsi="黑体" w:eastAsia="黑体"/>
          <w:sz w:val="28"/>
          <w:szCs w:val="28"/>
        </w:rPr>
        <w:t>3</w:t>
      </w:r>
      <w:r>
        <w:rPr>
          <w:rFonts w:ascii="黑体" w:hAnsi="黑体" w:eastAsia="黑体"/>
          <w:sz w:val="28"/>
          <w:szCs w:val="28"/>
        </w:rPr>
        <w:t>.3 电源分系统</w:t>
      </w:r>
    </w:p>
    <w:p>
      <w:pPr>
        <w:ind w:right="105" w:rightChars="50"/>
        <w:rPr>
          <w:rFonts w:ascii="黑体" w:hAnsi="黑体" w:eastAsia="黑体"/>
          <w:sz w:val="24"/>
          <w:szCs w:val="24"/>
        </w:rPr>
      </w:pPr>
      <w:r>
        <w:rPr>
          <w:rFonts w:ascii="黑体" w:hAnsi="黑体" w:eastAsia="黑体"/>
          <w:sz w:val="24"/>
          <w:szCs w:val="24"/>
        </w:rPr>
        <w:t>考虑到电动泵发动机的供电需求</w:t>
      </w:r>
      <w:r>
        <w:rPr>
          <w:rFonts w:hint="eastAsia" w:ascii="黑体" w:hAnsi="黑体" w:eastAsia="黑体"/>
          <w:sz w:val="24"/>
          <w:szCs w:val="24"/>
        </w:rPr>
        <w:t>，</w:t>
      </w:r>
      <w:r>
        <w:rPr>
          <w:rFonts w:ascii="黑体" w:hAnsi="黑体" w:eastAsia="黑体"/>
          <w:sz w:val="24"/>
          <w:szCs w:val="24"/>
        </w:rPr>
        <w:t>飞行器电源系统采用能量密度</w:t>
      </w:r>
      <w:r>
        <w:rPr>
          <w:rFonts w:hint="eastAsia" w:ascii="黑体" w:hAnsi="黑体" w:eastAsia="黑体"/>
          <w:sz w:val="24"/>
          <w:szCs w:val="24"/>
        </w:rPr>
        <w:t>2</w:t>
      </w:r>
      <w:r>
        <w:rPr>
          <w:rFonts w:ascii="黑体" w:hAnsi="黑体" w:eastAsia="黑体"/>
          <w:sz w:val="24"/>
          <w:szCs w:val="24"/>
        </w:rPr>
        <w:t>20W</w:t>
      </w:r>
      <w:r>
        <w:rPr>
          <w:rFonts w:hint="eastAsia" w:ascii="黑体" w:hAnsi="黑体" w:eastAsia="黑体"/>
          <w:sz w:val="24"/>
          <w:szCs w:val="24"/>
        </w:rPr>
        <w:t>h/</w:t>
      </w:r>
      <w:r>
        <w:rPr>
          <w:rFonts w:ascii="黑体" w:hAnsi="黑体" w:eastAsia="黑体"/>
          <w:sz w:val="24"/>
          <w:szCs w:val="24"/>
        </w:rPr>
        <w:t>kg</w:t>
      </w:r>
      <w:r>
        <w:rPr>
          <w:rFonts w:hint="eastAsia" w:ascii="黑体" w:hAnsi="黑体" w:eastAsia="黑体"/>
          <w:sz w:val="24"/>
          <w:szCs w:val="24"/>
        </w:rPr>
        <w:t>，</w:t>
      </w:r>
      <w:r>
        <w:rPr>
          <w:rFonts w:ascii="黑体" w:hAnsi="黑体" w:eastAsia="黑体"/>
          <w:sz w:val="24"/>
          <w:szCs w:val="24"/>
        </w:rPr>
        <w:t>功率密度为</w:t>
      </w:r>
      <w:r>
        <w:rPr>
          <w:rFonts w:hint="eastAsia" w:ascii="黑体" w:hAnsi="黑体" w:eastAsia="黑体"/>
          <w:sz w:val="24"/>
          <w:szCs w:val="24"/>
        </w:rPr>
        <w:t>2</w:t>
      </w:r>
      <w:r>
        <w:rPr>
          <w:rFonts w:ascii="黑体" w:hAnsi="黑体" w:eastAsia="黑体"/>
          <w:sz w:val="24"/>
          <w:szCs w:val="24"/>
        </w:rPr>
        <w:t>kW</w:t>
      </w:r>
      <w:r>
        <w:rPr>
          <w:rFonts w:hint="eastAsia" w:ascii="黑体" w:hAnsi="黑体" w:eastAsia="黑体"/>
          <w:sz w:val="24"/>
          <w:szCs w:val="24"/>
        </w:rPr>
        <w:t>/</w:t>
      </w:r>
      <w:r>
        <w:rPr>
          <w:rFonts w:ascii="黑体" w:hAnsi="黑体" w:eastAsia="黑体"/>
          <w:sz w:val="24"/>
          <w:szCs w:val="24"/>
        </w:rPr>
        <w:t>kg的锂离子蓄电池</w:t>
      </w:r>
      <w:r>
        <w:rPr>
          <w:rFonts w:hint="eastAsia" w:ascii="黑体" w:hAnsi="黑体" w:eastAsia="黑体"/>
          <w:sz w:val="24"/>
          <w:szCs w:val="24"/>
        </w:rPr>
        <w:t>，电池能量余量系数取1</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工作时间取</w:t>
      </w:r>
      <w:r>
        <w:rPr>
          <w:rFonts w:hint="eastAsia" w:ascii="黑体" w:hAnsi="黑体" w:eastAsia="黑体"/>
          <w:sz w:val="24"/>
          <w:szCs w:val="24"/>
        </w:rPr>
        <w:t>1</w:t>
      </w:r>
      <w:r>
        <w:rPr>
          <w:rFonts w:ascii="黑体" w:hAnsi="黑体" w:eastAsia="黑体"/>
          <w:sz w:val="24"/>
          <w:szCs w:val="24"/>
        </w:rPr>
        <w:t>000s</w:t>
      </w:r>
      <w:r>
        <w:rPr>
          <w:rFonts w:hint="eastAsia" w:ascii="黑体" w:hAnsi="黑体" w:eastAsia="黑体"/>
          <w:sz w:val="24"/>
          <w:szCs w:val="24"/>
        </w:rPr>
        <w:t>。</w:t>
      </w:r>
      <w:r>
        <w:rPr>
          <w:rFonts w:ascii="黑体" w:hAnsi="黑体" w:eastAsia="黑体"/>
          <w:sz w:val="24"/>
          <w:szCs w:val="24"/>
        </w:rPr>
        <w:t>则下降段发动机需要电池质量约为448kg</w:t>
      </w:r>
      <w:r>
        <w:rPr>
          <w:rFonts w:hint="eastAsia" w:ascii="黑体" w:hAnsi="黑体" w:eastAsia="黑体"/>
          <w:sz w:val="24"/>
          <w:szCs w:val="24"/>
        </w:rPr>
        <w:t>，</w:t>
      </w:r>
      <w:r>
        <w:rPr>
          <w:rFonts w:ascii="黑体" w:hAnsi="黑体" w:eastAsia="黑体"/>
          <w:sz w:val="24"/>
          <w:szCs w:val="24"/>
        </w:rPr>
        <w:t>上升段约为</w:t>
      </w:r>
      <w:r>
        <w:rPr>
          <w:rFonts w:hint="eastAsia" w:ascii="黑体" w:hAnsi="黑体" w:eastAsia="黑体"/>
          <w:sz w:val="24"/>
          <w:szCs w:val="24"/>
        </w:rPr>
        <w:t>1</w:t>
      </w:r>
      <w:r>
        <w:rPr>
          <w:rFonts w:ascii="黑体" w:hAnsi="黑体" w:eastAsia="黑体"/>
          <w:sz w:val="24"/>
          <w:szCs w:val="24"/>
        </w:rPr>
        <w:t>12kg</w:t>
      </w:r>
      <w:r>
        <w:rPr>
          <w:rFonts w:hint="eastAsia" w:ascii="黑体" w:hAnsi="黑体" w:eastAsia="黑体"/>
          <w:sz w:val="24"/>
          <w:szCs w:val="24"/>
        </w:rPr>
        <w:t>。</w:t>
      </w:r>
      <w:r>
        <w:rPr>
          <w:rFonts w:ascii="黑体" w:hAnsi="黑体" w:eastAsia="黑体"/>
          <w:sz w:val="24"/>
          <w:szCs w:val="24"/>
        </w:rPr>
        <w:t>故下降段与上升段电源系统的电池质量分别取</w:t>
      </w:r>
      <w:r>
        <w:rPr>
          <w:rFonts w:hint="eastAsia" w:ascii="黑体" w:hAnsi="黑体" w:eastAsia="黑体"/>
          <w:sz w:val="24"/>
          <w:szCs w:val="24"/>
        </w:rPr>
        <w:t>4</w:t>
      </w:r>
      <w:r>
        <w:rPr>
          <w:rFonts w:ascii="黑体" w:hAnsi="黑体" w:eastAsia="黑体"/>
          <w:sz w:val="24"/>
          <w:szCs w:val="24"/>
        </w:rPr>
        <w:t>60kg与</w:t>
      </w:r>
      <w:r>
        <w:rPr>
          <w:rFonts w:hint="eastAsia" w:ascii="黑体" w:hAnsi="黑体" w:eastAsia="黑体"/>
          <w:sz w:val="24"/>
          <w:szCs w:val="24"/>
        </w:rPr>
        <w:t>1</w:t>
      </w:r>
      <w:r>
        <w:rPr>
          <w:rFonts w:ascii="黑体" w:hAnsi="黑体" w:eastAsia="黑体"/>
          <w:sz w:val="24"/>
          <w:szCs w:val="24"/>
        </w:rPr>
        <w:t>30kg</w:t>
      </w:r>
      <w:r>
        <w:rPr>
          <w:rFonts w:hint="eastAsia" w:ascii="黑体" w:hAnsi="黑体" w:eastAsia="黑体"/>
          <w:sz w:val="24"/>
          <w:szCs w:val="24"/>
        </w:rPr>
        <w:t>。根据研究表明，电动泵系统主要是功率型需求，即电池功率密度对整个推进系统影响更大。如果能量密度很大而提供的功率密度较小是不适合用于电动泵推进系统。但如果工作时间较长，能量需求将会显著增大，此时能量密度可能会成为电池质量的控制参数。由于锂离子电池技术更成熟，故采用锂离子电池。</w:t>
      </w:r>
      <w:r>
        <w:rPr>
          <w:rFonts w:ascii="黑体" w:hAnsi="黑体" w:eastAsia="黑体"/>
          <w:sz w:val="24"/>
          <w:szCs w:val="24"/>
        </w:rPr>
        <w:t>飞行器推进系统与其他设备的供电均由电源系统统一供应分配</w:t>
      </w:r>
      <w:r>
        <w:rPr>
          <w:rFonts w:hint="eastAsia" w:ascii="黑体" w:hAnsi="黑体" w:eastAsia="黑体"/>
          <w:sz w:val="24"/>
          <w:szCs w:val="24"/>
        </w:rPr>
        <w:t>，</w:t>
      </w:r>
      <w:r>
        <w:rPr>
          <w:rFonts w:ascii="黑体" w:hAnsi="黑体" w:eastAsia="黑体"/>
          <w:sz w:val="24"/>
          <w:szCs w:val="24"/>
        </w:rPr>
        <w:t>彼此之间不做独立设计</w:t>
      </w:r>
      <w:r>
        <w:rPr>
          <w:rFonts w:hint="eastAsia" w:ascii="黑体" w:hAnsi="黑体" w:eastAsia="黑体"/>
          <w:sz w:val="24"/>
          <w:szCs w:val="24"/>
        </w:rPr>
        <w:t>。</w:t>
      </w:r>
      <w:r>
        <w:rPr>
          <w:rFonts w:ascii="黑体" w:hAnsi="黑体" w:eastAsia="黑体"/>
          <w:sz w:val="24"/>
          <w:szCs w:val="24"/>
        </w:rPr>
        <w:t>电源分配系统做备份处理</w:t>
      </w:r>
      <w:r>
        <w:rPr>
          <w:rFonts w:hint="eastAsia" w:ascii="黑体" w:hAnsi="黑体" w:eastAsia="黑体"/>
          <w:sz w:val="24"/>
          <w:szCs w:val="24"/>
        </w:rPr>
        <w:t>。此外，考虑到以后长时间载人月面科研任务的任务需求，飞行器电源系统还预留有太阳能电池的接口。如有需要，可以在飞行器下降段上加装折叠式太阳能电池翼，以延长飞行器月面停留时间。</w:t>
      </w:r>
    </w:p>
    <w:p>
      <w:pPr>
        <w:spacing w:before="156" w:beforeLines="50" w:after="156" w:afterLines="50" w:line="360" w:lineRule="auto"/>
        <w:ind w:right="105" w:rightChars="50"/>
        <w:rPr>
          <w:rFonts w:ascii="黑体" w:hAnsi="黑体" w:eastAsia="黑体"/>
          <w:sz w:val="28"/>
          <w:szCs w:val="28"/>
        </w:rPr>
      </w:pPr>
      <w:r>
        <w:rPr>
          <w:rFonts w:hint="eastAsia" w:ascii="黑体" w:hAnsi="黑体" w:eastAsia="黑体"/>
          <w:sz w:val="28"/>
          <w:szCs w:val="28"/>
        </w:rPr>
        <w:t>3</w:t>
      </w:r>
      <w:r>
        <w:rPr>
          <w:rFonts w:ascii="黑体" w:hAnsi="黑体" w:eastAsia="黑体"/>
          <w:sz w:val="28"/>
          <w:szCs w:val="28"/>
        </w:rPr>
        <w:t>.4 低温推进剂热管理分系统</w:t>
      </w:r>
    </w:p>
    <w:p>
      <w:pPr>
        <w:ind w:right="105" w:rightChars="50"/>
        <w:rPr>
          <w:rFonts w:ascii="黑体" w:hAnsi="黑体" w:eastAsia="黑体"/>
          <w:sz w:val="24"/>
          <w:szCs w:val="24"/>
        </w:rPr>
      </w:pPr>
      <w:r>
        <w:rPr>
          <w:rFonts w:hint="eastAsia" w:ascii="黑体" w:hAnsi="黑体" w:eastAsia="黑体"/>
          <w:sz w:val="24"/>
          <w:szCs w:val="24"/>
        </w:rPr>
        <w:t>这次使用了低温推进剂作为燃料，低温推进剂比冲高，无毒无污染，NASA在未来的月球探测上面也计划使用低温燃料，但是低温热燃料沸点低，容易蒸发，难以储存，导致限制了其在轨使用，针对这一情况，我们的燃料要考虑低温推进剂的保温储存，这这里我们将分析在轨储存的方法。低温燃料沸点低，常压下液氧沸点约90K，受热以后贮箱内部压力上升，为了避免贮箱压力过高，需要进行泄压处理，这就导致了推进剂的浪费，总冲的减少，若储箱设计的排气阀排出液相，则会造成燃料的极大损失。所以我们需要具备四项功能：</w:t>
      </w:r>
    </w:p>
    <w:p>
      <w:pPr>
        <w:ind w:right="105" w:rightChars="50"/>
        <w:rPr>
          <w:rFonts w:ascii="黑体" w:hAnsi="黑体" w:eastAsia="黑体"/>
          <w:sz w:val="24"/>
          <w:szCs w:val="24"/>
        </w:rPr>
      </w:pPr>
      <w:r>
        <w:rPr>
          <w:rFonts w:hint="eastAsia" w:ascii="黑体" w:hAnsi="黑体" w:eastAsia="黑体"/>
          <w:sz w:val="24"/>
          <w:szCs w:val="24"/>
        </w:rPr>
        <w:t>1、绝热功能：隔绝外接进入低温贮箱的热量，使总漏量有效降低。</w:t>
      </w:r>
    </w:p>
    <w:p>
      <w:pPr>
        <w:ind w:right="105" w:rightChars="50"/>
        <w:rPr>
          <w:rFonts w:ascii="黑体" w:hAnsi="黑体" w:eastAsia="黑体"/>
          <w:sz w:val="24"/>
          <w:szCs w:val="24"/>
        </w:rPr>
      </w:pPr>
      <w:r>
        <w:rPr>
          <w:rFonts w:hint="eastAsia" w:ascii="黑体" w:hAnsi="黑体" w:eastAsia="黑体"/>
          <w:sz w:val="24"/>
          <w:szCs w:val="24"/>
        </w:rPr>
        <w:t>2、压力控制系统：将低温贮箱内部压力控制 在合理范围，既要避免贮箱内部压力过低，满足不 了发动机入口压力的要求，同时又要避免贮箱内 部压力过高，破坏贮箱结构</w:t>
      </w:r>
    </w:p>
    <w:p>
      <w:pPr>
        <w:ind w:right="105" w:rightChars="50"/>
        <w:rPr>
          <w:rFonts w:ascii="黑体" w:hAnsi="黑体" w:eastAsia="黑体"/>
          <w:sz w:val="24"/>
          <w:szCs w:val="24"/>
        </w:rPr>
      </w:pPr>
      <w:r>
        <w:rPr>
          <w:rFonts w:hint="eastAsia" w:ascii="黑体" w:hAnsi="黑体" w:eastAsia="黑体"/>
          <w:sz w:val="24"/>
          <w:szCs w:val="24"/>
        </w:rPr>
        <w:t>3、 推进剂管理功能: 实现低温推进剂在轨管理，在发动机再起动前提供不含气泡的推进剂;</w:t>
      </w:r>
    </w:p>
    <w:p>
      <w:pPr>
        <w:ind w:right="105" w:rightChars="50"/>
        <w:rPr>
          <w:rFonts w:ascii="黑体" w:hAnsi="黑体" w:eastAsia="黑体"/>
          <w:sz w:val="24"/>
          <w:szCs w:val="24"/>
        </w:rPr>
      </w:pPr>
      <w:r>
        <w:rPr>
          <w:rFonts w:hint="eastAsia" w:ascii="黑体" w:hAnsi="黑体" w:eastAsia="黑体"/>
          <w:sz w:val="24"/>
          <w:szCs w:val="24"/>
        </w:rPr>
        <w:t>在星座计划中，登月舱上升段使用液氧甲烷，可以达到在轨时间224天的设计要求，NASA在2009年发布的火星设计参考任务5.0方案中为例，低温轨道轨道转移级使用主动式在轨零蒸发的贮箱的TEI推进级可以达到900天的在轨时间，但是我们的登月舱质量较小，最终我们放弃了在登月舱使用大型主动式降温的方式，采用了传统的隔热手段。对于我们的贮箱，我们主要方式是提高低温贮箱绝热结构的隔热效率来实现，实现方式使用泡沫塑料+多层隔热材料的绝热结构。在泡沫塑料的选择上，选用零ODP发泡剂材料的聚异氰脲酸酯泡沫塑料，以满足环保、耐温以及在太空环境中使用等要求。在多层隔热材料选择上，采用双面镀铝聚脂薄膜和涤纶丝网间隔物。另外，可进一步对多层隔热材料进行变密度设计，提高绝热效果。</w:t>
      </w:r>
    </w:p>
    <w:p>
      <w:pPr>
        <w:ind w:right="105" w:rightChars="50"/>
        <w:rPr>
          <w:rFonts w:ascii="黑体" w:hAnsi="黑体" w:eastAsia="黑体"/>
          <w:sz w:val="24"/>
          <w:szCs w:val="24"/>
        </w:rPr>
      </w:pPr>
      <w:r>
        <w:rPr>
          <w:rFonts w:hint="eastAsia" w:ascii="黑体" w:hAnsi="黑体" w:eastAsia="黑体"/>
          <w:sz w:val="24"/>
          <w:szCs w:val="24"/>
        </w:rPr>
        <w:t>多层隔热材料（Multilayer Insulation, MLI）是低温系统在真空环境下最常用的绝热材料，广泛应用于空间飞行器，如半人马座上面级。</w:t>
      </w:r>
      <w:r>
        <w:rPr>
          <w:rFonts w:hint="eastAsia" w:ascii="黑体" w:hAnsi="黑体" w:eastAsia="黑体"/>
          <w:sz w:val="24"/>
          <w:szCs w:val="24"/>
        </w:rPr>
        <w:tab/>
      </w:r>
      <w:r>
        <w:rPr>
          <w:rFonts w:hint="eastAsia" w:ascii="黑体" w:hAnsi="黑体" w:eastAsia="黑体"/>
          <w:sz w:val="24"/>
          <w:szCs w:val="24"/>
        </w:rPr>
        <w:t>MLI一般由反射屏和间隔物两部分组成，其绝热性能与反射屏和间隔物的材料性质、层数，以及材料间隙的真空度、充填气体有关。Sun等给出了ＭＬＩ性能与真空度和充填气体的关系。实验结果表明ＭＬＩ导热系数 在0.1Pa以下才能达到良好的隔热效果，充填气体为二氧化碳能够显著地减小隔层间 的导热。典型MLI的当量热导率可以达到10-4Ｗ／（ｍ·Ｋ）数量级。Jeffrey通过对半人马座上面级使用MLI的结果得出，采用25层 MLI氧箱 内液氧日蒸发率为0.8％。多层隔热材料的良好隔热性能使其得 到 持续研究，目前除变密度多层隔热材料，又相继提出了低密度多层 隔 热 材 料（LD-MLI）、集成多层隔热材料（I-MLI）、承力结构多层隔热材料（LR-MLI）等。</w:t>
      </w:r>
    </w:p>
    <w:p>
      <w:pPr>
        <w:ind w:right="105" w:rightChars="50"/>
        <w:rPr>
          <w:rFonts w:ascii="黑体" w:hAnsi="黑体" w:eastAsia="黑体"/>
          <w:sz w:val="24"/>
          <w:szCs w:val="24"/>
        </w:rPr>
      </w:pPr>
      <w:r>
        <w:rPr>
          <w:rFonts w:hint="eastAsia" w:ascii="黑体" w:hAnsi="黑体" w:eastAsia="黑体"/>
          <w:sz w:val="24"/>
          <w:szCs w:val="24"/>
        </w:rPr>
        <w:t>而对于压力控制系统来说。低温贮箱在轨压力控制一方面要将贮箱内部压力控制在一个合理范围内，另一方面尽可能实现贮箱内部压力均匀分布( 在微重力环境下，低 温贮箱内部易出现压力分布不均的现象) 。 压力控制最简单方案是排气，但在轨微重力环境会导致低温贮箱内部气液混合，每次排气前需要由小推力沉底发动机工作提供加速度进而实现气液分离，会消耗额外的推进剂。沉底排气较为适合短期在轨的贮箱内部压力控制。而在我们的方案中，排出的氧气会储存到气氧储箱之中，作为我们的RCS燃料使用，我们的RCS采用了类似长征五号的气氧煤油RCS（这个RCS我们会在后续中提到）。由于我们的任务时间较短，不需要比较复杂的热力学排气控压，所以我们的采用了沉底排气控压方案。</w:t>
      </w:r>
    </w:p>
    <w:p>
      <w:pPr>
        <w:spacing w:before="156" w:beforeLines="50" w:after="156" w:afterLines="50" w:line="360" w:lineRule="auto"/>
        <w:ind w:right="105" w:rightChars="50"/>
        <w:rPr>
          <w:rFonts w:ascii="黑体" w:hAnsi="黑体" w:eastAsia="黑体"/>
          <w:sz w:val="28"/>
          <w:szCs w:val="28"/>
        </w:rPr>
      </w:pPr>
      <w:r>
        <w:rPr>
          <w:rFonts w:hint="eastAsia" w:ascii="黑体" w:hAnsi="黑体" w:eastAsia="黑体"/>
          <w:sz w:val="28"/>
          <w:szCs w:val="28"/>
        </w:rPr>
        <w:t>3</w:t>
      </w:r>
      <w:r>
        <w:rPr>
          <w:rFonts w:ascii="黑体" w:hAnsi="黑体" w:eastAsia="黑体"/>
          <w:sz w:val="28"/>
          <w:szCs w:val="28"/>
        </w:rPr>
        <w:t>.5 通信分系统</w:t>
      </w:r>
    </w:p>
    <w:p>
      <w:pPr>
        <w:ind w:right="105" w:rightChars="50"/>
        <w:rPr>
          <w:rFonts w:ascii="黑体" w:hAnsi="黑体" w:eastAsia="黑体"/>
          <w:sz w:val="24"/>
          <w:szCs w:val="24"/>
        </w:rPr>
      </w:pPr>
      <w:r>
        <w:rPr>
          <w:rFonts w:hint="eastAsia" w:ascii="黑体" w:hAnsi="黑体" w:eastAsia="黑体"/>
          <w:sz w:val="24"/>
          <w:szCs w:val="24"/>
        </w:rPr>
        <w:t>对于载人登月阶段大容量的数据传输、更高轨道覆盖率以及更高精度定位需求,仅仅依靠改造的系统以及相应的</w:t>
      </w:r>
      <w:r>
        <w:rPr>
          <w:rFonts w:ascii="Times New Roman" w:hAnsi="Times New Roman" w:eastAsia="黑体" w:cs="Times New Roman"/>
          <w:sz w:val="24"/>
          <w:szCs w:val="24"/>
        </w:rPr>
        <w:t>VLBI</w:t>
      </w:r>
      <w:r>
        <w:rPr>
          <w:rFonts w:hint="eastAsia" w:ascii="黑体" w:hAnsi="黑体" w:eastAsia="黑体"/>
          <w:sz w:val="24"/>
          <w:szCs w:val="24"/>
        </w:rPr>
        <w:t>天文技术, 再加上</w:t>
      </w:r>
      <w:r>
        <w:rPr>
          <w:rFonts w:ascii="Times New Roman" w:hAnsi="Times New Roman" w:eastAsia="黑体" w:cs="Times New Roman"/>
          <w:sz w:val="24"/>
          <w:szCs w:val="24"/>
        </w:rPr>
        <w:t xml:space="preserve">X </w:t>
      </w:r>
      <w:r>
        <w:rPr>
          <w:rFonts w:hint="eastAsia" w:ascii="黑体" w:hAnsi="黑体" w:eastAsia="黑体"/>
          <w:sz w:val="24"/>
          <w:szCs w:val="24"/>
        </w:rPr>
        <w:t>频段的深空测控己无法完全满足, 必须建立具有宽带传输能力、具有更高精度的、覆盖整个地球到月球轨道过程的宽带测控通信链路。故飞行器通信分系统采用</w:t>
      </w:r>
      <w:r>
        <w:rPr>
          <w:rFonts w:ascii="Times New Roman" w:hAnsi="Times New Roman" w:eastAsia="黑体" w:cs="Times New Roman"/>
          <w:sz w:val="24"/>
          <w:szCs w:val="24"/>
        </w:rPr>
        <w:t>S/Ka</w:t>
      </w:r>
      <w:r>
        <w:rPr>
          <w:rFonts w:hint="eastAsia" w:ascii="黑体" w:hAnsi="黑体" w:eastAsia="黑体"/>
          <w:sz w:val="24"/>
          <w:szCs w:val="24"/>
        </w:rPr>
        <w:t>频段通信体制。S频段负责收发测控信号，Ka频段则负责大容量高速率的宽带通信链路。在登月任务的早期阶段，任务区域位于地球可视区域内，此时飞行器可与地球地面站直接建立S/Ka频段通信链路。在登月任务延伸到月球极区甚至背面后，为了保持通信畅通，可以考虑发射月球通信中继卫星，同样通过S/Ka频段链路工作，同时可以考虑发展地月激光通信链路，进一步提高地月通信速率和通信容量。在此基础上可建立地球到月球中继卫星的</w:t>
      </w:r>
      <w:r>
        <w:rPr>
          <w:rFonts w:ascii="黑体" w:hAnsi="黑体" w:eastAsia="黑体"/>
          <w:sz w:val="24"/>
          <w:szCs w:val="24"/>
        </w:rPr>
        <w:t>S/Ka</w:t>
      </w:r>
      <w:r>
        <w:rPr>
          <w:rFonts w:hint="eastAsia" w:ascii="黑体" w:hAnsi="黑体" w:eastAsia="黑体"/>
          <w:sz w:val="24"/>
          <w:szCs w:val="24"/>
        </w:rPr>
        <w:t>频段为主、激光链路为辅的宽带主干线, 保障登月器进入月球轨道之后以及用户在月面活动期问地球站对其的测控与通信覆盖率, 逐步实现Ka 频段链路和激光链路并存,在应用上相互补充、相互支撑的两条月地互联宽带主干线。</w:t>
      </w:r>
    </w:p>
    <w:p>
      <w:pPr>
        <w:spacing w:before="156" w:beforeLines="50" w:after="156" w:afterLines="50" w:line="360" w:lineRule="auto"/>
        <w:ind w:right="105" w:rightChars="50"/>
        <w:rPr>
          <w:rFonts w:ascii="黑体" w:hAnsi="黑体" w:eastAsia="黑体"/>
          <w:sz w:val="28"/>
          <w:szCs w:val="28"/>
        </w:rPr>
      </w:pPr>
      <w:r>
        <w:rPr>
          <w:rFonts w:hint="eastAsia" w:ascii="黑体" w:hAnsi="黑体" w:eastAsia="黑体"/>
          <w:sz w:val="28"/>
          <w:szCs w:val="28"/>
        </w:rPr>
        <w:t>3</w:t>
      </w:r>
      <w:r>
        <w:rPr>
          <w:rFonts w:ascii="黑体" w:hAnsi="黑体" w:eastAsia="黑体"/>
          <w:sz w:val="28"/>
          <w:szCs w:val="28"/>
        </w:rPr>
        <w:t>.6 姿态控制分系统</w:t>
      </w:r>
    </w:p>
    <w:p>
      <w:pPr>
        <w:ind w:right="105" w:rightChars="50"/>
        <w:rPr>
          <w:rFonts w:ascii="黑体" w:hAnsi="黑体" w:eastAsia="黑体"/>
          <w:sz w:val="24"/>
          <w:szCs w:val="24"/>
        </w:rPr>
      </w:pPr>
      <w:r>
        <w:rPr>
          <w:rFonts w:hint="eastAsia" w:ascii="黑体" w:hAnsi="黑体" w:eastAsia="黑体"/>
          <w:sz w:val="24"/>
          <w:szCs w:val="24"/>
        </w:rPr>
        <w:t>们的RCS采用气氧煤油加热，煤油来源是煤油贮箱，而氧气来源则是气氧贮箱，为了缩小体积。我们的气氧贮箱体积有限，不足以完全靠气氧贮箱的气氧提供全程的RCS支持，我们的方法是液氧在控制泄压过程中可以给气氧瓶添加气氧，如果泄压的气氧不足以供给RCS，我们也可以主动抽取少量液氧在电热的作用下气化补给RCS储箱，所以我们的构思中里面液氧会稍微的过量。以应对RCS的燃料需求。随着近年来对环保的重视，也是为了节省单独设置RCS的成本，我们的这次RCS采用了气氧煤油姿态控制系统。气氧煤油无毒姿控发动机由推力室、氧阀，燃阀和电点火器组成，煤油经过喷注器进入燃烧室完成雾化和蒸发的过程，和气氧充分混合，电点火器发火点燃混气燃烧，产生高温高压气体排出产生推力，该发动机有无毒，无污染，响应快，颗多次脉冲点火的特点。由于使用了煤油，所以容易结焦和积碳的原因，所以这次我们的RCS采用了氧化剂气膜冷却来实现可靠的冷却。为了与氧气相容，发动机头部使用不锈钢材料，身部则是铌钨合金材料。我们的发动机主要技术指标为:</w:t>
      </w:r>
    </w:p>
    <w:p>
      <w:pPr>
        <w:ind w:right="105" w:rightChars="50"/>
        <w:rPr>
          <w:rFonts w:ascii="黑体" w:hAnsi="黑体" w:eastAsia="黑体"/>
          <w:sz w:val="24"/>
          <w:szCs w:val="24"/>
        </w:rPr>
      </w:pPr>
    </w:p>
    <w:p>
      <w:pPr>
        <w:ind w:right="105" w:rightChars="50" w:firstLine="2160" w:firstLineChars="900"/>
        <w:rPr>
          <w:rFonts w:ascii="黑体" w:hAnsi="黑体" w:eastAsia="黑体"/>
          <w:sz w:val="24"/>
          <w:szCs w:val="24"/>
        </w:rPr>
      </w:pPr>
      <w:r>
        <w:rPr>
          <w:rFonts w:ascii="黑体" w:hAnsi="黑体" w:eastAsia="黑体"/>
          <w:sz w:val="24"/>
          <w:szCs w:val="24"/>
        </w:rPr>
        <w:t>表3.6</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，气氧煤油姿态控制发动机数据</w:t>
      </w:r>
    </w:p>
    <w:p>
      <w:pPr>
        <w:ind w:right="105" w:rightChars="50" w:firstLine="2160" w:firstLineChars="900"/>
        <w:rPr>
          <w:rFonts w:ascii="黑体" w:hAnsi="黑体" w:eastAsia="黑体"/>
          <w:sz w:val="24"/>
          <w:szCs w:val="24"/>
        </w:rPr>
      </w:pPr>
    </w:p>
    <w:tbl>
      <w:tblPr>
        <w:tblStyle w:val="10"/>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5"/>
        <w:gridCol w:w="2265"/>
        <w:gridCol w:w="2265"/>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shd w:val="clear" w:color="auto" w:fill="BDD6EE" w:themeFill="accent1" w:themeFillTint="66"/>
          </w:tcPr>
          <w:p>
            <w:pPr>
              <w:ind w:right="105" w:rightChars="50"/>
              <w:jc w:val="center"/>
              <w:rPr>
                <w:rFonts w:asciiTheme="minorEastAsia" w:hAnsiTheme="minorEastAsia"/>
                <w:szCs w:val="21"/>
              </w:rPr>
            </w:pPr>
            <w:r>
              <w:rPr>
                <w:rFonts w:hint="eastAsia" w:asciiTheme="minorEastAsia" w:hAnsiTheme="minorEastAsia"/>
                <w:szCs w:val="21"/>
              </w:rPr>
              <w:t>推力</w:t>
            </w:r>
          </w:p>
        </w:tc>
        <w:tc>
          <w:tcPr>
            <w:tcW w:w="2265" w:type="dxa"/>
            <w:shd w:val="clear" w:color="auto" w:fill="BDD6EE" w:themeFill="accent1" w:themeFillTint="66"/>
          </w:tcPr>
          <w:p>
            <w:pPr>
              <w:ind w:right="105" w:rightChars="50"/>
              <w:jc w:val="center"/>
              <w:rPr>
                <w:rFonts w:asciiTheme="minorEastAsia" w:hAnsiTheme="minorEastAsia"/>
                <w:szCs w:val="21"/>
              </w:rPr>
            </w:pPr>
            <w:r>
              <w:rPr>
                <w:rFonts w:asciiTheme="minorEastAsia" w:hAnsiTheme="minorEastAsia"/>
                <w:szCs w:val="21"/>
              </w:rPr>
              <w:t>真空比冲</w:t>
            </w:r>
          </w:p>
        </w:tc>
        <w:tc>
          <w:tcPr>
            <w:tcW w:w="2265" w:type="dxa"/>
            <w:shd w:val="clear" w:color="auto" w:fill="BDD6EE" w:themeFill="accent1" w:themeFillTint="66"/>
          </w:tcPr>
          <w:p>
            <w:pPr>
              <w:ind w:right="105" w:rightChars="50"/>
              <w:jc w:val="center"/>
              <w:rPr>
                <w:rFonts w:asciiTheme="minorEastAsia" w:hAnsiTheme="minorEastAsia"/>
                <w:szCs w:val="21"/>
              </w:rPr>
            </w:pPr>
            <w:r>
              <w:rPr>
                <w:rFonts w:asciiTheme="minorEastAsia" w:hAnsiTheme="minorEastAsia"/>
                <w:szCs w:val="21"/>
              </w:rPr>
              <w:t>开启次数</w:t>
            </w:r>
          </w:p>
        </w:tc>
        <w:tc>
          <w:tcPr>
            <w:tcW w:w="2265" w:type="dxa"/>
            <w:shd w:val="clear" w:color="auto" w:fill="BDD6EE" w:themeFill="accent1" w:themeFillTint="66"/>
          </w:tcPr>
          <w:p>
            <w:pPr>
              <w:ind w:right="105" w:rightChars="50"/>
              <w:jc w:val="center"/>
              <w:rPr>
                <w:rFonts w:asciiTheme="minorEastAsia" w:hAnsiTheme="minorEastAsia"/>
                <w:szCs w:val="21"/>
              </w:rPr>
            </w:pPr>
            <w:r>
              <w:rPr>
                <w:rFonts w:asciiTheme="minorEastAsia" w:hAnsiTheme="minorEastAsia"/>
                <w:szCs w:val="21"/>
              </w:rPr>
              <w:t>单次最长工作时间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ind w:right="105" w:rightChars="50"/>
              <w:jc w:val="center"/>
              <w:rPr>
                <w:rFonts w:asciiTheme="minorEastAsia" w:hAnsiTheme="minorEastAsia"/>
                <w:szCs w:val="21"/>
              </w:rPr>
            </w:pPr>
            <w:r>
              <w:rPr>
                <w:rFonts w:hint="eastAsia" w:asciiTheme="minorEastAsia" w:hAnsiTheme="minorEastAsia"/>
                <w:szCs w:val="21"/>
              </w:rPr>
              <w:t>6</w:t>
            </w:r>
            <w:r>
              <w:rPr>
                <w:rFonts w:asciiTheme="minorEastAsia" w:hAnsiTheme="minorEastAsia"/>
                <w:szCs w:val="21"/>
              </w:rPr>
              <w:t>0N</w:t>
            </w:r>
          </w:p>
        </w:tc>
        <w:tc>
          <w:tcPr>
            <w:tcW w:w="2265" w:type="dxa"/>
          </w:tcPr>
          <w:p>
            <w:pPr>
              <w:ind w:right="105" w:rightChars="50"/>
              <w:jc w:val="center"/>
              <w:rPr>
                <w:rFonts w:asciiTheme="minorEastAsia" w:hAnsiTheme="minorEastAsia"/>
                <w:szCs w:val="21"/>
              </w:rPr>
            </w:pPr>
            <w:r>
              <w:rPr>
                <w:rFonts w:hint="eastAsia" w:asciiTheme="minorEastAsia" w:hAnsiTheme="minorEastAsia"/>
                <w:szCs w:val="21"/>
              </w:rPr>
              <w:t>&gt;</w:t>
            </w:r>
            <w:r>
              <w:rPr>
                <w:rFonts w:asciiTheme="minorEastAsia" w:hAnsiTheme="minorEastAsia"/>
                <w:szCs w:val="21"/>
              </w:rPr>
              <w:t>257s</w:t>
            </w:r>
          </w:p>
        </w:tc>
        <w:tc>
          <w:tcPr>
            <w:tcW w:w="2265" w:type="dxa"/>
          </w:tcPr>
          <w:p>
            <w:pPr>
              <w:ind w:right="105" w:rightChars="50"/>
              <w:jc w:val="center"/>
              <w:rPr>
                <w:rFonts w:asciiTheme="minorEastAsia" w:hAnsiTheme="minorEastAsia"/>
                <w:szCs w:val="21"/>
              </w:rPr>
            </w:pPr>
            <w:r>
              <w:rPr>
                <w:rFonts w:hint="eastAsia" w:asciiTheme="minorEastAsia" w:hAnsiTheme="minorEastAsia"/>
                <w:szCs w:val="21"/>
              </w:rPr>
              <w:t>3</w:t>
            </w:r>
            <w:r>
              <w:rPr>
                <w:rFonts w:asciiTheme="minorEastAsia" w:hAnsiTheme="minorEastAsia"/>
                <w:szCs w:val="21"/>
              </w:rPr>
              <w:t>000</w:t>
            </w:r>
          </w:p>
        </w:tc>
        <w:tc>
          <w:tcPr>
            <w:tcW w:w="2265" w:type="dxa"/>
          </w:tcPr>
          <w:p>
            <w:pPr>
              <w:ind w:right="105" w:rightChars="50"/>
              <w:jc w:val="cente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000s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ind w:right="105" w:rightChars="50"/>
              <w:jc w:val="cente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50N</w:t>
            </w:r>
          </w:p>
        </w:tc>
        <w:tc>
          <w:tcPr>
            <w:tcW w:w="2265" w:type="dxa"/>
          </w:tcPr>
          <w:p>
            <w:pPr>
              <w:ind w:right="105" w:rightChars="50"/>
              <w:jc w:val="center"/>
              <w:rPr>
                <w:rFonts w:asciiTheme="minorEastAsia" w:hAnsiTheme="minorEastAsia"/>
                <w:szCs w:val="21"/>
              </w:rPr>
            </w:pPr>
            <w:r>
              <w:rPr>
                <w:rFonts w:asciiTheme="minorEastAsia" w:hAnsiTheme="minorEastAsia"/>
                <w:szCs w:val="21"/>
              </w:rPr>
              <w:t>&gt;257s</w:t>
            </w:r>
          </w:p>
        </w:tc>
        <w:tc>
          <w:tcPr>
            <w:tcW w:w="2265" w:type="dxa"/>
          </w:tcPr>
          <w:p>
            <w:pPr>
              <w:ind w:right="105" w:rightChars="50"/>
              <w:jc w:val="center"/>
              <w:rPr>
                <w:rFonts w:asciiTheme="minorEastAsia" w:hAnsiTheme="minorEastAsia"/>
                <w:szCs w:val="21"/>
              </w:rPr>
            </w:pPr>
            <w:r>
              <w:rPr>
                <w:rFonts w:hint="eastAsia" w:asciiTheme="minorEastAsia" w:hAnsiTheme="minorEastAsia"/>
                <w:szCs w:val="21"/>
              </w:rPr>
              <w:t>3</w:t>
            </w:r>
            <w:r>
              <w:rPr>
                <w:rFonts w:asciiTheme="minorEastAsia" w:hAnsiTheme="minorEastAsia"/>
                <w:szCs w:val="21"/>
              </w:rPr>
              <w:t>000</w:t>
            </w:r>
          </w:p>
        </w:tc>
        <w:tc>
          <w:tcPr>
            <w:tcW w:w="2265" w:type="dxa"/>
          </w:tcPr>
          <w:p>
            <w:pPr>
              <w:ind w:right="105" w:rightChars="50"/>
              <w:jc w:val="center"/>
              <w:rPr>
                <w:rFonts w:asciiTheme="minorEastAsia" w:hAnsiTheme="minorEastAsia"/>
                <w:szCs w:val="21"/>
              </w:rPr>
            </w:pPr>
            <w:r>
              <w:rPr>
                <w:rFonts w:hint="eastAsia" w:asciiTheme="minorEastAsia" w:hAnsiTheme="minorEastAsia"/>
                <w:szCs w:val="21"/>
              </w:rPr>
              <w:t>3</w:t>
            </w:r>
            <w:r>
              <w:rPr>
                <w:rFonts w:asciiTheme="minorEastAsia" w:hAnsiTheme="minorEastAsia"/>
                <w:szCs w:val="21"/>
              </w:rPr>
              <w:t>00s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ind w:right="105" w:rightChars="50"/>
              <w:jc w:val="center"/>
              <w:rPr>
                <w:rFonts w:asciiTheme="minorEastAsia" w:hAnsiTheme="minorEastAsia"/>
                <w:szCs w:val="21"/>
              </w:rPr>
            </w:pPr>
            <w:r>
              <w:rPr>
                <w:rFonts w:hint="eastAsia" w:asciiTheme="minorEastAsia" w:hAnsiTheme="minorEastAsia"/>
                <w:szCs w:val="21"/>
              </w:rPr>
              <w:t>3</w:t>
            </w:r>
            <w:r>
              <w:rPr>
                <w:rFonts w:asciiTheme="minorEastAsia" w:hAnsiTheme="minorEastAsia"/>
                <w:szCs w:val="21"/>
              </w:rPr>
              <w:t>00N</w:t>
            </w:r>
          </w:p>
        </w:tc>
        <w:tc>
          <w:tcPr>
            <w:tcW w:w="2265" w:type="dxa"/>
          </w:tcPr>
          <w:p>
            <w:pPr>
              <w:ind w:right="105" w:rightChars="50"/>
              <w:jc w:val="center"/>
              <w:rPr>
                <w:rFonts w:asciiTheme="minorEastAsia" w:hAnsiTheme="minorEastAsia"/>
                <w:szCs w:val="21"/>
              </w:rPr>
            </w:pPr>
            <w:r>
              <w:rPr>
                <w:rFonts w:asciiTheme="minorEastAsia" w:hAnsiTheme="minorEastAsia"/>
                <w:szCs w:val="21"/>
              </w:rPr>
              <w:t>&gt;257s</w:t>
            </w:r>
          </w:p>
        </w:tc>
        <w:tc>
          <w:tcPr>
            <w:tcW w:w="2265" w:type="dxa"/>
          </w:tcPr>
          <w:p>
            <w:pPr>
              <w:ind w:right="105" w:rightChars="50"/>
              <w:jc w:val="center"/>
              <w:rPr>
                <w:rFonts w:asciiTheme="minorEastAsia" w:hAnsiTheme="minorEastAsia"/>
                <w:szCs w:val="21"/>
              </w:rPr>
            </w:pPr>
            <w:r>
              <w:rPr>
                <w:rFonts w:hint="eastAsia" w:asciiTheme="minorEastAsia" w:hAnsiTheme="minorEastAsia"/>
                <w:szCs w:val="21"/>
              </w:rPr>
              <w:t>3</w:t>
            </w:r>
            <w:r>
              <w:rPr>
                <w:rFonts w:asciiTheme="minorEastAsia" w:hAnsiTheme="minorEastAsia"/>
                <w:szCs w:val="21"/>
              </w:rPr>
              <w:t>000</w:t>
            </w:r>
          </w:p>
        </w:tc>
        <w:tc>
          <w:tcPr>
            <w:tcW w:w="2265" w:type="dxa"/>
          </w:tcPr>
          <w:p>
            <w:pPr>
              <w:ind w:right="105" w:rightChars="50"/>
              <w:jc w:val="center"/>
              <w:rPr>
                <w:rFonts w:asciiTheme="minorEastAsia" w:hAnsiTheme="minorEastAsia"/>
                <w:szCs w:val="21"/>
              </w:rPr>
            </w:pPr>
            <w:r>
              <w:rPr>
                <w:rFonts w:hint="eastAsia" w:asciiTheme="minorEastAsia" w:hAnsiTheme="minorEastAsia"/>
                <w:szCs w:val="21"/>
              </w:rPr>
              <w:t>3</w:t>
            </w:r>
            <w:r>
              <w:rPr>
                <w:rFonts w:asciiTheme="minorEastAsia" w:hAnsiTheme="minorEastAsia"/>
                <w:szCs w:val="21"/>
              </w:rPr>
              <w:t>00s</w:t>
            </w:r>
          </w:p>
        </w:tc>
      </w:tr>
    </w:tbl>
    <w:p>
      <w:pPr>
        <w:ind w:right="105" w:rightChars="50"/>
        <w:rPr>
          <w:rFonts w:ascii="黑体" w:hAnsi="黑体" w:eastAsia="黑体"/>
          <w:sz w:val="24"/>
          <w:szCs w:val="24"/>
        </w:rPr>
      </w:pPr>
    </w:p>
    <w:p>
      <w:pPr>
        <w:ind w:right="105" w:rightChars="50"/>
        <w:rPr>
          <w:rFonts w:ascii="黑体" w:hAnsi="黑体" w:eastAsia="黑体"/>
          <w:sz w:val="24"/>
          <w:szCs w:val="24"/>
        </w:rPr>
      </w:pPr>
    </w:p>
    <w:p>
      <w:pPr>
        <w:ind w:right="105" w:rightChars="50"/>
        <w:rPr>
          <w:rFonts w:ascii="黑体" w:hAnsi="黑体" w:eastAsia="黑体"/>
          <w:sz w:val="24"/>
          <w:szCs w:val="24"/>
        </w:rPr>
      </w:pPr>
      <w:r>
        <w:rPr>
          <w:rFonts w:hint="eastAsia" w:ascii="黑体" w:hAnsi="黑体" w:eastAsia="黑体"/>
          <w:sz w:val="24"/>
          <w:szCs w:val="24"/>
        </w:rPr>
        <w:t xml:space="preserve">1） 点火技术 气氧/煤油非自燃推进剂组合需要强制引燃点火，不同于火箭主发动机采用化学或火药一次点火，为实现真空环境下脉冲点火的可靠性，需采用电脉冲点火技术，同时要保护电嘴和喷注器不 被高温烧蚀，因此需采用可靠的点火结构并研制 适应于真空环境下工作的电点火器。 </w:t>
      </w:r>
    </w:p>
    <w:p>
      <w:pPr>
        <w:ind w:right="105" w:rightChars="50"/>
        <w:rPr>
          <w:rFonts w:ascii="黑体" w:hAnsi="黑体" w:eastAsia="黑体"/>
          <w:sz w:val="24"/>
          <w:szCs w:val="24"/>
        </w:rPr>
      </w:pPr>
      <w:r>
        <w:rPr>
          <w:rFonts w:hint="eastAsia" w:ascii="黑体" w:hAnsi="黑体" w:eastAsia="黑体"/>
          <w:sz w:val="24"/>
          <w:szCs w:val="24"/>
        </w:rPr>
        <w:t xml:space="preserve">2）  燃烧技术气氧/煤油为气/液推进剂组合，需采用合理的喷嘴方案实现煤油的良好雾化以及气、液双元工质的均匀混合，创造适宜的燃烧室流场维持高效燃烧。 </w:t>
      </w:r>
    </w:p>
    <w:p>
      <w:pPr>
        <w:ind w:right="105" w:rightChars="50"/>
        <w:rPr>
          <w:rFonts w:ascii="黑体" w:hAnsi="黑体" w:eastAsia="黑体"/>
          <w:sz w:val="24"/>
          <w:szCs w:val="24"/>
        </w:rPr>
      </w:pPr>
      <w:r>
        <w:rPr>
          <w:rFonts w:hint="eastAsia" w:ascii="黑体" w:hAnsi="黑体" w:eastAsia="黑体"/>
          <w:sz w:val="24"/>
          <w:szCs w:val="24"/>
        </w:rPr>
        <w:t>3）  冷却技术 气氧/煤油组合燃烧温度高，气氧对室壁形成 高速冲刷且氧化性强，煤油则易结焦产生积碳， 用其来冷却身部均存在较大的困难，所以我们采用了氧化剂气膜。</w:t>
      </w:r>
    </w:p>
    <w:p>
      <w:pPr>
        <w:ind w:right="105" w:rightChars="50"/>
        <w:rPr>
          <w:rFonts w:ascii="黑体" w:hAnsi="黑体" w:eastAsia="黑体"/>
          <w:sz w:val="24"/>
          <w:szCs w:val="24"/>
        </w:rPr>
      </w:pPr>
      <w:r>
        <w:rPr>
          <w:rFonts w:hint="eastAsia" w:ascii="黑体" w:hAnsi="黑体" w:eastAsia="黑体"/>
          <w:sz w:val="24"/>
          <w:szCs w:val="24"/>
        </w:rPr>
        <w:t>发动机采用电点火方案，为适应空间双元非自燃推进剂的点火需求，在工业点火器的基础上研制了低压半导体式轻小型航天电点火器，包括激励源、电缆及电嘴 3 部分。其工作 原理为：激励源将低压交流或直流电转变为直流脉冲电压，对贮能电容器充电，当电容器上电压升至电嘴上的放电管击穿电压时，在半导体电嘴间隙形成高能电弧火花。</w:t>
      </w:r>
    </w:p>
    <w:p>
      <w:pPr>
        <w:ind w:right="105" w:rightChars="50"/>
        <w:rPr>
          <w:rFonts w:ascii="黑体" w:hAnsi="黑体" w:eastAsia="黑体"/>
          <w:sz w:val="24"/>
          <w:szCs w:val="24"/>
        </w:rPr>
      </w:pPr>
      <w:r>
        <w:rPr>
          <w:rFonts w:hint="eastAsia" w:ascii="黑体" w:hAnsi="黑体" w:eastAsia="黑体"/>
          <w:sz w:val="24"/>
          <w:szCs w:val="24"/>
        </w:rPr>
        <w:t>燃烧技术气氧/煤油为气/液两相组合，其主喷嘴形式采用了典型的气/液同轴剪切式喷嘴，通过高速气流加强液相推进剂的雾化和混合，并通过初始 火炬点燃。 通过调整喷嘴参数，使其与点火喷嘴、冷 却结构达到了较好的匹配，得到了理想的燃烧性 能，在满足比冲 2 600 N·s/kg 要求的情况下保证 了燃烧室的壁面温度在可接受的范围内，实测身部壁面最高温度约1 300～1 400 ℃。</w:t>
      </w:r>
    </w:p>
    <w:p>
      <w:pPr>
        <w:ind w:right="105" w:rightChars="50"/>
        <w:rPr>
          <w:rFonts w:ascii="黑体" w:hAnsi="黑体" w:eastAsia="黑体"/>
          <w:sz w:val="24"/>
          <w:szCs w:val="24"/>
        </w:rPr>
      </w:pPr>
      <w:r>
        <w:rPr>
          <w:rFonts w:hint="eastAsia" w:ascii="黑体" w:hAnsi="黑体" w:eastAsia="黑体"/>
          <w:sz w:val="24"/>
          <w:szCs w:val="24"/>
        </w:rPr>
        <w:t>在国内这三种发动机试车工作时间累计都超过了2000s，启动和关机减速性分别为30ms和50ms，3 种推力发动机均通过脉冲试验考核：连续脉冲次数达到1000 次 ；累 计脉冲次数超过3 000 次；高空脉冲点火可靠性为 100%；脉冲宽 度 50 ～500 ms；脉冲间隔时间 60 ～500 ms；脉冲工作过程中脉冲波形一致性较好。</w:t>
      </w:r>
    </w:p>
    <w:p>
      <w:pPr>
        <w:ind w:right="105" w:rightChars="50"/>
        <w:rPr>
          <w:rFonts w:ascii="黑体" w:hAnsi="黑体" w:eastAsia="黑体"/>
          <w:sz w:val="24"/>
          <w:szCs w:val="24"/>
        </w:rPr>
      </w:pPr>
      <w:r>
        <w:rPr>
          <w:rFonts w:hint="eastAsia" w:ascii="黑体" w:hAnsi="黑体" w:eastAsia="黑体"/>
          <w:sz w:val="24"/>
          <w:szCs w:val="24"/>
        </w:rPr>
        <w:t>采用气氧煤油RCS发动机是无毒无污染高性能低成本的多脉冲快速响应的姿态发动机，可以实现着陆器的姿控发动机无毒化，同时兼容登陆器和上升器现有的主发动机燃料，提高了安全性和可靠性。</w:t>
      </w:r>
    </w:p>
    <w:p>
      <w:pPr>
        <w:spacing w:before="156" w:beforeLines="50" w:after="156" w:afterLines="50" w:line="360" w:lineRule="auto"/>
        <w:ind w:right="105" w:rightChars="50"/>
        <w:rPr>
          <w:rFonts w:ascii="黑体" w:hAnsi="黑体" w:eastAsia="黑体"/>
          <w:sz w:val="28"/>
          <w:szCs w:val="28"/>
        </w:rPr>
      </w:pPr>
      <w:r>
        <w:rPr>
          <w:rFonts w:hint="eastAsia" w:ascii="黑体" w:hAnsi="黑体" w:eastAsia="黑体"/>
          <w:sz w:val="28"/>
          <w:szCs w:val="28"/>
        </w:rPr>
        <w:t>3</w:t>
      </w:r>
      <w:r>
        <w:rPr>
          <w:rFonts w:ascii="黑体" w:hAnsi="黑体" w:eastAsia="黑体"/>
          <w:sz w:val="28"/>
          <w:szCs w:val="28"/>
        </w:rPr>
        <w:t>.7 着陆缓冲分系统</w:t>
      </w:r>
    </w:p>
    <w:p>
      <w:pPr>
        <w:ind w:right="105" w:rightChars="50"/>
        <w:rPr>
          <w:rFonts w:ascii="黑体" w:hAnsi="黑体" w:eastAsia="黑体"/>
          <w:sz w:val="24"/>
          <w:szCs w:val="24"/>
        </w:rPr>
      </w:pPr>
      <w:r>
        <w:rPr>
          <w:rFonts w:hint="eastAsia" w:ascii="黑体" w:hAnsi="黑体" w:eastAsia="黑体"/>
          <w:sz w:val="24"/>
          <w:szCs w:val="24"/>
        </w:rPr>
        <w:t>载人登月舱的设计应充分考虑载人的因素，在设计大载重着陆缓冲装置的基础上，突出低过载的特殊要求。着陆缓冲技术作为月球探测的关键技术</w:t>
      </w:r>
      <w:r>
        <w:rPr>
          <w:rFonts w:ascii="黑体" w:hAnsi="黑体" w:eastAsia="黑体"/>
          <w:sz w:val="24"/>
          <w:szCs w:val="24"/>
        </w:rPr>
        <w:t>[12]</w:t>
      </w:r>
      <w:r>
        <w:rPr>
          <w:rFonts w:hint="eastAsia" w:ascii="黑体" w:hAnsi="黑体" w:eastAsia="黑体"/>
          <w:sz w:val="24"/>
          <w:szCs w:val="24"/>
        </w:rPr>
        <w:t>，需要在限定着陆重量、着陆缓冲装置重量、着陆速度、着陆地形等因素的制约下，能够最大程度地降低登月舱加速度冲击过载值。此外，由于大载重载人登月舱的尺寸较大，对应的着陆缓冲装置的尺寸也会增加。在满足火箭整流罩尺寸空间的要求下，需要设计大展开收拢比的展开锁定机构。即在收拢状态下，展开锁定机构能够将着陆缓冲支腿收拢在限定区域内，待需要展开时再进行机构的展开和二次锁定。</w:t>
      </w:r>
    </w:p>
    <w:p>
      <w:pPr>
        <w:ind w:right="105" w:rightChars="50"/>
        <w:rPr>
          <w:rFonts w:ascii="黑体" w:hAnsi="黑体" w:eastAsia="黑体"/>
          <w:sz w:val="24"/>
          <w:szCs w:val="24"/>
        </w:rPr>
      </w:pPr>
      <w:r>
        <w:rPr>
          <w:rFonts w:hint="eastAsia" w:ascii="黑体" w:hAnsi="黑体" w:eastAsia="黑体"/>
          <w:sz w:val="24"/>
          <w:szCs w:val="24"/>
        </w:rPr>
        <w:t>着陆缓冲装置的构型设计是方案设计的基础，构型设计涉及支腿数量、支腿构型布局、收拢展开构型等环节，不同构型设计对应不同的设计方法。支腿数量决定了着陆舱稳定性，但同时影响整个着陆缓冲装置的重量，需要权衡两者的相互影响关系；支腿构</w:t>
      </w:r>
    </w:p>
    <w:p>
      <w:pPr>
        <w:ind w:right="105" w:rightChars="50"/>
        <w:rPr>
          <w:rFonts w:ascii="黑体" w:hAnsi="黑体" w:eastAsia="黑体"/>
          <w:sz w:val="24"/>
          <w:szCs w:val="24"/>
        </w:rPr>
      </w:pPr>
      <w:r>
        <w:rPr>
          <w:rFonts w:hint="eastAsia" w:ascii="黑体" w:hAnsi="黑体" w:eastAsia="黑体"/>
          <w:sz w:val="24"/>
          <w:szCs w:val="24"/>
        </w:rPr>
        <w:t>型分为“倒三角”和“悬臂”两种构型，各有优缺点，需要权衡传力路径、折叠收拢特性、缓冲后构型等特性影响；收拢展开构型分为内侧折叠收拢、内侧收缩收拢、侧向收缩收拢等类型，需要综合考虑展开收拢比和整流罩尺寸进行设计。故飞行器采用已经过实验验证的四支腿悬臂式内侧折叠收拢着陆缓冲装置方案。</w:t>
      </w:r>
    </w:p>
    <w:p>
      <w:pPr>
        <w:ind w:right="105" w:rightChars="50"/>
        <w:rPr>
          <w:rFonts w:ascii="黑体" w:hAnsi="黑体" w:eastAsia="黑体"/>
          <w:sz w:val="24"/>
          <w:szCs w:val="24"/>
        </w:rPr>
      </w:pPr>
      <w:r>
        <w:rPr>
          <w:rFonts w:hint="eastAsia" w:ascii="黑体" w:hAnsi="黑体" w:eastAsia="黑体"/>
          <w:sz w:val="24"/>
          <w:szCs w:val="24"/>
        </w:rPr>
        <w:drawing>
          <wp:inline distT="0" distB="0" distL="0" distR="0">
            <wp:extent cx="5759450" cy="19748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59450" cy="1975244"/>
                    </a:xfrm>
                    <a:prstGeom prst="rect">
                      <a:avLst/>
                    </a:prstGeom>
                    <a:noFill/>
                    <a:ln>
                      <a:noFill/>
                    </a:ln>
                  </pic:spPr>
                </pic:pic>
              </a:graphicData>
            </a:graphic>
          </wp:inline>
        </w:drawing>
      </w:r>
    </w:p>
    <w:p>
      <w:pPr>
        <w:ind w:right="105" w:rightChars="50"/>
        <w:jc w:val="center"/>
        <w:rPr>
          <w:rFonts w:ascii="黑体" w:hAnsi="黑体" w:eastAsia="黑体"/>
          <w:sz w:val="24"/>
          <w:szCs w:val="24"/>
        </w:rPr>
      </w:pPr>
      <w:r>
        <w:rPr>
          <w:rFonts w:hint="eastAsia" w:ascii="黑体" w:hAnsi="黑体" w:eastAsia="黑体"/>
          <w:sz w:val="24"/>
          <w:szCs w:val="24"/>
        </w:rPr>
        <w:t>图3</w:t>
      </w:r>
      <w:r>
        <w:rPr>
          <w:rFonts w:ascii="黑体" w:hAnsi="黑体" w:eastAsia="黑体"/>
          <w:sz w:val="24"/>
          <w:szCs w:val="24"/>
        </w:rPr>
        <w:t>.7</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，着陆缓冲装置构型图</w:t>
      </w:r>
    </w:p>
    <w:p>
      <w:pPr>
        <w:ind w:right="105" w:rightChars="50"/>
        <w:jc w:val="center"/>
        <w:rPr>
          <w:rFonts w:ascii="黑体" w:hAnsi="黑体" w:eastAsia="黑体"/>
          <w:sz w:val="24"/>
          <w:szCs w:val="24"/>
        </w:rPr>
      </w:pPr>
    </w:p>
    <w:p>
      <w:pPr>
        <w:spacing w:before="156" w:beforeLines="50" w:after="156" w:afterLines="50" w:line="360" w:lineRule="auto"/>
        <w:ind w:right="105" w:rightChars="50"/>
        <w:rPr>
          <w:rFonts w:ascii="黑体" w:hAnsi="黑体" w:eastAsia="黑体"/>
          <w:sz w:val="28"/>
          <w:szCs w:val="28"/>
        </w:rPr>
      </w:pPr>
      <w:r>
        <w:rPr>
          <w:rFonts w:hint="eastAsia" w:ascii="黑体" w:hAnsi="黑体" w:eastAsia="黑体"/>
          <w:sz w:val="28"/>
          <w:szCs w:val="28"/>
        </w:rPr>
        <w:t>3</w:t>
      </w:r>
      <w:r>
        <w:rPr>
          <w:rFonts w:ascii="黑体" w:hAnsi="黑体" w:eastAsia="黑体"/>
          <w:sz w:val="28"/>
          <w:szCs w:val="28"/>
        </w:rPr>
        <w:t>.8 分离分系统</w:t>
      </w:r>
    </w:p>
    <w:p>
      <w:pPr>
        <w:rPr>
          <w:rFonts w:ascii="黑体" w:hAnsi="黑体" w:eastAsia="黑体" w:cs="宋体"/>
          <w:kern w:val="0"/>
          <w:sz w:val="24"/>
          <w:szCs w:val="24"/>
          <w:lang w:bidi="ar"/>
        </w:rPr>
      </w:pPr>
      <w:r>
        <w:rPr>
          <w:rFonts w:hint="eastAsia" w:ascii="黑体" w:hAnsi="黑体" w:eastAsia="黑体" w:cs="Times New Roman"/>
          <w:sz w:val="24"/>
          <w:szCs w:val="24"/>
        </w:rPr>
        <w:t>飞行器分为着陆下降的载人登月舱与上升返回的登月返回舱两部分。在下降登月时，两者是</w:t>
      </w:r>
      <w:r>
        <w:rPr>
          <w:rFonts w:hint="eastAsia" w:ascii="黑体" w:hAnsi="黑体" w:eastAsia="黑体" w:cs="宋体"/>
          <w:kern w:val="0"/>
          <w:sz w:val="24"/>
          <w:szCs w:val="24"/>
          <w:lang w:bidi="ar"/>
        </w:rPr>
        <w:t>通过机械</w:t>
      </w:r>
      <w:r>
        <w:rPr>
          <w:rFonts w:ascii="黑体" w:hAnsi="黑体" w:eastAsia="黑体" w:cs="宋体"/>
          <w:kern w:val="0"/>
          <w:sz w:val="24"/>
          <w:szCs w:val="24"/>
          <w:lang w:bidi="ar"/>
        </w:rPr>
        <w:t>连接形成一个整体结构</w:t>
      </w:r>
      <w:r>
        <w:rPr>
          <w:rFonts w:hint="eastAsia" w:ascii="黑体" w:hAnsi="黑体" w:eastAsia="黑体" w:cs="宋体"/>
          <w:kern w:val="0"/>
          <w:sz w:val="24"/>
          <w:szCs w:val="24"/>
          <w:lang w:bidi="ar"/>
        </w:rPr>
        <w:t>；当上升返回时，上部登月返回舱将与下部载人登月舱断开。对于这种断开，除了涉及到机械连接外，同时涉及到下部载人登月舱的水和氧气、输送给环境控制系统的气体、液体通道并且提供冷却液的循环回路。因此返回前分离时不仅仅需要解除机械连接还要切断连接电缆、断开气体和液体连接通道而且需要对液体通道断面处进行密封。而由分析我国“嫦娥”三期及“阿波罗”工程均采用爆炸螺点火栓断开机械连接来看，这次我们设计的分离方法也要由爆炸螺栓控制。</w:t>
      </w:r>
    </w:p>
    <w:p>
      <w:pPr>
        <w:rPr>
          <w:rFonts w:ascii="黑体" w:hAnsi="黑体" w:eastAsia="黑体" w:cs="宋体"/>
          <w:kern w:val="0"/>
          <w:sz w:val="24"/>
          <w:szCs w:val="24"/>
          <w:lang w:bidi="ar"/>
        </w:rPr>
      </w:pPr>
      <w:r>
        <w:rPr>
          <w:rFonts w:hint="eastAsia" w:ascii="黑体" w:hAnsi="黑体" w:eastAsia="黑体" w:cs="宋体"/>
          <w:kern w:val="0"/>
          <w:sz w:val="24"/>
          <w:szCs w:val="24"/>
          <w:lang w:bidi="ar"/>
        </w:rPr>
        <w:t>因此，选取的爆炸螺栓要满足登月和返回的全过程。同时由于处于外层空间，温差变化大，故对于此时的爆炸螺栓需要满足通道承载能力大、结构简单.工作可靠、使用方便的优点。</w:t>
      </w:r>
    </w:p>
    <w:p>
      <w:pPr>
        <w:rPr>
          <w:rFonts w:ascii="黑体" w:hAnsi="黑体" w:eastAsia="黑体" w:cs="宋体"/>
          <w:kern w:val="0"/>
          <w:sz w:val="24"/>
          <w:szCs w:val="24"/>
          <w:lang w:bidi="ar"/>
        </w:rPr>
      </w:pPr>
      <w:r>
        <w:rPr>
          <w:rFonts w:hint="eastAsia" w:ascii="黑体" w:hAnsi="黑体" w:eastAsia="黑体" w:cs="宋体"/>
          <w:kern w:val="0"/>
          <w:sz w:val="24"/>
          <w:szCs w:val="24"/>
          <w:lang w:bidi="ar"/>
        </w:rPr>
        <w:t>首先对于切断连接电缆时，可以在每电缆线连段之间采用多（4-6）个爆炸螺栓连接，同时对于整个截面而言，可以如这样排列：</w:t>
      </w:r>
    </w:p>
    <w:p>
      <w:pPr>
        <w:rPr>
          <w:rFonts w:ascii="黑体" w:hAnsi="黑体" w:eastAsia="黑体" w:cs="宋体"/>
          <w:kern w:val="0"/>
          <w:sz w:val="24"/>
          <w:szCs w:val="24"/>
          <w:lang w:bidi="ar"/>
        </w:rPr>
      </w:pPr>
      <w:r>
        <w:rPr>
          <w:rFonts w:ascii="黑体" w:hAnsi="黑体" w:eastAsia="黑体" w:cs="宋体"/>
          <w:kern w:val="0"/>
          <w:sz w:val="24"/>
          <w:szCs w:val="24"/>
        </w:rPr>
        <w:drawing>
          <wp:inline distT="0" distB="0" distL="0" distR="0">
            <wp:extent cx="5285740" cy="2618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85740" cy="2618740"/>
                    </a:xfrm>
                    <a:prstGeom prst="rect">
                      <a:avLst/>
                    </a:prstGeom>
                    <a:noFill/>
                  </pic:spPr>
                </pic:pic>
              </a:graphicData>
            </a:graphic>
          </wp:inline>
        </w:drawing>
      </w:r>
    </w:p>
    <w:p>
      <w:pPr>
        <w:rPr>
          <w:rFonts w:ascii="黑体" w:hAnsi="黑体" w:eastAsia="黑体" w:cs="宋体"/>
          <w:kern w:val="0"/>
          <w:sz w:val="24"/>
          <w:szCs w:val="24"/>
          <w:lang w:bidi="ar"/>
        </w:rPr>
      </w:pPr>
      <w:r>
        <w:rPr>
          <w:rFonts w:ascii="黑体" w:hAnsi="黑体" w:eastAsia="黑体" w:cs="宋体"/>
          <w:kern w:val="0"/>
          <w:sz w:val="24"/>
          <w:szCs w:val="24"/>
        </w:rPr>
        <w:drawing>
          <wp:inline distT="0" distB="0" distL="0" distR="0">
            <wp:extent cx="2095500" cy="17049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704975"/>
                    </a:xfrm>
                    <a:prstGeom prst="rect">
                      <a:avLst/>
                    </a:prstGeom>
                    <a:noFill/>
                  </pic:spPr>
                </pic:pic>
              </a:graphicData>
            </a:graphic>
          </wp:inline>
        </w:drawing>
      </w:r>
      <w:r>
        <w:rPr>
          <w:rFonts w:ascii="黑体" w:hAnsi="黑体" w:eastAsia="黑体" w:cs="宋体"/>
          <w:kern w:val="0"/>
          <w:sz w:val="24"/>
          <w:szCs w:val="24"/>
        </w:rPr>
        <w:drawing>
          <wp:inline distT="0" distB="0" distL="0" distR="0">
            <wp:extent cx="2276475" cy="17145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76475" cy="1714500"/>
                    </a:xfrm>
                    <a:prstGeom prst="rect">
                      <a:avLst/>
                    </a:prstGeom>
                    <a:noFill/>
                  </pic:spPr>
                </pic:pic>
              </a:graphicData>
            </a:graphic>
          </wp:inline>
        </w:drawing>
      </w:r>
    </w:p>
    <w:p>
      <w:pPr>
        <w:rPr>
          <w:rFonts w:ascii="黑体" w:hAnsi="黑体" w:eastAsia="黑体" w:cs="宋体"/>
          <w:kern w:val="0"/>
          <w:sz w:val="24"/>
          <w:szCs w:val="24"/>
          <w:lang w:bidi="ar"/>
        </w:rPr>
      </w:pPr>
      <w:r>
        <w:rPr>
          <w:rFonts w:hint="eastAsia" w:ascii="黑体" w:hAnsi="黑体" w:eastAsia="黑体" w:cs="宋体"/>
          <w:kern w:val="0"/>
          <w:sz w:val="24"/>
          <w:szCs w:val="24"/>
          <w:lang w:bidi="ar"/>
        </w:rPr>
        <w:t>接着此时应该注意以下的关键技术:</w:t>
      </w:r>
    </w:p>
    <w:p>
      <w:pPr>
        <w:numPr>
          <w:ilvl w:val="0"/>
          <w:numId w:val="1"/>
        </w:numPr>
        <w:jc w:val="left"/>
        <w:rPr>
          <w:rFonts w:ascii="黑体" w:hAnsi="黑体" w:eastAsia="黑体" w:cs="宋体"/>
          <w:kern w:val="0"/>
          <w:sz w:val="24"/>
          <w:szCs w:val="24"/>
          <w:lang w:bidi="ar"/>
        </w:rPr>
      </w:pPr>
      <w:r>
        <w:rPr>
          <w:rFonts w:hint="eastAsia" w:ascii="黑体" w:hAnsi="黑体" w:eastAsia="黑体" w:cs="宋体"/>
          <w:kern w:val="0"/>
          <w:sz w:val="24"/>
          <w:szCs w:val="24"/>
          <w:lang w:bidi="ar"/>
        </w:rPr>
        <w:t>由于每组都至少有两枚爆炸螺栓，故此时应分别由不同的电路控制点火操作，且只要其中一个爆炸就能保证分开。</w:t>
      </w:r>
    </w:p>
    <w:p>
      <w:pPr>
        <w:ind w:firstLine="420"/>
        <w:jc w:val="left"/>
        <w:rPr>
          <w:rFonts w:ascii="黑体" w:hAnsi="黑体" w:eastAsia="黑体" w:cs="宋体"/>
          <w:kern w:val="0"/>
          <w:sz w:val="24"/>
          <w:szCs w:val="24"/>
          <w:lang w:bidi="ar"/>
        </w:rPr>
      </w:pPr>
      <w:r>
        <w:rPr>
          <w:rFonts w:hint="eastAsia" w:ascii="黑体" w:hAnsi="黑体" w:eastAsia="黑体" w:cs="宋体"/>
          <w:kern w:val="0"/>
          <w:sz w:val="24"/>
          <w:szCs w:val="24"/>
          <w:lang w:bidi="ar"/>
        </w:rPr>
        <w:t>逻辑示意图可为此:</w:t>
      </w:r>
    </w:p>
    <w:p>
      <w:pPr>
        <w:ind w:firstLine="420"/>
        <w:jc w:val="center"/>
        <w:rPr>
          <w:rFonts w:ascii="黑体" w:hAnsi="黑体" w:eastAsia="黑体" w:cs="宋体"/>
          <w:kern w:val="0"/>
          <w:sz w:val="24"/>
          <w:szCs w:val="24"/>
          <w:lang w:bidi="ar"/>
        </w:rPr>
      </w:pPr>
      <w:r>
        <w:rPr>
          <w:rFonts w:ascii="黑体" w:hAnsi="黑体" w:eastAsia="黑体" w:cs="宋体"/>
          <w:kern w:val="0"/>
          <w:sz w:val="24"/>
          <w:szCs w:val="24"/>
        </w:rPr>
        <w:drawing>
          <wp:inline distT="0" distB="0" distL="0" distR="0">
            <wp:extent cx="2533650" cy="43618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33650" cy="4361815"/>
                    </a:xfrm>
                    <a:prstGeom prst="rect">
                      <a:avLst/>
                    </a:prstGeom>
                    <a:noFill/>
                  </pic:spPr>
                </pic:pic>
              </a:graphicData>
            </a:graphic>
          </wp:inline>
        </w:drawing>
      </w:r>
    </w:p>
    <w:p>
      <w:pPr>
        <w:ind w:firstLine="420"/>
        <w:jc w:val="center"/>
        <w:rPr>
          <w:rFonts w:ascii="黑体" w:hAnsi="黑体" w:eastAsia="黑体" w:cs="宋体"/>
          <w:kern w:val="0"/>
          <w:sz w:val="24"/>
          <w:szCs w:val="24"/>
          <w:lang w:bidi="ar"/>
        </w:rPr>
      </w:pPr>
    </w:p>
    <w:p>
      <w:pPr>
        <w:ind w:right="105" w:rightChars="50"/>
        <w:rPr>
          <w:rFonts w:ascii="黑体" w:hAnsi="黑体" w:eastAsia="黑体"/>
          <w:sz w:val="24"/>
          <w:szCs w:val="24"/>
        </w:rPr>
      </w:pPr>
      <w:r>
        <w:rPr>
          <w:rFonts w:hint="eastAsia" w:ascii="黑体" w:hAnsi="黑体" w:eastAsia="黑体"/>
          <w:sz w:val="24"/>
          <w:szCs w:val="24"/>
        </w:rPr>
        <w:t>2）分离时，螺栓的爆炸装置同时点火以增大两者分离的可靠性，同时水和氧气，气体和液体连接通道，必须在分离反应时间15毫秒以内完成密封。</w:t>
      </w:r>
    </w:p>
    <w:p>
      <w:pPr>
        <w:ind w:right="105" w:rightChars="50"/>
        <w:rPr>
          <w:rFonts w:ascii="黑体" w:hAnsi="黑体" w:eastAsia="黑体"/>
          <w:sz w:val="24"/>
          <w:szCs w:val="24"/>
        </w:rPr>
      </w:pPr>
      <w:r>
        <w:rPr>
          <w:rFonts w:hint="eastAsia" w:ascii="黑体" w:hAnsi="黑体" w:eastAsia="黑体"/>
          <w:sz w:val="24"/>
          <w:szCs w:val="24"/>
        </w:rPr>
        <w:t>3)保证爆炸螺栓断开时残骸不伤及周围的结构和登月返回舱内乘员的生命安全，必要时应相应地设置保护结构特别是乘员舱。如，出现中间舱为压力容器其结构遭到损坏时将发生气体泄露，此时无法给航天员提供合适的压力环境。</w:t>
      </w:r>
    </w:p>
    <w:p>
      <w:pPr>
        <w:ind w:right="105" w:rightChars="50"/>
        <w:rPr>
          <w:rFonts w:ascii="黑体" w:hAnsi="黑体" w:eastAsia="黑体"/>
          <w:sz w:val="24"/>
          <w:szCs w:val="24"/>
        </w:rPr>
      </w:pPr>
      <w:r>
        <w:rPr>
          <w:rFonts w:hint="eastAsia" w:ascii="黑体" w:hAnsi="黑体" w:eastAsia="黑体"/>
          <w:sz w:val="24"/>
          <w:szCs w:val="24"/>
        </w:rPr>
        <w:t>最后，同时可以考虑无污染的方面。清洁无污染可以减少火药残留，防止残余火药引发线路的问题。示意图可如下：</w:t>
      </w:r>
    </w:p>
    <w:p>
      <w:pPr>
        <w:ind w:right="105" w:rightChars="50"/>
        <w:rPr>
          <w:rFonts w:ascii="黑体" w:hAnsi="黑体" w:eastAsia="黑体"/>
          <w:sz w:val="24"/>
          <w:szCs w:val="24"/>
        </w:rPr>
      </w:pPr>
    </w:p>
    <w:p>
      <w:pPr>
        <w:ind w:right="105" w:rightChars="50"/>
        <w:jc w:val="center"/>
        <w:rPr>
          <w:rFonts w:ascii="黑体" w:hAnsi="黑体" w:eastAsia="黑体"/>
          <w:sz w:val="24"/>
          <w:szCs w:val="24"/>
        </w:rPr>
      </w:pPr>
      <w:r>
        <w:rPr>
          <w:rFonts w:ascii="黑体" w:hAnsi="黑体" w:eastAsia="黑体"/>
          <w:sz w:val="24"/>
          <w:szCs w:val="24"/>
        </w:rPr>
        <w:drawing>
          <wp:inline distT="0" distB="0" distL="0" distR="0">
            <wp:extent cx="5285740" cy="1876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85740" cy="1876425"/>
                    </a:xfrm>
                    <a:prstGeom prst="rect">
                      <a:avLst/>
                    </a:prstGeom>
                    <a:noFill/>
                  </pic:spPr>
                </pic:pic>
              </a:graphicData>
            </a:graphic>
          </wp:inline>
        </w:drawing>
      </w:r>
    </w:p>
    <w:p>
      <w:pPr>
        <w:ind w:right="105" w:rightChars="50"/>
        <w:jc w:val="center"/>
        <w:rPr>
          <w:rFonts w:ascii="黑体" w:hAnsi="黑体" w:eastAsia="黑体"/>
          <w:sz w:val="24"/>
          <w:szCs w:val="24"/>
        </w:rPr>
      </w:pPr>
      <w:r>
        <w:rPr>
          <w:rFonts w:ascii="黑体" w:hAnsi="黑体" w:eastAsia="黑体"/>
          <w:sz w:val="24"/>
          <w:szCs w:val="24"/>
        </w:rPr>
        <w:drawing>
          <wp:inline distT="0" distB="0" distL="0" distR="0">
            <wp:extent cx="4666615" cy="187642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66615" cy="1876425"/>
                    </a:xfrm>
                    <a:prstGeom prst="rect">
                      <a:avLst/>
                    </a:prstGeom>
                    <a:noFill/>
                  </pic:spPr>
                </pic:pic>
              </a:graphicData>
            </a:graphic>
          </wp:inline>
        </w:drawing>
      </w:r>
    </w:p>
    <w:p>
      <w:pPr>
        <w:spacing w:before="156" w:beforeLines="50" w:after="156" w:afterLines="50" w:line="360" w:lineRule="auto"/>
        <w:ind w:right="105" w:rightChars="50"/>
        <w:rPr>
          <w:rFonts w:ascii="黑体" w:hAnsi="黑体" w:eastAsia="黑体"/>
          <w:sz w:val="30"/>
          <w:szCs w:val="30"/>
        </w:rPr>
      </w:pPr>
      <w:r>
        <w:rPr>
          <w:rFonts w:hint="eastAsia" w:ascii="黑体" w:hAnsi="黑体" w:eastAsia="黑体"/>
          <w:sz w:val="30"/>
          <w:szCs w:val="30"/>
        </w:rPr>
        <w:t>4</w:t>
      </w:r>
      <w:r>
        <w:rPr>
          <w:rFonts w:ascii="黑体" w:hAnsi="黑体" w:eastAsia="黑体"/>
          <w:sz w:val="30"/>
          <w:szCs w:val="30"/>
        </w:rPr>
        <w:t xml:space="preserve"> 发展展望</w:t>
      </w:r>
    </w:p>
    <w:p>
      <w:pPr>
        <w:ind w:right="105" w:rightChars="50"/>
        <w:rPr>
          <w:rFonts w:ascii="黑体" w:hAnsi="黑体" w:eastAsia="黑体"/>
          <w:sz w:val="24"/>
          <w:szCs w:val="24"/>
        </w:rPr>
      </w:pPr>
      <w:r>
        <w:rPr>
          <w:rFonts w:ascii="黑体" w:hAnsi="黑体" w:eastAsia="黑体"/>
          <w:sz w:val="24"/>
          <w:szCs w:val="24"/>
        </w:rPr>
        <w:t>在该方案中</w:t>
      </w:r>
      <w:r>
        <w:rPr>
          <w:rFonts w:hint="eastAsia" w:ascii="黑体" w:hAnsi="黑体" w:eastAsia="黑体"/>
          <w:sz w:val="24"/>
          <w:szCs w:val="24"/>
        </w:rPr>
        <w:t>，飞行器为一次性设计，还可以通过加装太阳能电池翼来延长月面停留时间。但是在未来，可能月球空间站建成后，航天员可通过空间站登陆月面。此时两级式的载人登月飞行器便失去了其大部分的存在意义。为了使该飞行器方案的生命力更加持久。可以将此方案中的飞行器改为单级的、用于月球空间站的载人登月飞行器。由于下降级采用空间桁架结构，使其在设计上就拥有了模块化的潜力。我们可以参考</w:t>
      </w:r>
      <w:r>
        <w:rPr>
          <w:rFonts w:ascii="Times New Roman" w:hAnsi="Times New Roman" w:eastAsia="黑体" w:cs="Times New Roman"/>
          <w:sz w:val="24"/>
          <w:szCs w:val="24"/>
        </w:rPr>
        <w:t>Altair</w:t>
      </w:r>
      <w:r>
        <w:rPr>
          <w:rFonts w:hint="eastAsia" w:ascii="黑体" w:hAnsi="黑体" w:eastAsia="黑体"/>
          <w:sz w:val="24"/>
          <w:szCs w:val="24"/>
        </w:rPr>
        <w:t>登月舱的模块化设计保留下降段原有基本设计，取消上升段，将其载人舱挪到下降段。调整下降段燃料质量，使其具备单级往返月球空间站的能力。或者将载人仓换成加压货仓，并在加压货仓外的下降段表面设置非加压货物挂点，形成一型月面货运着陆与上升飞行器的设计方案，并可有全加压、半全加压半非加压、全非加压三种货运飞行器模块化设计，进一步拓展着陆飞行器发展型谱，为我国进一步的月球资源开发利用事业持续做出贡献。</w:t>
      </w:r>
    </w:p>
    <w:p>
      <w:pPr>
        <w:ind w:right="105" w:rightChars="50"/>
        <w:rPr>
          <w:rFonts w:ascii="黑体" w:hAnsi="黑体" w:eastAsia="黑体"/>
          <w:sz w:val="24"/>
          <w:szCs w:val="24"/>
        </w:rPr>
      </w:pPr>
      <w:r>
        <w:rPr>
          <w:rFonts w:ascii="黑体" w:hAnsi="黑体" w:eastAsia="黑体"/>
          <w:sz w:val="24"/>
          <w:szCs w:val="24"/>
        </w:rPr>
        <w:pict>
          <v:shape id="_x0000_i1029" o:spt="75" type="#_x0000_t75" style="height:204pt;width:453pt;" filled="f" o:preferrelative="t" stroked="f" coordsize="21600,21600">
            <v:path/>
            <v:fill on="f" focussize="0,0"/>
            <v:stroke on="f" joinstyle="miter"/>
            <v:imagedata r:id="rId17" o:title="Untitled1"/>
            <o:lock v:ext="edit" aspectratio="t"/>
            <w10:wrap type="none"/>
            <w10:anchorlock/>
          </v:shape>
        </w:pict>
      </w:r>
    </w:p>
    <w:p>
      <w:pPr>
        <w:ind w:right="105" w:rightChars="50"/>
        <w:jc w:val="center"/>
        <w:rPr>
          <w:rFonts w:ascii="黑体" w:hAnsi="黑体" w:eastAsia="黑体"/>
          <w:sz w:val="24"/>
          <w:szCs w:val="24"/>
        </w:rPr>
      </w:pPr>
      <w:r>
        <w:rPr>
          <w:rFonts w:ascii="黑体" w:hAnsi="黑体" w:eastAsia="黑体"/>
          <w:sz w:val="24"/>
          <w:szCs w:val="24"/>
        </w:rPr>
        <w:t>图</w:t>
      </w:r>
      <w:r>
        <w:rPr>
          <w:rFonts w:hint="eastAsia" w:ascii="黑体" w:hAnsi="黑体" w:eastAsia="黑体"/>
          <w:sz w:val="24"/>
          <w:szCs w:val="24"/>
        </w:rPr>
        <w:t>4</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飞行器着陆想象图</w:t>
      </w:r>
    </w:p>
    <w:p>
      <w:pPr>
        <w:spacing w:before="156" w:beforeLines="50" w:after="156" w:afterLines="50" w:line="360" w:lineRule="auto"/>
        <w:rPr>
          <w:rFonts w:ascii="黑体" w:hAnsi="黑体" w:eastAsia="黑体"/>
          <w:sz w:val="28"/>
          <w:szCs w:val="28"/>
        </w:rPr>
      </w:pPr>
      <w:r>
        <w:rPr>
          <w:rFonts w:ascii="黑体" w:hAnsi="黑体" w:eastAsia="黑体"/>
          <w:sz w:val="28"/>
          <w:szCs w:val="28"/>
        </w:rPr>
        <w:t>参考文献</w:t>
      </w:r>
    </w:p>
    <w:p>
      <w:pPr>
        <w:rPr>
          <w:rFonts w:asciiTheme="minorEastAsia" w:hAnsiTheme="minorEastAsia"/>
          <w:sz w:val="24"/>
          <w:szCs w:val="24"/>
        </w:rPr>
      </w:pPr>
      <w:r>
        <w:rPr>
          <w:rFonts w:hint="eastAsia" w:asciiTheme="minorEastAsia" w:hAnsiTheme="minorEastAsia"/>
          <w:sz w:val="24"/>
          <w:szCs w:val="24"/>
        </w:rPr>
        <w:t>许宏博，吉林，金盛宇，王爱玲.气氧/煤油无毒姿控发动机技术研究</w:t>
      </w:r>
      <w:r>
        <w:rPr>
          <w:rFonts w:asciiTheme="minorEastAsia" w:hAnsiTheme="minorEastAsia"/>
          <w:sz w:val="24"/>
          <w:szCs w:val="24"/>
        </w:rPr>
        <w:t>[J].</w:t>
      </w:r>
      <w:r>
        <w:rPr>
          <w:rFonts w:hint="eastAsia" w:asciiTheme="minorEastAsia" w:hAnsiTheme="minorEastAsia"/>
        </w:rPr>
        <w:t xml:space="preserve"> </w:t>
      </w:r>
      <w:r>
        <w:rPr>
          <w:rFonts w:hint="eastAsia" w:asciiTheme="minorEastAsia" w:hAnsiTheme="minorEastAsia"/>
          <w:sz w:val="24"/>
          <w:szCs w:val="24"/>
        </w:rPr>
        <w:t>火箭推进</w:t>
      </w:r>
      <w:r>
        <w:rPr>
          <w:rFonts w:asciiTheme="minorEastAsia" w:hAnsiTheme="minorEastAsia"/>
          <w:sz w:val="24"/>
          <w:szCs w:val="24"/>
        </w:rPr>
        <w:t>,2015(5):13-16,28</w:t>
      </w:r>
    </w:p>
    <w:p>
      <w:pPr>
        <w:rPr>
          <w:rFonts w:asciiTheme="minorEastAsia" w:hAnsiTheme="minorEastAsia"/>
          <w:sz w:val="24"/>
          <w:szCs w:val="24"/>
        </w:rPr>
      </w:pPr>
      <w:r>
        <w:rPr>
          <w:rFonts w:hint="eastAsia" w:asciiTheme="minorEastAsia" w:hAnsiTheme="minorEastAsia"/>
          <w:sz w:val="24"/>
          <w:szCs w:val="24"/>
        </w:rPr>
        <w:t>王永滨，蒋万松，王磊，黄伟.</w:t>
      </w:r>
      <w:r>
        <w:rPr>
          <w:rFonts w:hint="eastAsia" w:asciiTheme="minorEastAsia" w:hAnsiTheme="minorEastAsia"/>
        </w:rPr>
        <w:t xml:space="preserve"> </w:t>
      </w:r>
      <w:r>
        <w:rPr>
          <w:rFonts w:hint="eastAsia" w:asciiTheme="minorEastAsia" w:hAnsiTheme="minorEastAsia"/>
          <w:sz w:val="24"/>
          <w:szCs w:val="24"/>
        </w:rPr>
        <w:t>载人登月舱月面着陆缓冲装置设计与研制</w:t>
      </w:r>
      <w:r>
        <w:rPr>
          <w:rFonts w:asciiTheme="minorEastAsia" w:hAnsiTheme="minorEastAsia"/>
          <w:sz w:val="24"/>
          <w:szCs w:val="24"/>
        </w:rPr>
        <w:t>[J].</w:t>
      </w:r>
      <w:r>
        <w:rPr>
          <w:rFonts w:hint="eastAsia" w:asciiTheme="minorEastAsia" w:hAnsiTheme="minorEastAsia"/>
        </w:rPr>
        <w:t xml:space="preserve"> </w:t>
      </w:r>
      <w:r>
        <w:rPr>
          <w:rFonts w:hint="eastAsia" w:asciiTheme="minorEastAsia" w:hAnsiTheme="minorEastAsia"/>
          <w:sz w:val="24"/>
          <w:szCs w:val="24"/>
        </w:rPr>
        <w:t>深空探测学报.</w:t>
      </w:r>
      <w:r>
        <w:rPr>
          <w:rFonts w:asciiTheme="minorEastAsia" w:hAnsiTheme="minorEastAsia"/>
          <w:sz w:val="24"/>
          <w:szCs w:val="24"/>
        </w:rPr>
        <w:t>2016(3):263-267</w:t>
      </w:r>
    </w:p>
    <w:p>
      <w:pPr>
        <w:rPr>
          <w:rFonts w:asciiTheme="minorEastAsia" w:hAnsiTheme="minorEastAsia"/>
          <w:sz w:val="24"/>
          <w:szCs w:val="24"/>
        </w:rPr>
      </w:pPr>
      <w:r>
        <w:rPr>
          <w:rFonts w:hint="eastAsia" w:asciiTheme="minorEastAsia" w:hAnsiTheme="minorEastAsia"/>
          <w:sz w:val="24"/>
          <w:szCs w:val="24"/>
        </w:rPr>
        <w:t>胡建平, 刘云阁, 唐军, 雷厉.</w:t>
      </w:r>
      <w:r>
        <w:rPr>
          <w:rFonts w:hint="eastAsia" w:asciiTheme="minorEastAsia" w:hAnsiTheme="minorEastAsia"/>
        </w:rPr>
        <w:t xml:space="preserve"> </w:t>
      </w:r>
      <w:r>
        <w:rPr>
          <w:rFonts w:hint="eastAsia" w:asciiTheme="minorEastAsia" w:hAnsiTheme="minorEastAsia"/>
          <w:sz w:val="24"/>
          <w:szCs w:val="24"/>
        </w:rPr>
        <w:t>载人登月测控通信系统发展展望</w:t>
      </w:r>
      <w:r>
        <w:rPr>
          <w:rFonts w:asciiTheme="minorEastAsia" w:hAnsiTheme="minorEastAsia"/>
          <w:sz w:val="24"/>
          <w:szCs w:val="24"/>
        </w:rPr>
        <w:t>[J].</w:t>
      </w:r>
      <w:r>
        <w:rPr>
          <w:rFonts w:hint="eastAsia" w:asciiTheme="minorEastAsia" w:hAnsiTheme="minorEastAsia"/>
          <w:sz w:val="24"/>
          <w:szCs w:val="24"/>
        </w:rPr>
        <w:t>中国宇航学会深空探测技术专业委员会第七届学术年会论文集</w:t>
      </w:r>
      <w:r>
        <w:rPr>
          <w:rFonts w:asciiTheme="minorEastAsia" w:hAnsiTheme="minorEastAsia"/>
          <w:sz w:val="24"/>
          <w:szCs w:val="24"/>
        </w:rPr>
        <w:t>:555-560</w:t>
      </w:r>
    </w:p>
    <w:p>
      <w:pPr>
        <w:rPr>
          <w:rFonts w:asciiTheme="minorEastAsia" w:hAnsiTheme="minorEastAsia"/>
          <w:sz w:val="24"/>
          <w:szCs w:val="24"/>
        </w:rPr>
      </w:pPr>
      <w:r>
        <w:rPr>
          <w:rFonts w:hint="eastAsia" w:asciiTheme="minorEastAsia" w:hAnsiTheme="minorEastAsia"/>
          <w:sz w:val="24"/>
          <w:szCs w:val="24"/>
        </w:rPr>
        <w:t>刘昌波.</w:t>
      </w:r>
      <w:r>
        <w:rPr>
          <w:rFonts w:hint="eastAsia" w:asciiTheme="minorEastAsia" w:hAnsiTheme="minorEastAsia"/>
        </w:rPr>
        <w:t xml:space="preserve"> </w:t>
      </w:r>
      <w:r>
        <w:rPr>
          <w:rFonts w:hint="eastAsia" w:asciiTheme="minorEastAsia" w:hAnsiTheme="minorEastAsia"/>
          <w:sz w:val="24"/>
          <w:szCs w:val="24"/>
        </w:rPr>
        <w:t>电动泵与挤压式推进系统对比研究</w:t>
      </w:r>
      <w:r>
        <w:rPr>
          <w:rFonts w:asciiTheme="minorEastAsia" w:hAnsiTheme="minorEastAsia"/>
          <w:sz w:val="24"/>
          <w:szCs w:val="24"/>
        </w:rPr>
        <w:t>[J].</w:t>
      </w:r>
      <w:r>
        <w:rPr>
          <w:rFonts w:hint="eastAsia" w:asciiTheme="minorEastAsia" w:hAnsiTheme="minorEastAsia"/>
        </w:rPr>
        <w:t xml:space="preserve"> </w:t>
      </w:r>
      <w:r>
        <w:rPr>
          <w:rFonts w:hint="eastAsia" w:asciiTheme="minorEastAsia" w:hAnsiTheme="minorEastAsia"/>
          <w:sz w:val="24"/>
          <w:szCs w:val="24"/>
        </w:rPr>
        <w:t>火箭推进,</w:t>
      </w:r>
      <w:r>
        <w:rPr>
          <w:rFonts w:asciiTheme="minorEastAsia" w:hAnsiTheme="minorEastAsia"/>
          <w:sz w:val="24"/>
          <w:szCs w:val="24"/>
        </w:rPr>
        <w:t>2017(2):33-39</w:t>
      </w:r>
    </w:p>
    <w:p>
      <w:pPr>
        <w:rPr>
          <w:rFonts w:asciiTheme="minorEastAsia" w:hAnsiTheme="minorEastAsia"/>
          <w:sz w:val="24"/>
          <w:szCs w:val="24"/>
        </w:rPr>
      </w:pPr>
      <w:r>
        <w:rPr>
          <w:rFonts w:hint="eastAsia" w:asciiTheme="minorEastAsia" w:hAnsiTheme="minorEastAsia"/>
          <w:sz w:val="24"/>
          <w:szCs w:val="24"/>
        </w:rPr>
        <w:t>吴胜宝,申麟,董晓琳,章定国.低温推进剂在轨贮存与管理系统方案研究</w:t>
      </w:r>
      <w:r>
        <w:rPr>
          <w:rFonts w:asciiTheme="minorEastAsia" w:hAnsiTheme="minorEastAsia"/>
          <w:sz w:val="24"/>
          <w:szCs w:val="24"/>
        </w:rPr>
        <w:t>[J].</w:t>
      </w:r>
      <w:r>
        <w:rPr>
          <w:rFonts w:hint="eastAsia" w:asciiTheme="minorEastAsia" w:hAnsiTheme="minorEastAsia"/>
        </w:rPr>
        <w:t xml:space="preserve"> </w:t>
      </w:r>
      <w:r>
        <w:rPr>
          <w:rFonts w:hint="eastAsia" w:asciiTheme="minorEastAsia" w:hAnsiTheme="minorEastAsia"/>
          <w:sz w:val="24"/>
          <w:szCs w:val="24"/>
        </w:rPr>
        <w:t>载人航天,</w:t>
      </w:r>
      <w:r>
        <w:rPr>
          <w:rFonts w:asciiTheme="minorEastAsia" w:hAnsiTheme="minorEastAsia"/>
          <w:sz w:val="24"/>
          <w:szCs w:val="24"/>
        </w:rPr>
        <w:t>2017(3):366-369</w:t>
      </w:r>
    </w:p>
    <w:p>
      <w:pPr>
        <w:rPr>
          <w:rFonts w:asciiTheme="minorEastAsia" w:hAnsiTheme="minorEastAsia"/>
          <w:sz w:val="24"/>
          <w:szCs w:val="24"/>
        </w:rPr>
      </w:pPr>
      <w:r>
        <w:rPr>
          <w:rFonts w:hint="eastAsia" w:asciiTheme="minorEastAsia" w:hAnsiTheme="minorEastAsia"/>
          <w:sz w:val="24"/>
          <w:szCs w:val="24"/>
        </w:rPr>
        <w:t>王平</w:t>
      </w:r>
      <w:r>
        <w:rPr>
          <w:rFonts w:asciiTheme="minorEastAsia" w:hAnsiTheme="minorEastAsia"/>
          <w:sz w:val="24"/>
          <w:szCs w:val="24"/>
        </w:rPr>
        <w:t>,</w:t>
      </w:r>
      <w:r>
        <w:rPr>
          <w:rFonts w:hint="eastAsia" w:asciiTheme="minorEastAsia" w:hAnsiTheme="minorEastAsia"/>
          <w:sz w:val="24"/>
          <w:szCs w:val="24"/>
        </w:rPr>
        <w:t>梁鲁</w:t>
      </w:r>
      <w:r>
        <w:rPr>
          <w:rFonts w:asciiTheme="minorEastAsia" w:hAnsiTheme="minorEastAsia"/>
          <w:sz w:val="24"/>
          <w:szCs w:val="24"/>
        </w:rPr>
        <w:t>,</w:t>
      </w:r>
      <w:r>
        <w:rPr>
          <w:rFonts w:hint="eastAsia" w:asciiTheme="minorEastAsia" w:hAnsiTheme="minorEastAsia"/>
          <w:sz w:val="24"/>
          <w:szCs w:val="24"/>
        </w:rPr>
        <w:t>果琳丽.</w:t>
      </w:r>
      <w:r>
        <w:rPr>
          <w:rFonts w:hint="eastAsia" w:asciiTheme="minorEastAsia" w:hAnsiTheme="minorEastAsia"/>
        </w:rPr>
        <w:t xml:space="preserve"> </w:t>
      </w:r>
      <w:r>
        <w:rPr>
          <w:rFonts w:hint="eastAsia" w:asciiTheme="minorEastAsia" w:hAnsiTheme="minorEastAsia"/>
          <w:sz w:val="24"/>
          <w:szCs w:val="24"/>
        </w:rPr>
        <w:t>载人登月舱概念设计阶段多方案比较方法初探</w:t>
      </w:r>
      <w:r>
        <w:rPr>
          <w:rFonts w:asciiTheme="minorEastAsia" w:hAnsiTheme="minorEastAsia"/>
          <w:sz w:val="24"/>
          <w:szCs w:val="24"/>
        </w:rPr>
        <w:t>[J].</w:t>
      </w:r>
      <w:r>
        <w:rPr>
          <w:rFonts w:hint="eastAsia" w:asciiTheme="minorEastAsia" w:hAnsiTheme="minorEastAsia"/>
        </w:rPr>
        <w:t xml:space="preserve"> </w:t>
      </w:r>
      <w:r>
        <w:rPr>
          <w:rFonts w:hint="eastAsia" w:asciiTheme="minorEastAsia" w:hAnsiTheme="minorEastAsia"/>
          <w:sz w:val="24"/>
          <w:szCs w:val="24"/>
        </w:rPr>
        <w:t>航天返回与遥感,</w:t>
      </w:r>
      <w:r>
        <w:rPr>
          <w:rFonts w:asciiTheme="minorEastAsia" w:hAnsiTheme="minorEastAsia"/>
          <w:sz w:val="24"/>
          <w:szCs w:val="24"/>
        </w:rPr>
        <w:t>2013(6):1-10</w:t>
      </w:r>
    </w:p>
    <w:p>
      <w:pPr>
        <w:rPr>
          <w:rFonts w:asciiTheme="minorEastAsia" w:hAnsiTheme="minorEastAsia"/>
          <w:sz w:val="24"/>
          <w:szCs w:val="24"/>
        </w:rPr>
      </w:pPr>
      <w:r>
        <w:rPr>
          <w:rFonts w:hint="eastAsia" w:asciiTheme="minorEastAsia" w:hAnsiTheme="minorEastAsia"/>
          <w:sz w:val="24"/>
          <w:szCs w:val="24"/>
        </w:rPr>
        <w:t>陈金宝，聂宏，陈传志，陈姮.</w:t>
      </w:r>
      <w:r>
        <w:rPr>
          <w:rFonts w:hint="eastAsia" w:asciiTheme="minorEastAsia" w:hAnsiTheme="minorEastAsia"/>
        </w:rPr>
        <w:t xml:space="preserve"> </w:t>
      </w:r>
      <w:r>
        <w:rPr>
          <w:rFonts w:hint="eastAsia" w:asciiTheme="minorEastAsia" w:hAnsiTheme="minorEastAsia"/>
          <w:sz w:val="24"/>
          <w:szCs w:val="24"/>
        </w:rPr>
        <w:t>载人登月舱设计及若干关键技术研究[</w:t>
      </w:r>
      <w:r>
        <w:rPr>
          <w:rFonts w:asciiTheme="minorEastAsia" w:hAnsiTheme="minorEastAsia"/>
          <w:sz w:val="24"/>
          <w:szCs w:val="24"/>
        </w:rPr>
        <w:t>J].</w:t>
      </w:r>
      <w:r>
        <w:rPr>
          <w:rFonts w:hint="eastAsia" w:asciiTheme="minorEastAsia" w:hAnsiTheme="minorEastAsia"/>
        </w:rPr>
        <w:t xml:space="preserve"> </w:t>
      </w:r>
      <w:r>
        <w:rPr>
          <w:rFonts w:hint="eastAsia" w:asciiTheme="minorEastAsia" w:hAnsiTheme="minorEastAsia"/>
          <w:sz w:val="24"/>
          <w:szCs w:val="24"/>
        </w:rPr>
        <w:t>宇航学报.</w:t>
      </w:r>
      <w:r>
        <w:rPr>
          <w:rFonts w:asciiTheme="minorEastAsia" w:hAnsiTheme="minorEastAsia"/>
          <w:sz w:val="24"/>
          <w:szCs w:val="24"/>
        </w:rPr>
        <w:t xml:space="preserve">2014(2):126-136 </w:t>
      </w:r>
    </w:p>
    <w:p>
      <w:pPr>
        <w:rPr>
          <w:rFonts w:asciiTheme="minorEastAsia" w:hAnsiTheme="minorEastAsia"/>
          <w:sz w:val="24"/>
          <w:szCs w:val="24"/>
        </w:rPr>
      </w:pPr>
      <w:r>
        <w:rPr>
          <w:rFonts w:hint="eastAsia" w:asciiTheme="minorEastAsia" w:hAnsiTheme="minorEastAsia"/>
          <w:sz w:val="24"/>
          <w:szCs w:val="24"/>
        </w:rPr>
        <w:t>王博杰，耑锐，张亮，齐超，王文.</w:t>
      </w:r>
      <w:r>
        <w:rPr>
          <w:rFonts w:hint="eastAsia" w:asciiTheme="minorEastAsia" w:hAnsiTheme="minorEastAsia"/>
        </w:rPr>
        <w:t xml:space="preserve"> </w:t>
      </w:r>
      <w:r>
        <w:rPr>
          <w:rFonts w:hint="eastAsia" w:asciiTheme="minorEastAsia" w:hAnsiTheme="minorEastAsia"/>
          <w:sz w:val="24"/>
          <w:szCs w:val="24"/>
        </w:rPr>
        <w:t>低温推进剂在轨零蒸发贮存研究进展[</w:t>
      </w:r>
      <w:r>
        <w:rPr>
          <w:rFonts w:asciiTheme="minorEastAsia" w:hAnsiTheme="minorEastAsia"/>
          <w:sz w:val="24"/>
          <w:szCs w:val="24"/>
        </w:rPr>
        <w:t>J].</w:t>
      </w:r>
      <w:r>
        <w:rPr>
          <w:rFonts w:hint="eastAsia" w:asciiTheme="minorEastAsia" w:hAnsiTheme="minorEastAsia"/>
        </w:rPr>
        <w:t xml:space="preserve"> </w:t>
      </w:r>
      <w:r>
        <w:rPr>
          <w:rFonts w:hint="eastAsia" w:asciiTheme="minorEastAsia" w:hAnsiTheme="minorEastAsia"/>
          <w:sz w:val="24"/>
          <w:szCs w:val="24"/>
        </w:rPr>
        <w:t>载人航天.</w:t>
      </w:r>
      <w:r>
        <w:rPr>
          <w:rFonts w:asciiTheme="minorEastAsia" w:hAnsiTheme="minorEastAsia"/>
          <w:sz w:val="24"/>
          <w:szCs w:val="24"/>
        </w:rPr>
        <w:t>2017(2):237-244</w:t>
      </w:r>
    </w:p>
    <w:p>
      <w:pPr>
        <w:rPr>
          <w:rFonts w:asciiTheme="minorEastAsia" w:hAnsiTheme="minorEastAsia"/>
          <w:sz w:val="24"/>
          <w:szCs w:val="24"/>
        </w:rPr>
      </w:pPr>
      <w:r>
        <w:rPr>
          <w:rFonts w:hint="eastAsia" w:asciiTheme="minorEastAsia" w:hAnsiTheme="minorEastAsia"/>
          <w:sz w:val="24"/>
          <w:szCs w:val="24"/>
        </w:rPr>
        <w:t>李佳超，梁国柱</w:t>
      </w:r>
      <w:r>
        <w:rPr>
          <w:rFonts w:asciiTheme="minorEastAsia" w:hAnsiTheme="minorEastAsia"/>
          <w:sz w:val="24"/>
          <w:szCs w:val="24"/>
        </w:rPr>
        <w:t>.</w:t>
      </w:r>
      <w:r>
        <w:rPr>
          <w:rFonts w:hint="eastAsia" w:asciiTheme="minorEastAsia" w:hAnsiTheme="minorEastAsia"/>
        </w:rPr>
        <w:t xml:space="preserve"> </w:t>
      </w:r>
      <w:r>
        <w:rPr>
          <w:rFonts w:hint="eastAsia" w:asciiTheme="minorEastAsia" w:hAnsiTheme="minorEastAsia"/>
          <w:sz w:val="24"/>
          <w:szCs w:val="24"/>
        </w:rPr>
        <w:t>运载火箭低温推进剂热管理技术及应用进展分析[</w:t>
      </w:r>
      <w:r>
        <w:rPr>
          <w:rFonts w:asciiTheme="minorEastAsia" w:hAnsiTheme="minorEastAsia"/>
          <w:sz w:val="24"/>
          <w:szCs w:val="24"/>
        </w:rPr>
        <w:t>J].</w:t>
      </w:r>
      <w:r>
        <w:rPr>
          <w:rFonts w:hint="eastAsia" w:asciiTheme="minorEastAsia" w:hAnsiTheme="minorEastAsia"/>
        </w:rPr>
        <w:t xml:space="preserve"> </w:t>
      </w:r>
      <w:r>
        <w:rPr>
          <w:rFonts w:hint="eastAsia" w:asciiTheme="minorEastAsia" w:hAnsiTheme="minorEastAsia"/>
          <w:sz w:val="24"/>
          <w:szCs w:val="24"/>
        </w:rPr>
        <w:t>宇航总体技术</w:t>
      </w:r>
      <w:r>
        <w:rPr>
          <w:rFonts w:asciiTheme="minorEastAsia" w:hAnsiTheme="minorEastAsia"/>
          <w:sz w:val="24"/>
          <w:szCs w:val="24"/>
        </w:rPr>
        <w:t>.2017(2):60-70</w:t>
      </w:r>
    </w:p>
    <w:p>
      <w:pPr>
        <w:rPr>
          <w:rFonts w:hint="eastAsia" w:asciiTheme="minorEastAsia" w:hAnsiTheme="minorEastAsia"/>
          <w:sz w:val="24"/>
          <w:szCs w:val="24"/>
        </w:rPr>
      </w:pPr>
      <w:r>
        <w:rPr>
          <w:rFonts w:hint="eastAsia" w:asciiTheme="minorEastAsia" w:hAnsiTheme="minorEastAsia"/>
          <w:sz w:val="24"/>
          <w:szCs w:val="24"/>
        </w:rPr>
        <w:t>曾铁.某型号级间分离技术研究与应用.电子科技大学硕士论文.2009.</w:t>
      </w:r>
    </w:p>
    <w:p>
      <w:pPr>
        <w:rPr>
          <w:rFonts w:hint="eastAsia" w:asciiTheme="minorEastAsia" w:hAnsiTheme="minorEastAsia"/>
          <w:sz w:val="24"/>
          <w:szCs w:val="24"/>
        </w:rPr>
      </w:pPr>
      <w:r>
        <w:rPr>
          <w:rFonts w:hint="eastAsia" w:asciiTheme="minorEastAsia" w:hAnsiTheme="minorEastAsia"/>
          <w:sz w:val="24"/>
          <w:szCs w:val="24"/>
        </w:rPr>
        <w:t>王传克.卫星用无污染爆炸螺栓.航天器工程.1992(3).54-58 .</w:t>
      </w:r>
    </w:p>
    <w:p>
      <w:pPr>
        <w:rPr>
          <w:rFonts w:hint="eastAsia" w:asciiTheme="minorEastAsia" w:hAnsiTheme="minorEastAsia"/>
          <w:sz w:val="24"/>
          <w:szCs w:val="24"/>
        </w:rPr>
      </w:pPr>
      <w:r>
        <w:rPr>
          <w:rFonts w:hint="eastAsia" w:asciiTheme="minorEastAsia" w:hAnsiTheme="minorEastAsia"/>
          <w:sz w:val="24"/>
          <w:szCs w:val="24"/>
        </w:rPr>
        <w:t xml:space="preserve">孙勇.某型无污染爆炸螺栓的研制.南京理工大学硕士论文.2008. </w:t>
      </w:r>
    </w:p>
    <w:p>
      <w:pPr>
        <w:rPr>
          <w:rFonts w:asciiTheme="minorEastAsia" w:hAnsiTheme="minorEastAsia"/>
          <w:sz w:val="24"/>
          <w:szCs w:val="24"/>
        </w:rPr>
      </w:pPr>
      <w:r>
        <w:rPr>
          <w:rFonts w:hint="eastAsia" w:asciiTheme="minorEastAsia" w:hAnsiTheme="minorEastAsia"/>
          <w:sz w:val="24"/>
          <w:szCs w:val="24"/>
        </w:rPr>
        <w:t>张雪原.低冲击分离装置工作过程的数学建模与性能研究.哈尔滨工业大学博士论文.2009</w:t>
      </w:r>
    </w:p>
    <w:sectPr>
      <w:footerReference r:id="rId3" w:type="default"/>
      <w:pgSz w:w="11906" w:h="16838"/>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Microsoft Yi Baiti">
    <w:panose1 w:val="03000500000000000000"/>
    <w:charset w:val="00"/>
    <w:family w:val="script"/>
    <w:pitch w:val="default"/>
    <w:sig w:usb0="80000003" w:usb1="00010402" w:usb2="00080002" w:usb3="00000000" w:csb0="00000001" w:csb1="00000000"/>
  </w:font>
  <w:font w:name="Wingdings 2">
    <w:altName w:val="Wingdings"/>
    <w:panose1 w:val="05020102010507070707"/>
    <w:charset w:val="02"/>
    <w:family w:val="roman"/>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4563735"/>
    </w:sdtPr>
    <w:sdtContent>
      <w:p>
        <w:pPr>
          <w:pStyle w:val="4"/>
          <w:jc w:val="center"/>
        </w:pPr>
        <w:r>
          <w:fldChar w:fldCharType="begin"/>
        </w:r>
        <w:r>
          <w:instrText xml:space="preserve">PAGE   \* MERGEFORMAT</w:instrText>
        </w:r>
        <w:r>
          <w:fldChar w:fldCharType="separate"/>
        </w:r>
        <w:r>
          <w:rPr>
            <w:lang w:val="zh-CN"/>
          </w:rPr>
          <w:t>1</w:t>
        </w:r>
        <w: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702DF0"/>
    <w:multiLevelType w:val="singleLevel"/>
    <w:tmpl w:val="C0702DF0"/>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1A8"/>
    <w:rsid w:val="00142E25"/>
    <w:rsid w:val="001A78D8"/>
    <w:rsid w:val="001F70B0"/>
    <w:rsid w:val="002171A8"/>
    <w:rsid w:val="002178E5"/>
    <w:rsid w:val="00221A05"/>
    <w:rsid w:val="00392D23"/>
    <w:rsid w:val="00446391"/>
    <w:rsid w:val="00476206"/>
    <w:rsid w:val="00501E86"/>
    <w:rsid w:val="00514B0C"/>
    <w:rsid w:val="005F62AC"/>
    <w:rsid w:val="006951CF"/>
    <w:rsid w:val="007E4E31"/>
    <w:rsid w:val="00831503"/>
    <w:rsid w:val="008A39CE"/>
    <w:rsid w:val="008F000E"/>
    <w:rsid w:val="00987DD3"/>
    <w:rsid w:val="0099250A"/>
    <w:rsid w:val="00A758A1"/>
    <w:rsid w:val="00AF3890"/>
    <w:rsid w:val="00B23798"/>
    <w:rsid w:val="00B7762F"/>
    <w:rsid w:val="00C70995"/>
    <w:rsid w:val="00C71D66"/>
    <w:rsid w:val="00CB7B97"/>
    <w:rsid w:val="00D511B1"/>
    <w:rsid w:val="00DE16E7"/>
    <w:rsid w:val="00F43024"/>
    <w:rsid w:val="00F90361"/>
    <w:rsid w:val="433E36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character" w:default="1" w:styleId="8">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3">
    <w:name w:val="toc 3"/>
    <w:basedOn w:val="1"/>
    <w:next w:val="1"/>
    <w:qFormat/>
    <w:uiPriority w:val="39"/>
    <w:pPr>
      <w:ind w:left="560"/>
      <w:jc w:val="left"/>
    </w:pPr>
    <w:rPr>
      <w:rFonts w:ascii="Calibri" w:hAnsi="Calibri" w:eastAsia="宋体" w:cs="Times New Roman"/>
      <w:iCs/>
      <w:sz w:val="24"/>
      <w:szCs w:val="20"/>
    </w:r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pPr>
      <w:tabs>
        <w:tab w:val="left" w:pos="567"/>
        <w:tab w:val="right" w:leader="dot" w:pos="9072"/>
      </w:tabs>
      <w:spacing w:before="120" w:after="120"/>
      <w:ind w:left="100" w:leftChars="100" w:right="280" w:rightChars="100"/>
      <w:jc w:val="left"/>
    </w:pPr>
    <w:rPr>
      <w:rFonts w:ascii="Calibri" w:hAnsi="Calibri" w:eastAsia="宋体" w:cs="Times New Roman"/>
      <w:bCs/>
      <w:caps/>
      <w:sz w:val="24"/>
      <w:szCs w:val="20"/>
    </w:rPr>
  </w:style>
  <w:style w:type="paragraph" w:styleId="7">
    <w:name w:val="toc 2"/>
    <w:basedOn w:val="1"/>
    <w:next w:val="1"/>
    <w:qFormat/>
    <w:uiPriority w:val="39"/>
    <w:pPr>
      <w:tabs>
        <w:tab w:val="left" w:pos="993"/>
        <w:tab w:val="right" w:leader="dot" w:pos="9060"/>
      </w:tabs>
      <w:ind w:left="280"/>
      <w:jc w:val="left"/>
    </w:pPr>
    <w:rPr>
      <w:rFonts w:ascii="Calibri" w:hAnsi="Calibri" w:eastAsia="宋体" w:cs="Times New Roman"/>
      <w:smallCaps/>
      <w:sz w:val="24"/>
      <w:szCs w:val="20"/>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1 Char"/>
    <w:basedOn w:val="8"/>
    <w:link w:val="2"/>
    <w:qFormat/>
    <w:uiPriority w:val="9"/>
    <w:rPr>
      <w:b/>
      <w:bCs/>
      <w:kern w:val="44"/>
      <w:sz w:val="44"/>
      <w:szCs w:val="44"/>
    </w:rPr>
  </w:style>
  <w:style w:type="paragraph" w:customStyle="1" w:styleId="1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3">
    <w:name w:val="页眉 Char"/>
    <w:basedOn w:val="8"/>
    <w:link w:val="5"/>
    <w:qFormat/>
    <w:uiPriority w:val="99"/>
    <w:rPr>
      <w:sz w:val="18"/>
      <w:szCs w:val="18"/>
    </w:rPr>
  </w:style>
  <w:style w:type="character" w:customStyle="1" w:styleId="14">
    <w:name w:val="页脚 Char"/>
    <w:basedOn w:val="8"/>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FF0430-D058-4411-93DC-3DF54D10212C}">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1367</Words>
  <Characters>7795</Characters>
  <Lines>64</Lines>
  <Paragraphs>18</Paragraphs>
  <TotalTime>0</TotalTime>
  <ScaleCrop>false</ScaleCrop>
  <LinksUpToDate>false</LinksUpToDate>
  <CharactersWithSpaces>9144</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2018-09-05T10:21:00Z</dcterms:created>
  <dc:creator>Kaze Scarlet</dc:creator>
  <cp:lastModifiedBy>john</cp:lastModifiedBy>
  <dcterms:modified xsi:type="dcterms:W3CDTF">2018-09-25T01:52:47Z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