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The Genetic Code Operates at Channel Capacity</w:t>
      </w:r>
    </w:p>
    <w:p>
      <w:pPr>
        <w:spacing w:after="80"/>
        <w:jc w:val="center"/>
      </w:pPr>
      <w:r>
        <w:rPr>
          <w:sz w:val="24"/>
          <w:szCs w:val="24"/>
        </w:rPr>
        <w:t xml:space="preserve">Brock Richards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ENTIENT LLC</w:t>
      </w:r>
    </w:p>
    <w:p>
      <w:pPr>
        <w:spacing w:after="400"/>
        <w:jc w:val="center"/>
      </w:pPr>
      <w:r>
        <w:rPr>
          <w:sz w:val="22"/>
          <w:szCs w:val="22"/>
        </w:rPr>
        <w:t xml:space="preserve">architect@entient.com</w:t>
      </w:r>
    </w:p>
    <w:p>
      <w:pPr>
        <w:pStyle w:val="Heading1"/>
        <w:spacing w:before="350" w:after="180"/>
      </w:pPr>
      <w:r>
        <w:rPr>
          <w:b/>
          <w:bCs/>
        </w:rPr>
        <w:t xml:space="preserve">Abstract</w:t>
      </w:r>
    </w:p>
    <w:p>
      <w:pPr>
        <w:spacing w:before="200" w:after="200" w:line="276"/>
        <w:jc w:val="both"/>
      </w:pPr>
      <w:r>
        <w:t xml:space="preserve">The genetic code maps 64 codons to 21 outputs (20 amino acids + Stop), a compression ratio of 0.328. Independently, Inafuku </w:t>
      </w:r>
      <w:r>
        <w:rPr>
          <w:i/>
          <w:iCs/>
        </w:rPr>
        <w:t xml:space="preserve">et al.</w:t>
      </w:r>
      <w:r>
        <w:t xml:space="preserve"> (2023) modeled the ribosome as a Shannon channel and calculated its capacity as 0.326. This is 99.6% agreement between what biology implements and what information theory permits. Across all 26 known genetic codes, this ratio varies by less than 0.4%. This suggests the genetic code is not an optimized solution among alternatives, but a system operating at a capacity limit.</w:t>
      </w:r>
    </w:p>
    <w:p>
      <w:pPr>
        <w:pStyle w:val="Heading1"/>
        <w:spacing w:before="350" w:after="180"/>
      </w:pPr>
      <w:r>
        <w:rPr>
          <w:b/>
          <w:bCs/>
        </w:rPr>
        <w:t xml:space="preserve">1. The Observation</w:t>
      </w:r>
    </w:p>
    <w:p>
      <w:pPr>
        <w:spacing w:before="200" w:after="200" w:line="276"/>
        <w:jc w:val="both"/>
      </w:pPr>
      <w:r>
        <w:t xml:space="preserve">The genetic code performs a compression: 64 possible inputs (codons) map to 21 distinct outputs. The compression ratio is simply:</w:t>
      </w:r>
    </w:p>
    <w:p>
      <w:pPr>
        <w:spacing w:before="200" w:after="200"/>
        <w:jc w:val="center"/>
      </w:pPr>
      <w:r>
        <w:rPr>
          <w:i/>
          <w:iCs/>
        </w:rPr>
        <w:t xml:space="preserve">R</w:t>
      </w:r>
      <w:r>
        <w:t xml:space="preserve"> = 21/64 = 0.3281</w:t>
      </w:r>
    </w:p>
    <w:p>
      <w:pPr>
        <w:spacing w:before="200" w:after="200" w:line="276"/>
        <w:jc w:val="both"/>
      </w:pPr>
      <w:r>
        <w:t xml:space="preserve">Separately, Inafuku </w:t>
      </w:r>
      <w:r>
        <w:rPr>
          <w:i/>
          <w:iCs/>
        </w:rPr>
        <w:t xml:space="preserve">et al.</w:t>
      </w:r>
      <w:r>
        <w:t xml:space="preserve"> (2023) asked a different question: treating the ribosome as an information channel, what is its theoretical capacity? Using Shannon's framework—with no reference to the code's structure—they calculated a lower bound of 0.326 [1].</w:t>
      </w:r>
    </w:p>
    <w:p>
      <w:pPr>
        <w:spacing w:before="200" w:after="200" w:line="276"/>
        <w:jc w:val="both"/>
      </w:pPr>
      <w:r>
        <w:t xml:space="preserve">These are two different questions answered by two different methods. They return the same number.</w:t>
      </w:r>
    </w:p>
    <w:p>
      <w:pPr>
        <w:pStyle w:val="Heading1"/>
        <w:spacing w:before="350" w:after="180"/>
      </w:pPr>
      <w:r>
        <w:rPr>
          <w:b/>
          <w:bCs/>
        </w:rPr>
        <w:t xml:space="preserve">2. The Data</w:t>
      </w:r>
    </w:p>
    <w:p>
      <w:pPr>
        <w:spacing w:before="200" w:after="200" w:line="276"/>
        <w:jc w:val="both"/>
      </w:pPr>
      <w:r>
        <w:t xml:space="preserve">We calculated the compression ratio for all 26 known genetic codes from NCBI translation tables [2]. These codes span standard nuclear, mitochondrial, ciliate, bacterial, and archaeal variants with independent evolutionary origins.</w:t>
      </w:r>
    </w:p>
    <w:p>
      <w:pPr>
        <w:spacing w:before="250" w:after="100"/>
        <w:jc w:val="center"/>
      </w:pPr>
      <w:r>
        <w:rPr>
          <w:b/>
          <w:bCs/>
        </w:rPr>
        <w:t xml:space="preserve">Table 1: Compression Ratio Across All Known Genetic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Metric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Range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0.3125 – 0.3281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Mean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0.3274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Coefficient of Variation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0.39%</w:t>
            </w:r>
          </w:p>
        </w:tc>
      </w:tr>
    </w:tbl>
    <w:p>
      <w:pPr>
        <w:spacing w:before="200" w:after="200" w:line="276"/>
        <w:jc w:val="both"/>
      </w:pPr>
      <w:r>
        <w:br/>
        <w:t xml:space="preserve"/>
      </w:r>
      <w:r>
        <w:t xml:space="preserve">The 0.39% CV represents unusually tight clustering. These codes differ by up to 6 codon reassignments and have completely independent evolutionary origins, yet all achieve the same compression ratio.</w:t>
      </w:r>
    </w:p>
    <w:p>
      <w:pPr>
        <w:pStyle w:val="Heading1"/>
        <w:spacing w:before="350" w:after="180"/>
      </w:pPr>
      <w:r>
        <w:rPr>
          <w:b/>
          <w:bCs/>
        </w:rPr>
        <w:t xml:space="preserve">3. The Implication</w:t>
      </w:r>
    </w:p>
    <w:p>
      <w:pPr>
        <w:spacing w:before="200" w:after="200" w:line="276"/>
        <w:jc w:val="both"/>
      </w:pPr>
      <w:r>
        <w:t xml:space="preserve">There is a distinction between optimization and saturation:</w:t>
      </w:r>
    </w:p>
    <w:p>
      <w:pPr>
        <w:spacing w:before="200" w:after="200" w:line="276"/>
        <w:jc w:val="both"/>
      </w:pPr>
      <w:r>
        <w:rPr>
          <w:b/>
          <w:bCs/>
        </w:rPr>
        <w:t xml:space="preserve">Optimization</w:t>
      </w:r>
      <w:r>
        <w:t xml:space="preserve"> implies a search process found a good solution among alternatives. The outcome could have been different.</w:t>
      </w:r>
    </w:p>
    <w:p>
      <w:pPr>
        <w:spacing w:before="200" w:after="200" w:line="276"/>
        <w:jc w:val="both"/>
      </w:pPr>
      <w:r>
        <w:rPr>
          <w:b/>
          <w:bCs/>
        </w:rPr>
        <w:t xml:space="preserve">Saturation</w:t>
      </w:r>
      <w:r>
        <w:t xml:space="preserve"> implies the system hit a hard limit. There were no alternatives at that boundary.</w:t>
      </w:r>
    </w:p>
    <w:p>
      <w:pPr>
        <w:spacing w:before="200" w:after="200" w:line="276"/>
        <w:jc w:val="both"/>
      </w:pPr>
      <w:r>
        <w:t xml:space="preserve">If the genetic code's compression ratio matches its channel capacity, the code did not evolve toward this value. It arrived at a boundary that permits no further compression without information loss.</w:t>
      </w:r>
    </w:p>
    <w:p>
      <w:pPr>
        <w:spacing w:before="200" w:after="200" w:line="276"/>
        <w:jc w:val="both"/>
      </w:pPr>
      <w:r>
        <w:t xml:space="preserve">This reframes the question. Instead of asking why evolution chose this code, we might ask what constraint the code saturated.</w:t>
      </w:r>
    </w:p>
    <w:p>
      <w:pPr>
        <w:pStyle w:val="Heading1"/>
        <w:spacing w:before="350" w:after="180"/>
      </w:pPr>
      <w:r>
        <w:rPr>
          <w:b/>
          <w:bCs/>
        </w:rPr>
        <w:t xml:space="preserve">4. Conclusion</w:t>
      </w:r>
    </w:p>
    <w:p>
      <w:pPr>
        <w:spacing w:before="200" w:after="200" w:line="276"/>
        <w:jc w:val="both"/>
      </w:pPr>
      <w:r>
        <w:t xml:space="preserve">Two independent frameworks—structural enumeration (21/64) and information theory (Shannon capacity)—converge on the same value to 99.6% agreement. All 26 known genetic codes cluster at this value with CV = 0.39%.</w:t>
      </w:r>
    </w:p>
    <w:p>
      <w:pPr>
        <w:spacing w:before="200" w:after="200" w:line="276"/>
        <w:jc w:val="both"/>
      </w:pPr>
      <w:r>
        <w:t xml:space="preserve">The simplest interpretation: the genetic code operates at channel capacity.</w:t>
      </w:r>
    </w:p>
    <w:p>
      <w:pPr>
        <w:pStyle w:val="Heading1"/>
        <w:spacing w:before="350" w:after="180"/>
      </w:pPr>
      <w:r>
        <w:rPr>
          <w:b/>
          <w:bCs/>
        </w:rPr>
        <w:t xml:space="preserve">References</w:t>
      </w:r>
    </w:p>
    <w:p>
      <w:pPr>
        <w:spacing w:before="200" w:after="200" w:line="276"/>
        <w:jc w:val="both"/>
      </w:pPr>
      <w:r>
        <w:t xml:space="preserve">[1] Inafuku, D.A., Kirkpatrick, K.L., Osuagwu, O., An, Q., Brewster, D.A., &amp; Nakib, M.Z. (2023). Channel capacity of the ribosome. </w:t>
      </w:r>
      <w:r>
        <w:rPr>
          <w:i/>
          <w:iCs/>
        </w:rPr>
        <w:t xml:space="preserve">Physical Review E</w:t>
      </w:r>
      <w:r>
        <w:t xml:space="preserve">, 108, 044404.</w:t>
      </w:r>
    </w:p>
    <w:p>
      <w:pPr>
        <w:spacing w:before="200" w:after="200" w:line="276"/>
        <w:jc w:val="both"/>
      </w:pPr>
      <w:r>
        <w:t xml:space="preserve">[2] NCBI Genetic Codes. https://www.ncbi.nlm.nih.gov/Taxonomy/Utils/wprintgc.cgi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50" w:after="1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2026-01-27T11:54:49.281Z</dcterms:created>
  <dcterms:modified xsi:type="dcterms:W3CDTF">2026-01-27T11:54:49.282Z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