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32"/>
        </w:rPr>
      </w:pPr>
      <w:r>
        <w:rPr>
          <w:rFonts w:hint="eastAsia" w:ascii="黑体" w:hAnsi="黑体" w:eastAsia="黑体"/>
          <w:sz w:val="32"/>
        </w:rPr>
        <w:t>附件2</w:t>
      </w:r>
    </w:p>
    <w:p>
      <w:pPr>
        <w:rPr>
          <w:rFonts w:ascii="仿宋_GB2312" w:eastAsia="仿宋_GB2312"/>
          <w:sz w:val="30"/>
        </w:rPr>
      </w:pPr>
    </w:p>
    <w:p>
      <w:pPr>
        <w:spacing w:line="480" w:lineRule="exact"/>
        <w:jc w:val="center"/>
        <w:outlineLvl w:val="0"/>
        <w:rPr>
          <w:rFonts w:ascii="仿宋_GB2312" w:eastAsia="仿宋_GB2312"/>
          <w:b/>
          <w:sz w:val="36"/>
          <w:szCs w:val="30"/>
        </w:rPr>
      </w:pPr>
      <w:bookmarkStart w:id="0" w:name="bookmark3"/>
      <w:r>
        <w:rPr>
          <w:rFonts w:hint="eastAsia" w:ascii="宋体" w:hAnsi="宋体"/>
          <w:b/>
          <w:sz w:val="36"/>
          <w:szCs w:val="30"/>
        </w:rPr>
        <w:t>2018</w:t>
      </w:r>
      <w:r>
        <w:rPr>
          <w:rFonts w:hint="eastAsia" w:ascii="宋体" w:hAnsi="宋体"/>
          <w:b/>
          <w:color w:val="000000"/>
          <w:sz w:val="36"/>
          <w:szCs w:val="30"/>
        </w:rPr>
        <w:t>年</w:t>
      </w:r>
      <w:r>
        <w:rPr>
          <w:rFonts w:hint="eastAsia" w:ascii="宋体" w:hAnsi="宋体"/>
          <w:b/>
          <w:sz w:val="36"/>
          <w:szCs w:val="30"/>
        </w:rPr>
        <w:t>投资完成情况报告提纲</w:t>
      </w:r>
      <w:bookmarkEnd w:id="0"/>
    </w:p>
    <w:p>
      <w:pPr>
        <w:spacing w:line="480" w:lineRule="exact"/>
        <w:jc w:val="center"/>
        <w:outlineLvl w:val="0"/>
        <w:rPr>
          <w:rFonts w:ascii="仿宋_GB2312" w:eastAsia="仿宋_GB2312"/>
          <w:b/>
          <w:sz w:val="30"/>
          <w:szCs w:val="30"/>
        </w:rPr>
      </w:pPr>
    </w:p>
    <w:p>
      <w:pPr>
        <w:spacing w:line="560" w:lineRule="exact"/>
        <w:ind w:firstLine="755" w:firstLineChars="236"/>
        <w:outlineLvl w:val="0"/>
        <w:rPr>
          <w:rFonts w:ascii="黑体" w:hAnsi="黑体" w:eastAsia="黑体"/>
          <w:bCs/>
          <w:sz w:val="32"/>
          <w:szCs w:val="30"/>
        </w:rPr>
      </w:pPr>
      <w:r>
        <w:rPr>
          <w:rFonts w:hint="eastAsia" w:ascii="黑体" w:hAnsi="黑体" w:eastAsia="黑体"/>
          <w:bCs/>
          <w:sz w:val="32"/>
          <w:szCs w:val="30"/>
        </w:rPr>
        <w:t>一、总体情况</w:t>
      </w:r>
    </w:p>
    <w:p>
      <w:pPr>
        <w:spacing w:line="560" w:lineRule="exact"/>
        <w:ind w:firstLine="640" w:firstLineChars="200"/>
        <w:rPr>
          <w:rFonts w:ascii="仿宋_GB2312" w:eastAsia="仿宋_GB2312"/>
          <w:sz w:val="32"/>
          <w:szCs w:val="30"/>
        </w:rPr>
      </w:pPr>
      <w:r>
        <w:rPr>
          <w:rFonts w:hint="eastAsia" w:ascii="仿宋_GB2312" w:eastAsia="仿宋_GB2312"/>
          <w:sz w:val="32"/>
          <w:szCs w:val="30"/>
        </w:rPr>
        <w:t>（一）企业经营情况概述。</w:t>
      </w:r>
    </w:p>
    <w:p>
      <w:pPr>
        <w:keepNext w:val="0"/>
        <w:keepLines w:val="0"/>
        <w:pageBreakBefore w:val="0"/>
        <w:widowControl w:val="0"/>
        <w:kinsoku/>
        <w:wordWrap/>
        <w:overflowPunct/>
        <w:topLinePunct w:val="0"/>
        <w:autoSpaceDE/>
        <w:autoSpaceDN/>
        <w:bidi w:val="0"/>
        <w:adjustRightInd/>
        <w:snapToGrid/>
        <w:spacing w:line="560" w:lineRule="exact"/>
        <w:ind w:left="638" w:leftChars="304" w:firstLine="0" w:firstLineChars="0"/>
        <w:textAlignment w:val="auto"/>
        <w:outlineLvl w:val="9"/>
        <w:rPr>
          <w:rFonts w:hint="eastAsia" w:ascii="仿宋_GB2312" w:eastAsia="仿宋_GB2312"/>
          <w:sz w:val="32"/>
          <w:szCs w:val="30"/>
        </w:rPr>
      </w:pPr>
      <w:r>
        <w:rPr>
          <w:rFonts w:hint="eastAsia" w:ascii="仿宋_GB2312" w:eastAsia="仿宋_GB2312"/>
          <w:sz w:val="32"/>
          <w:szCs w:val="30"/>
          <w:lang w:val="en-US" w:eastAsia="zh-CN"/>
        </w:rPr>
        <w:t xml:space="preserve">1. </w:t>
      </w:r>
      <w:r>
        <w:rPr>
          <w:rFonts w:hint="eastAsia" w:ascii="仿宋_GB2312" w:eastAsia="仿宋_GB2312"/>
          <w:sz w:val="32"/>
          <w:szCs w:val="30"/>
        </w:rPr>
        <w:t>喀麦隆雅温得城市综合体项目于2015年11月25日获中国交建海外事业部立项批复；2016年9月，中交房地产集团代表中交集团正式批复同意投资该项目；2017年8月22日，本项目在中华人民共和国商务部获境外投资类项目备案正式通过;2018年8月1日开始建设临时设施，标志着综合体项目完成前期开发，进入2#、3#楼施工投入阶段。2018年度综合体项目累计完成</w:t>
      </w:r>
      <w:r>
        <w:rPr>
          <w:rFonts w:hint="eastAsia" w:ascii="仿宋_GB2312" w:eastAsia="仿宋_GB2312"/>
          <w:sz w:val="32"/>
          <w:szCs w:val="30"/>
          <w:lang w:val="en-US" w:eastAsia="zh-CN"/>
        </w:rPr>
        <w:t>的投资总额为</w:t>
      </w:r>
      <w:r>
        <w:rPr>
          <w:rFonts w:ascii="仿宋_GB2312" w:eastAsia="仿宋_GB2312"/>
          <w:sz w:val="32"/>
          <w:szCs w:val="30"/>
        </w:rPr>
        <w:t>1,908.26</w:t>
      </w:r>
      <w:r>
        <w:rPr>
          <w:rFonts w:hint="eastAsia" w:ascii="仿宋_GB2312" w:eastAsia="仿宋_GB2312"/>
          <w:sz w:val="32"/>
          <w:szCs w:val="30"/>
        </w:rPr>
        <w:t>万元。</w:t>
      </w:r>
    </w:p>
    <w:p>
      <w:pPr>
        <w:keepNext w:val="0"/>
        <w:keepLines w:val="0"/>
        <w:pageBreakBefore w:val="0"/>
        <w:widowControl w:val="0"/>
        <w:kinsoku/>
        <w:wordWrap/>
        <w:overflowPunct/>
        <w:topLinePunct w:val="0"/>
        <w:autoSpaceDE/>
        <w:autoSpaceDN/>
        <w:bidi w:val="0"/>
        <w:adjustRightInd/>
        <w:snapToGrid/>
        <w:spacing w:line="560" w:lineRule="exact"/>
        <w:ind w:left="638" w:leftChars="304" w:firstLine="0" w:firstLineChars="0"/>
        <w:textAlignment w:val="auto"/>
        <w:outlineLvl w:val="9"/>
        <w:rPr>
          <w:rFonts w:hint="eastAsia" w:ascii="仿宋_GB2312" w:eastAsia="仿宋_GB2312"/>
          <w:sz w:val="32"/>
          <w:szCs w:val="30"/>
        </w:rPr>
      </w:pPr>
      <w:r>
        <w:rPr>
          <w:rFonts w:hint="eastAsia" w:ascii="仿宋_GB2312" w:eastAsia="仿宋_GB2312"/>
          <w:sz w:val="32"/>
          <w:szCs w:val="30"/>
          <w:lang w:val="en-US" w:eastAsia="zh-CN"/>
        </w:rPr>
        <w:t>2. 刚果（金）金沙萨FIKIN现代城投资项目于2014年9月10日，通过一公局2014年第26次董事会的决议，同意实施刚果（金）金沙萨FIKIN现代城投资项目，并于2014年9月28日完成该项目的立项工作；于2015年2月16日，中交集团正式批复同意投资刚果（金）金沙萨FIKIN现代城投资项目。FIKIN现代城投资项目一期S1、S2#住宅楼项目于2015年2月28日开工，2017年9月28日完工，现已进入营销租售阶段。2018年度FIKIN项目累计发生投资运营费用为59.25万元。</w:t>
      </w:r>
    </w:p>
    <w:p>
      <w:pPr>
        <w:spacing w:line="560" w:lineRule="exact"/>
        <w:ind w:firstLine="640" w:firstLineChars="200"/>
        <w:rPr>
          <w:rFonts w:ascii="仿宋_GB2312" w:eastAsia="仿宋_GB2312"/>
          <w:sz w:val="32"/>
          <w:szCs w:val="30"/>
        </w:rPr>
      </w:pPr>
      <w:r>
        <w:rPr>
          <w:rFonts w:hint="eastAsia" w:ascii="仿宋_GB2312" w:eastAsia="仿宋_GB2312"/>
          <w:sz w:val="32"/>
          <w:szCs w:val="30"/>
        </w:rPr>
        <w:t>（二）投资结构情况。</w:t>
      </w:r>
    </w:p>
    <w:p>
      <w:pPr>
        <w:spacing w:line="560" w:lineRule="exact"/>
        <w:ind w:left="958" w:leftChars="456" w:firstLine="0" w:firstLineChars="0"/>
        <w:rPr>
          <w:rFonts w:hint="eastAsia" w:ascii="仿宋_GB2312" w:eastAsia="仿宋_GB2312"/>
          <w:sz w:val="32"/>
          <w:szCs w:val="30"/>
        </w:rPr>
      </w:pPr>
      <w:r>
        <w:rPr>
          <w:rFonts w:hint="eastAsia" w:ascii="仿宋_GB2312" w:eastAsia="仿宋_GB2312"/>
          <w:sz w:val="32"/>
          <w:szCs w:val="30"/>
          <w:lang w:val="en-US" w:eastAsia="zh-CN"/>
        </w:rPr>
        <w:t xml:space="preserve">1. </w:t>
      </w:r>
      <w:r>
        <w:rPr>
          <w:rFonts w:hint="eastAsia" w:ascii="仿宋_GB2312" w:eastAsia="仿宋_GB2312"/>
          <w:sz w:val="32"/>
          <w:szCs w:val="30"/>
        </w:rPr>
        <w:t>喀麦隆雅温得综合体项目主要从事房地产开发，为境外（喀麦隆）固定资产、主业、新建项目投资。</w:t>
      </w:r>
    </w:p>
    <w:p>
      <w:pPr>
        <w:spacing w:line="560" w:lineRule="exact"/>
        <w:ind w:left="958" w:leftChars="456" w:firstLine="0" w:firstLineChars="0"/>
        <w:rPr>
          <w:rFonts w:hint="eastAsia" w:ascii="仿宋_GB2312" w:eastAsia="仿宋_GB2312"/>
          <w:sz w:val="32"/>
          <w:szCs w:val="30"/>
          <w:lang w:val="en-US" w:eastAsia="zh-CN"/>
        </w:rPr>
      </w:pPr>
      <w:r>
        <w:rPr>
          <w:rFonts w:hint="eastAsia" w:ascii="仿宋_GB2312" w:eastAsia="仿宋_GB2312"/>
          <w:sz w:val="32"/>
          <w:szCs w:val="30"/>
          <w:lang w:val="en-US" w:eastAsia="zh-CN"/>
        </w:rPr>
        <w:t>2. 刚果（金）金沙萨FIKIN现代城投资项目主要从事房地产开发，为境外固定资产</w:t>
      </w:r>
      <w:r>
        <w:rPr>
          <w:rFonts w:hint="eastAsia" w:ascii="仿宋" w:hAnsi="仿宋" w:eastAsia="仿宋" w:cs="仿宋"/>
          <w:sz w:val="32"/>
          <w:szCs w:val="30"/>
          <w:lang w:val="en-US" w:eastAsia="zh-CN"/>
        </w:rPr>
        <w:t>﹑主业﹑新建项目投资。项目规划总建筑面积为23.15万平方米，投资总额为4.17亿美元，分4期进行投资建设，其中1-3期为住宅类物业，即建即售，以销售收入滚动开发，需我方实际投入的资金约为9,687万美元，其中中交一公局占比80%，出资7,750万美元，中国交建集团占比20%，出资1,937万美元，第4期为高档酒店和写字楼以及公建类物业。</w:t>
      </w:r>
    </w:p>
    <w:p>
      <w:pPr>
        <w:spacing w:line="560" w:lineRule="exact"/>
        <w:ind w:firstLine="640" w:firstLineChars="200"/>
        <w:rPr>
          <w:rFonts w:ascii="仿宋_GB2312" w:eastAsia="仿宋_GB2312"/>
          <w:b/>
          <w:sz w:val="32"/>
          <w:szCs w:val="30"/>
        </w:rPr>
      </w:pPr>
      <w:r>
        <w:rPr>
          <w:rFonts w:hint="eastAsia" w:ascii="黑体" w:hAnsi="黑体" w:eastAsia="黑体"/>
          <w:bCs/>
          <w:sz w:val="32"/>
          <w:szCs w:val="30"/>
        </w:rPr>
        <w:t>二、重点区域、板块、项目投资情况</w:t>
      </w:r>
    </w:p>
    <w:p>
      <w:pPr>
        <w:spacing w:line="560" w:lineRule="exact"/>
        <w:ind w:left="638" w:leftChars="304" w:firstLine="0" w:firstLineChars="0"/>
        <w:rPr>
          <w:rFonts w:hint="eastAsia" w:ascii="仿宋_GB2312" w:eastAsia="仿宋_GB2312"/>
          <w:sz w:val="32"/>
          <w:szCs w:val="30"/>
        </w:rPr>
      </w:pPr>
      <w:r>
        <w:rPr>
          <w:rFonts w:hint="eastAsia" w:ascii="仿宋_GB2312" w:eastAsia="仿宋_GB2312"/>
          <w:sz w:val="32"/>
          <w:szCs w:val="30"/>
          <w:lang w:val="en-US" w:eastAsia="zh-CN"/>
        </w:rPr>
        <w:t xml:space="preserve">1. </w:t>
      </w:r>
      <w:r>
        <w:rPr>
          <w:rFonts w:hint="eastAsia" w:ascii="仿宋_GB2312" w:eastAsia="仿宋_GB2312"/>
          <w:sz w:val="32"/>
          <w:szCs w:val="30"/>
        </w:rPr>
        <w:t>喀麦隆雅温得综合体项目是中国第一公路工程局有限公司在喀麦隆投资的首个房地产开发项目，项目计划投资开发5栋大楼，分别为1#楼（综合楼）2#-5#（公寓），预计总投资额7亿元。2018年度完成投资</w:t>
      </w:r>
      <w:r>
        <w:rPr>
          <w:rFonts w:ascii="仿宋_GB2312" w:eastAsia="仿宋_GB2312"/>
          <w:sz w:val="32"/>
          <w:szCs w:val="30"/>
        </w:rPr>
        <w:t>1,908.26</w:t>
      </w:r>
      <w:r>
        <w:rPr>
          <w:rFonts w:hint="eastAsia" w:ascii="仿宋_GB2312" w:eastAsia="仿宋_GB2312"/>
          <w:sz w:val="32"/>
          <w:szCs w:val="30"/>
        </w:rPr>
        <w:t>万元。</w:t>
      </w:r>
    </w:p>
    <w:p>
      <w:pPr>
        <w:spacing w:line="560" w:lineRule="exact"/>
        <w:ind w:left="638" w:leftChars="304" w:firstLine="0" w:firstLineChars="0"/>
        <w:rPr>
          <w:rFonts w:hint="eastAsia" w:ascii="仿宋_GB2312" w:eastAsia="仿宋_GB2312"/>
          <w:sz w:val="32"/>
          <w:szCs w:val="30"/>
          <w:lang w:val="en-US" w:eastAsia="zh-CN"/>
        </w:rPr>
      </w:pPr>
      <w:r>
        <w:rPr>
          <w:rFonts w:hint="eastAsia" w:ascii="仿宋_GB2312" w:eastAsia="仿宋_GB2312"/>
          <w:sz w:val="32"/>
          <w:szCs w:val="30"/>
          <w:lang w:val="en-US" w:eastAsia="zh-CN"/>
        </w:rPr>
        <w:t>2. 刚果（金）金沙萨FIKIN现代城投资项目是中国第一公路工程局有限公司在刚果（金）投资的首个房地产开发项目，</w:t>
      </w:r>
      <w:r>
        <w:rPr>
          <w:rFonts w:hint="eastAsia" w:ascii="仿宋" w:hAnsi="仿宋" w:eastAsia="仿宋" w:cs="仿宋"/>
          <w:sz w:val="32"/>
          <w:szCs w:val="30"/>
          <w:lang w:val="en-US" w:eastAsia="zh-CN"/>
        </w:rPr>
        <w:t>被投资企业为刚果（金）房地产股份有限公司，由中交集团﹑中交一公局以及刚果（金）政府出资成立，所占的股权比例分别为16%﹑64%以及20%。该项目的总建筑面积为23.15万平方米，工程总占地面积为11.9万平方米，容积率为1.95，以中高档住宅为主体。其中，规划住宅10.7万平方米﹑别墅6,685平方米﹑集中商业2.18万平方米﹑配套集中商业1.83万平方米﹑写字楼以及酒店7.73万平方米。该项目的投资总额为4.17亿美元，分4期开发，中交一公局具体负责项目的建设﹑销售以及运营。</w:t>
      </w:r>
    </w:p>
    <w:p>
      <w:pPr>
        <w:spacing w:line="560" w:lineRule="exact"/>
        <w:ind w:left="638" w:leftChars="304" w:firstLine="0" w:firstLineChars="0"/>
        <w:rPr>
          <w:rFonts w:hint="eastAsia" w:ascii="仿宋_GB2312" w:eastAsia="仿宋_GB2312"/>
          <w:sz w:val="32"/>
          <w:szCs w:val="30"/>
          <w:lang w:val="en-US" w:eastAsia="zh-CN"/>
        </w:rPr>
      </w:pPr>
    </w:p>
    <w:p>
      <w:pPr>
        <w:spacing w:line="560" w:lineRule="exact"/>
        <w:ind w:firstLine="755" w:firstLineChars="236"/>
        <w:outlineLvl w:val="0"/>
        <w:rPr>
          <w:rFonts w:ascii="黑体" w:hAnsi="黑体" w:eastAsia="黑体"/>
          <w:bCs/>
          <w:color w:val="000000" w:themeColor="text1"/>
          <w:sz w:val="32"/>
          <w:szCs w:val="30"/>
        </w:rPr>
      </w:pPr>
      <w:r>
        <w:rPr>
          <w:rFonts w:hint="eastAsia" w:ascii="黑体" w:hAnsi="黑体" w:eastAsia="黑体"/>
          <w:bCs/>
          <w:color w:val="000000" w:themeColor="text1"/>
          <w:sz w:val="32"/>
          <w:szCs w:val="30"/>
        </w:rPr>
        <w:t>三、投资管理情况</w:t>
      </w:r>
    </w:p>
    <w:p>
      <w:pPr>
        <w:spacing w:line="560" w:lineRule="exact"/>
        <w:ind w:firstLine="640" w:firstLineChars="200"/>
        <w:rPr>
          <w:rFonts w:hint="eastAsia"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（一）投资管理制度建设及执行情况。</w:t>
      </w:r>
    </w:p>
    <w:p>
      <w:pPr>
        <w:spacing w:line="560" w:lineRule="exact"/>
        <w:ind w:left="638" w:leftChars="304" w:firstLine="0" w:firstLineChars="0"/>
        <w:rPr>
          <w:rFonts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 xml:space="preserve"> 投资项目执行严格按照《中交集团境外投资管理办法》及《中交一公局集团海外事业部投资管理办法》执行，并遵照上述办法逐步编制完善《中交一公局集团海外事业部投资公司管理办法》《中交一公局集团海外事业部投资项目建设管理细则》等办法。 </w:t>
      </w:r>
    </w:p>
    <w:p>
      <w:pPr>
        <w:spacing w:line="560" w:lineRule="exact"/>
        <w:ind w:firstLine="630"/>
        <w:rPr>
          <w:rFonts w:hint="eastAsia"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（二）项目后评价工作和投资专项审计开展情况。</w:t>
      </w:r>
    </w:p>
    <w:p>
      <w:pPr>
        <w:keepNext w:val="0"/>
        <w:keepLines w:val="0"/>
        <w:pageBreakBefore w:val="0"/>
        <w:widowControl w:val="0"/>
        <w:kinsoku/>
        <w:wordWrap/>
        <w:overflowPunct/>
        <w:topLinePunct w:val="0"/>
        <w:autoSpaceDE/>
        <w:autoSpaceDN/>
        <w:bidi w:val="0"/>
        <w:adjustRightInd/>
        <w:snapToGrid/>
        <w:spacing w:line="560" w:lineRule="exact"/>
        <w:ind w:left="958" w:leftChars="304" w:hanging="320" w:hangingChars="100"/>
        <w:textAlignment w:val="auto"/>
        <w:outlineLvl w:val="9"/>
        <w:rPr>
          <w:rFonts w:hint="eastAsia" w:ascii="仿宋_GB2312" w:eastAsia="仿宋_GB2312"/>
          <w:sz w:val="32"/>
          <w:szCs w:val="30"/>
          <w:lang w:val="en-US" w:eastAsia="zh-CN"/>
        </w:rPr>
      </w:pPr>
      <w:r>
        <w:rPr>
          <w:rFonts w:hint="eastAsia" w:ascii="仿宋_GB2312" w:hAnsi="仿宋_GB2312" w:eastAsia="仿宋_GB2312"/>
          <w:color w:val="000000" w:themeColor="text1"/>
          <w:sz w:val="32"/>
          <w:szCs w:val="30"/>
          <w:lang w:val="en-US" w:eastAsia="zh-CN"/>
        </w:rPr>
        <w:t xml:space="preserve"> 1. 喀麦隆</w:t>
      </w:r>
      <w:r>
        <w:rPr>
          <w:rFonts w:hint="eastAsia" w:ascii="仿宋_GB2312" w:eastAsia="仿宋_GB2312"/>
          <w:sz w:val="32"/>
          <w:szCs w:val="30"/>
        </w:rPr>
        <w:t>雅温得综合体项目</w:t>
      </w:r>
      <w:r>
        <w:rPr>
          <w:rFonts w:hint="eastAsia" w:ascii="仿宋_GB2312" w:eastAsia="仿宋_GB2312"/>
          <w:sz w:val="32"/>
          <w:szCs w:val="30"/>
          <w:lang w:val="en-US" w:eastAsia="zh-CN"/>
        </w:rPr>
        <w:t>: 因暂未开工，暂无项目的审计报告资料。</w:t>
      </w:r>
    </w:p>
    <w:p>
      <w:pPr>
        <w:keepNext w:val="0"/>
        <w:keepLines w:val="0"/>
        <w:pageBreakBefore w:val="0"/>
        <w:widowControl w:val="0"/>
        <w:kinsoku/>
        <w:wordWrap/>
        <w:overflowPunct/>
        <w:topLinePunct w:val="0"/>
        <w:autoSpaceDE/>
        <w:autoSpaceDN/>
        <w:bidi w:val="0"/>
        <w:adjustRightInd/>
        <w:snapToGrid/>
        <w:spacing w:line="560" w:lineRule="exact"/>
        <w:ind w:left="638" w:leftChars="304" w:firstLine="0" w:firstLineChars="0"/>
        <w:textAlignment w:val="auto"/>
        <w:outlineLvl w:val="9"/>
        <w:rPr>
          <w:rFonts w:hint="eastAsia" w:ascii="仿宋_GB2312" w:eastAsia="仿宋_GB2312"/>
          <w:sz w:val="32"/>
          <w:szCs w:val="30"/>
          <w:lang w:val="en-US" w:eastAsia="zh-CN"/>
        </w:rPr>
      </w:pPr>
      <w:r>
        <w:rPr>
          <w:rFonts w:hint="eastAsia" w:ascii="仿宋_GB2312" w:eastAsia="仿宋_GB2312"/>
          <w:sz w:val="32"/>
          <w:szCs w:val="30"/>
          <w:lang w:val="en-US" w:eastAsia="zh-CN"/>
        </w:rPr>
        <w:t>2. 刚果（金）金沙萨FIKIN现代城投资项目: 根据该项目之前的审计报告相关资料，正在努力进行相应有效的整改工作，但是由于目前刚果（金）政府局面尚未稳定，具体实行的整改措施将等待政局稳定之后开展下一步的工作。</w:t>
      </w:r>
    </w:p>
    <w:p>
      <w:pPr>
        <w:spacing w:line="560" w:lineRule="exact"/>
        <w:ind w:left="638" w:leftChars="304" w:firstLine="0" w:firstLineChars="0"/>
        <w:rPr>
          <w:rFonts w:hint="eastAsia"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（三）投资风险控制情况。主要从企业投资风险管理体系建设与运行情况，投资对企业资产负债率的影响，企业筹资与偿债能力等方面进行分析。</w:t>
      </w:r>
    </w:p>
    <w:p>
      <w:pPr>
        <w:spacing w:line="560" w:lineRule="exact"/>
        <w:ind w:firstLine="645"/>
        <w:rPr>
          <w:rFonts w:hint="eastAsia"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lang w:val="en-US" w:eastAsia="zh-CN"/>
        </w:rPr>
        <w:t xml:space="preserve">1. </w:t>
      </w:r>
      <w:r>
        <w:rPr>
          <w:rFonts w:hint="eastAsia" w:ascii="仿宋_GB2312" w:hAnsi="仿宋_GB2312" w:eastAsia="仿宋_GB2312"/>
          <w:color w:val="000000" w:themeColor="text1"/>
          <w:sz w:val="32"/>
          <w:szCs w:val="30"/>
        </w:rPr>
        <w:t>喀麦隆雅温得综合体项目</w:t>
      </w:r>
    </w:p>
    <w:p>
      <w:pPr>
        <w:spacing w:line="360" w:lineRule="auto"/>
        <w:ind w:firstLine="640" w:firstLineChars="200"/>
        <w:rPr>
          <w:rFonts w:ascii="仿宋" w:hAnsi="仿宋" w:eastAsia="仿宋"/>
          <w:sz w:val="32"/>
          <w:szCs w:val="22"/>
        </w:rPr>
      </w:pPr>
      <w:r>
        <w:rPr>
          <w:rFonts w:hint="eastAsia" w:ascii="仿宋" w:hAnsi="仿宋" w:eastAsia="仿宋"/>
          <w:sz w:val="32"/>
          <w:szCs w:val="22"/>
        </w:rPr>
        <w:t>（1）政局变动风险</w:t>
      </w:r>
    </w:p>
    <w:p>
      <w:pPr>
        <w:spacing w:line="360" w:lineRule="auto"/>
        <w:ind w:left="638" w:leftChars="304" w:firstLine="0" w:firstLineChars="0"/>
        <w:rPr>
          <w:rFonts w:ascii="仿宋" w:hAnsi="仿宋" w:eastAsia="仿宋"/>
          <w:sz w:val="32"/>
          <w:szCs w:val="22"/>
        </w:rPr>
      </w:pPr>
      <w:r>
        <w:rPr>
          <w:rFonts w:hint="eastAsia" w:ascii="仿宋" w:hAnsi="仿宋" w:eastAsia="仿宋"/>
          <w:sz w:val="32"/>
          <w:szCs w:val="22"/>
        </w:rPr>
        <w:t>喀麦隆总统保罗比亚自1982年当选，至今已连任6届，国内政局稳定。但1933年出生的比亚总统已逾83岁高龄，最高领导人的变更随时可能发生，使得国家政局可能存在一定不确定性。</w:t>
      </w:r>
    </w:p>
    <w:p>
      <w:pPr>
        <w:spacing w:line="360" w:lineRule="auto"/>
        <w:ind w:firstLine="640" w:firstLineChars="200"/>
        <w:rPr>
          <w:rFonts w:eastAsia="仿宋"/>
          <w:sz w:val="32"/>
          <w:szCs w:val="22"/>
        </w:rPr>
      </w:pPr>
      <w:r>
        <w:rPr>
          <w:rFonts w:hint="eastAsia" w:eastAsia="仿宋"/>
          <w:sz w:val="32"/>
          <w:szCs w:val="22"/>
        </w:rPr>
        <w:t>（2）汇率风险</w:t>
      </w:r>
    </w:p>
    <w:p>
      <w:pPr>
        <w:spacing w:line="360" w:lineRule="auto"/>
        <w:ind w:left="638" w:leftChars="304" w:firstLine="0" w:firstLineChars="0"/>
        <w:rPr>
          <w:rFonts w:eastAsia="仿宋"/>
          <w:sz w:val="32"/>
          <w:szCs w:val="22"/>
        </w:rPr>
      </w:pPr>
      <w:r>
        <w:rPr>
          <w:rFonts w:hint="eastAsia" w:eastAsia="仿宋"/>
          <w:sz w:val="32"/>
          <w:szCs w:val="22"/>
        </w:rPr>
        <w:t>近些年喀国政局稳定，经济发展良好，币值趋于稳定，波动较小。但由于喀麦隆经济还比较落后，经济总量较低，易受到外部金融环境影响，造成汇率波动。</w:t>
      </w:r>
    </w:p>
    <w:p>
      <w:pPr>
        <w:numPr>
          <w:ilvl w:val="0"/>
          <w:numId w:val="1"/>
        </w:numPr>
        <w:spacing w:line="560" w:lineRule="exact"/>
        <w:ind w:firstLine="645"/>
        <w:rPr>
          <w:rFonts w:hint="eastAsia"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刚果金现代城项目</w:t>
      </w:r>
    </w:p>
    <w:p>
      <w:pPr>
        <w:numPr>
          <w:ilvl w:val="0"/>
          <w:numId w:val="2"/>
        </w:numPr>
        <w:spacing w:line="560" w:lineRule="exact"/>
        <w:ind w:left="800" w:leftChars="0" w:firstLine="0" w:firstLineChars="0"/>
        <w:rPr>
          <w:rFonts w:hint="eastAsia" w:ascii="仿宋_GB2312" w:hAnsi="仿宋_GB2312" w:eastAsia="仿宋_GB2312"/>
          <w:color w:val="000000" w:themeColor="text1"/>
          <w:sz w:val="32"/>
          <w:szCs w:val="30"/>
          <w:lang w:val="en-US" w:eastAsia="zh-CN"/>
        </w:rPr>
      </w:pPr>
      <w:r>
        <w:rPr>
          <w:rFonts w:hint="eastAsia" w:ascii="仿宋_GB2312" w:hAnsi="仿宋_GB2312" w:eastAsia="仿宋_GB2312"/>
          <w:color w:val="000000" w:themeColor="text1"/>
          <w:sz w:val="32"/>
          <w:szCs w:val="30"/>
          <w:lang w:val="en-US" w:eastAsia="zh-CN"/>
        </w:rPr>
        <w:t>政局动乱风险</w:t>
      </w:r>
    </w:p>
    <w:p>
      <w:pPr>
        <w:numPr>
          <w:ilvl w:val="0"/>
          <w:numId w:val="0"/>
        </w:numPr>
        <w:spacing w:line="560" w:lineRule="exact"/>
        <w:ind w:left="800" w:leftChars="0"/>
        <w:rPr>
          <w:rFonts w:hint="eastAsia" w:ascii="仿宋_GB2312" w:hAnsi="仿宋_GB2312" w:eastAsia="仿宋_GB2312"/>
          <w:color w:val="000000" w:themeColor="text1"/>
          <w:sz w:val="32"/>
          <w:szCs w:val="30"/>
          <w:lang w:val="en-US" w:eastAsia="zh-CN"/>
        </w:rPr>
      </w:pPr>
      <w:r>
        <w:rPr>
          <w:rFonts w:hint="eastAsia" w:ascii="仿宋_GB2312" w:hAnsi="仿宋_GB2312" w:eastAsia="仿宋_GB2312"/>
          <w:color w:val="000000" w:themeColor="text1"/>
          <w:sz w:val="32"/>
          <w:szCs w:val="30"/>
          <w:lang w:val="en-US" w:eastAsia="zh-CN"/>
        </w:rPr>
        <w:t>近年来，刚果（金）国内政局平稳，经济形势趋于好转，整体投资环境不佳，为全球营商环境最差的国家之一，但中刚双边经贸水平逐年提升，双边关系良好。2001年，约瑟夫.卡比拉继任总统以来，刚果（金）国内政局初定，国家重建计划从而得以进行全面推行，国民经济持续平稳增长，但刚果（金）毕竟经历了多年的内战，而且发展经济的时间也比较短，存在政局动荡的反复性潜在风险。</w:t>
      </w:r>
    </w:p>
    <w:p>
      <w:pPr>
        <w:numPr>
          <w:ilvl w:val="0"/>
          <w:numId w:val="2"/>
        </w:numPr>
        <w:spacing w:line="560" w:lineRule="exact"/>
        <w:ind w:left="800" w:leftChars="0" w:firstLine="0" w:firstLineChars="0"/>
        <w:rPr>
          <w:rFonts w:hint="eastAsia" w:ascii="仿宋_GB2312" w:hAnsi="仿宋_GB2312" w:eastAsia="仿宋_GB2312"/>
          <w:color w:val="000000" w:themeColor="text1"/>
          <w:sz w:val="32"/>
          <w:szCs w:val="30"/>
          <w:lang w:val="en-US" w:eastAsia="zh-CN"/>
        </w:rPr>
      </w:pPr>
      <w:r>
        <w:rPr>
          <w:rFonts w:hint="eastAsia" w:ascii="仿宋_GB2312" w:hAnsi="仿宋_GB2312" w:eastAsia="仿宋_GB2312"/>
          <w:color w:val="000000" w:themeColor="text1"/>
          <w:sz w:val="32"/>
          <w:szCs w:val="30"/>
          <w:lang w:val="en-US" w:eastAsia="zh-CN"/>
        </w:rPr>
        <w:t>汇率风险</w:t>
      </w:r>
    </w:p>
    <w:p>
      <w:pPr>
        <w:numPr>
          <w:ilvl w:val="0"/>
          <w:numId w:val="0"/>
        </w:numPr>
        <w:spacing w:line="560" w:lineRule="exact"/>
        <w:ind w:left="800" w:leftChars="0"/>
        <w:rPr>
          <w:rFonts w:hint="eastAsia" w:ascii="仿宋_GB2312" w:hAnsi="仿宋_GB2312" w:eastAsia="仿宋_GB2312"/>
          <w:color w:val="000000" w:themeColor="text1"/>
          <w:sz w:val="32"/>
          <w:szCs w:val="30"/>
          <w:lang w:val="en-US" w:eastAsia="zh-CN"/>
        </w:rPr>
      </w:pPr>
      <w:r>
        <w:rPr>
          <w:rFonts w:hint="eastAsia" w:ascii="仿宋_GB2312" w:hAnsi="仿宋_GB2312" w:eastAsia="仿宋_GB2312"/>
          <w:color w:val="000000" w:themeColor="text1"/>
          <w:sz w:val="32"/>
          <w:szCs w:val="30"/>
          <w:lang w:val="en-US" w:eastAsia="zh-CN"/>
        </w:rPr>
        <w:t>刚果（金）实行外汇管理，总体形势较为宽松，刚果法郎可自由兑换，美元在当地市场可以自由流通。刚郎在历史上有大幅贬值的经历，于2008年受全球金融危机的冲击，导致其货币在不到两年的时间内贬值幅度接近50%，资产价值严重缩水。近几年刚果（金）政局稳定，经济发展向好，币值趋于稳定，波动幅度也较小，但刚果（金）经济总量仍然偏小，易受到突发时间的冲击，造成汇率的波动。</w:t>
      </w:r>
    </w:p>
    <w:p>
      <w:pPr>
        <w:numPr>
          <w:ilvl w:val="0"/>
          <w:numId w:val="2"/>
        </w:numPr>
        <w:spacing w:line="560" w:lineRule="exact"/>
        <w:ind w:left="800" w:leftChars="0" w:firstLine="0" w:firstLineChars="0"/>
        <w:rPr>
          <w:rFonts w:hint="eastAsia" w:ascii="仿宋_GB2312" w:hAnsi="仿宋_GB2312" w:eastAsia="仿宋_GB2312"/>
          <w:color w:val="000000" w:themeColor="text1"/>
          <w:sz w:val="32"/>
          <w:szCs w:val="30"/>
          <w:lang w:val="en-US" w:eastAsia="zh-CN"/>
        </w:rPr>
      </w:pPr>
      <w:r>
        <w:rPr>
          <w:rFonts w:hint="eastAsia" w:ascii="仿宋_GB2312" w:hAnsi="仿宋_GB2312" w:eastAsia="仿宋_GB2312"/>
          <w:color w:val="000000" w:themeColor="text1"/>
          <w:sz w:val="32"/>
          <w:szCs w:val="30"/>
          <w:lang w:val="en-US" w:eastAsia="zh-CN"/>
        </w:rPr>
        <w:t>房地产市场风险</w:t>
      </w:r>
    </w:p>
    <w:p>
      <w:pPr>
        <w:numPr>
          <w:ilvl w:val="0"/>
          <w:numId w:val="0"/>
        </w:numPr>
        <w:spacing w:line="560" w:lineRule="exact"/>
        <w:ind w:left="800" w:leftChars="0"/>
        <w:rPr>
          <w:rFonts w:hint="eastAsia" w:ascii="仿宋_GB2312" w:hAnsi="仿宋_GB2312" w:eastAsia="仿宋_GB2312"/>
          <w:color w:val="000000" w:themeColor="text1"/>
          <w:sz w:val="32"/>
          <w:szCs w:val="30"/>
          <w:lang w:val="en-US" w:eastAsia="zh-CN"/>
        </w:rPr>
      </w:pPr>
      <w:r>
        <w:rPr>
          <w:rFonts w:hint="eastAsia" w:ascii="仿宋_GB2312" w:hAnsi="仿宋_GB2312" w:eastAsia="仿宋_GB2312"/>
          <w:color w:val="000000" w:themeColor="text1"/>
          <w:sz w:val="32"/>
          <w:szCs w:val="30"/>
          <w:lang w:val="en-US" w:eastAsia="zh-CN"/>
        </w:rPr>
        <w:t>刚果（金）首都金沙萨房地产市场供应矛盾突出，供应量严重不足，但是因为该项目为第一个在刚果（金）运作的房地产开发项目，存在对当地房地产市场把握不精准的潜在风险，例如产品不能适销对路</w:t>
      </w:r>
      <w:r>
        <w:rPr>
          <w:rFonts w:hint="eastAsia" w:ascii="仿宋" w:hAnsi="仿宋" w:eastAsia="仿宋" w:cs="仿宋"/>
          <w:color w:val="000000" w:themeColor="text1"/>
          <w:sz w:val="32"/>
          <w:szCs w:val="30"/>
          <w:lang w:val="en-US" w:eastAsia="zh-CN"/>
        </w:rPr>
        <w:t>﹑</w:t>
      </w:r>
      <w:r>
        <w:rPr>
          <w:rFonts w:hint="eastAsia" w:ascii="仿宋_GB2312" w:hAnsi="仿宋_GB2312" w:eastAsia="仿宋_GB2312"/>
          <w:color w:val="000000" w:themeColor="text1"/>
          <w:sz w:val="32"/>
          <w:szCs w:val="30"/>
          <w:lang w:val="en-US" w:eastAsia="zh-CN"/>
        </w:rPr>
        <w:t>有效客户群体的需求定位不清晰等方面，从而导致该项目达不到预期的收益。</w:t>
      </w:r>
    </w:p>
    <w:p>
      <w:pPr>
        <w:numPr>
          <w:ilvl w:val="0"/>
          <w:numId w:val="0"/>
        </w:numPr>
        <w:spacing w:line="560" w:lineRule="exact"/>
        <w:ind w:left="800" w:leftChars="0"/>
        <w:rPr>
          <w:rFonts w:hint="eastAsia" w:ascii="仿宋_GB2312" w:hAnsi="仿宋_GB2312" w:eastAsia="仿宋_GB2312"/>
          <w:color w:val="000000" w:themeColor="text1"/>
          <w:sz w:val="32"/>
          <w:szCs w:val="30"/>
          <w:lang w:val="en-US" w:eastAsia="zh-CN"/>
        </w:rPr>
      </w:pPr>
    </w:p>
    <w:p>
      <w:pPr>
        <w:numPr>
          <w:ilvl w:val="0"/>
          <w:numId w:val="3"/>
        </w:numPr>
        <w:spacing w:line="560" w:lineRule="exact"/>
        <w:ind w:firstLine="681" w:firstLineChars="213"/>
        <w:rPr>
          <w:rFonts w:ascii="黑体" w:hAnsi="黑体" w:eastAsia="黑体"/>
          <w:bCs/>
          <w:sz w:val="32"/>
          <w:szCs w:val="30"/>
        </w:rPr>
      </w:pPr>
      <w:r>
        <w:rPr>
          <w:rFonts w:hint="eastAsia" w:ascii="黑体" w:hAnsi="黑体" w:eastAsia="黑体"/>
          <w:bCs/>
          <w:sz w:val="32"/>
          <w:szCs w:val="30"/>
        </w:rPr>
        <w:t>投资效果分析</w:t>
      </w:r>
    </w:p>
    <w:p>
      <w:pPr>
        <w:spacing w:line="560" w:lineRule="exact"/>
        <w:ind w:left="638" w:leftChars="304" w:firstLine="38" w:firstLineChars="12"/>
        <w:rPr>
          <w:rFonts w:hint="eastAsia" w:ascii="仿宋_GB2312" w:hAnsi="仿宋_GB2312" w:eastAsia="仿宋_GB2312"/>
          <w:color w:val="FF0000"/>
          <w:sz w:val="32"/>
          <w:szCs w:val="30"/>
        </w:rPr>
      </w:pPr>
      <w:r>
        <w:rPr>
          <w:rFonts w:hint="eastAsia" w:ascii="仿宋_GB2312" w:hAnsi="仿宋_GB2312" w:eastAsia="仿宋_GB2312"/>
          <w:sz w:val="32"/>
          <w:szCs w:val="30"/>
        </w:rPr>
        <w:t>（一）2018年投资计划执行情况、计划执行率及波动原因分析。</w:t>
      </w:r>
      <w:r>
        <w:rPr>
          <w:rFonts w:hint="eastAsia" w:ascii="仿宋_GB2312" w:hAnsi="仿宋_GB2312" w:eastAsia="仿宋_GB2312"/>
          <w:color w:val="000000" w:themeColor="text1"/>
          <w:sz w:val="32"/>
          <w:szCs w:val="30"/>
        </w:rPr>
        <w:t>（上级未下发无投资计划指标）</w:t>
      </w:r>
    </w:p>
    <w:p>
      <w:pPr>
        <w:numPr>
          <w:ilvl w:val="0"/>
          <w:numId w:val="4"/>
        </w:numPr>
        <w:spacing w:line="560" w:lineRule="exact"/>
        <w:ind w:left="638" w:leftChars="304" w:firstLine="38" w:firstLineChars="12"/>
        <w:rPr>
          <w:rFonts w:hint="eastAsia"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喀麦隆雅温得综合体项目2018年底正式开工，按照总体投资计划执行。</w:t>
      </w:r>
    </w:p>
    <w:p>
      <w:pPr>
        <w:numPr>
          <w:ilvl w:val="0"/>
          <w:numId w:val="4"/>
        </w:numPr>
        <w:spacing w:line="560" w:lineRule="exact"/>
        <w:ind w:left="638" w:leftChars="304" w:firstLine="38" w:firstLineChars="12"/>
        <w:rPr>
          <w:rFonts w:hint="eastAsia"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刚果金现代城项目目前由于刚果金政府大选，造成一定波动，等待大选结束，政治经济形势好转之后逐步推进。</w:t>
      </w:r>
    </w:p>
    <w:p>
      <w:pPr>
        <w:spacing w:line="560" w:lineRule="exact"/>
        <w:ind w:firstLine="681" w:firstLineChars="213"/>
        <w:rPr>
          <w:rFonts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（三）企业层面的效果。</w:t>
      </w:r>
    </w:p>
    <w:p>
      <w:pPr>
        <w:spacing w:line="560" w:lineRule="exact"/>
        <w:ind w:left="638" w:leftChars="304" w:firstLine="38" w:firstLineChars="12"/>
        <w:rPr>
          <w:rFonts w:hint="eastAsia"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结合实例、数据，分析投资对完成企业战略规划目标、转型升级、结构调整、科技创新、国际化经营、可持续发展等方面的作用。</w:t>
      </w:r>
    </w:p>
    <w:p>
      <w:pPr>
        <w:numPr>
          <w:ilvl w:val="0"/>
          <w:numId w:val="5"/>
        </w:numPr>
        <w:spacing w:line="560" w:lineRule="exact"/>
        <w:ind w:left="638" w:leftChars="304" w:firstLine="38" w:firstLineChars="12"/>
        <w:rPr>
          <w:rFonts w:hint="eastAsia" w:ascii="仿宋_GB2312" w:hAnsi="仿宋_GB2312" w:eastAsia="仿宋_GB2312"/>
          <w:color w:val="000000" w:themeColor="text1"/>
          <w:sz w:val="32"/>
          <w:szCs w:val="30"/>
        </w:rPr>
      </w:pPr>
      <w:r>
        <w:rPr>
          <w:rFonts w:hint="eastAsia" w:ascii="仿宋_GB2312" w:hAnsi="仿宋_GB2312" w:eastAsia="仿宋_GB2312"/>
          <w:color w:val="000000" w:themeColor="text1"/>
          <w:sz w:val="32"/>
          <w:szCs w:val="30"/>
        </w:rPr>
        <w:t>喀麦隆雅温得综合体项目动工推进，有效带动房建施工主业，有效依托现有房建项目及资源，降低建设成本。 并在当地政府及社会形成良好形象，着力消化当地币，带动企业投资转型，形成长期可运营资产。</w:t>
      </w:r>
    </w:p>
    <w:p>
      <w:pPr>
        <w:numPr>
          <w:ilvl w:val="0"/>
          <w:numId w:val="5"/>
        </w:numPr>
        <w:spacing w:line="560" w:lineRule="exact"/>
        <w:ind w:left="638" w:leftChars="304" w:firstLine="38" w:firstLineChars="12"/>
        <w:rPr>
          <w:rFonts w:hint="eastAsia" w:ascii="仿宋_GB2312" w:hAnsi="仿宋_GB2312" w:eastAsia="仿宋_GB2312"/>
          <w:color w:val="000000" w:themeColor="text1"/>
          <w:sz w:val="32"/>
          <w:szCs w:val="30"/>
          <w:lang w:val="en-US" w:eastAsia="zh-CN"/>
        </w:rPr>
      </w:pPr>
      <w:r>
        <w:rPr>
          <w:rFonts w:hint="eastAsia" w:ascii="仿宋_GB2312" w:eastAsia="仿宋_GB2312"/>
          <w:color w:val="000000" w:themeColor="text1"/>
          <w:sz w:val="32"/>
          <w:szCs w:val="30"/>
          <w:lang w:val="en-US" w:eastAsia="zh-CN"/>
        </w:rPr>
        <w:t>刚果（金）金沙萨FIKIN现代城投资项目缘起于债务清偿，投资该项目不仅仅能有效降低应收账款坏账的风险，而且还有良好的预期收益。与刚果（金）政府一起合作开发项目，从而降低政府的负债，改善当地群众的居住条件，建设城市化现代风貌。该项目一期住宅楼已经顺利进入使用阶段，标志着公司在海外市场已开拓新的投资渠道。通过现有的项目，从策划、施工及营销等多方面进行经验的总结，实现本公司海外房地产投资项目利润最大化。本项目在当地政府及市场取得了良好的口碑，不仅成为了标志性住宅楼建筑物，同时也解决了部分当地劳工就业问题，保障了公司在当地激烈的市场中占有一席之地。为实施好集团战略转型的海外落地，积极寻求在新业务领域的突破，在“固本强基”传统业务的同时，密切关注海外房地产市场的发展。投资该项目既符合当地房地产市场的需求，结合当地实际情况嫁接国内成熟的房地产开发理念，同时又有助于积累海外房地产开发的经验，创造新的利润增长点。</w:t>
      </w:r>
    </w:p>
    <w:p>
      <w:pPr>
        <w:spacing w:line="560" w:lineRule="exact"/>
        <w:ind w:firstLine="681" w:firstLineChars="213"/>
        <w:rPr>
          <w:rFonts w:ascii="仿宋_GB2312" w:hAnsi="仿宋_GB2312" w:eastAsia="仿宋_GB2312"/>
          <w:color w:val="FF0000"/>
          <w:sz w:val="32"/>
          <w:szCs w:val="30"/>
        </w:rPr>
      </w:pPr>
    </w:p>
    <w:p>
      <w:pPr>
        <w:spacing w:line="560" w:lineRule="exact"/>
        <w:ind w:firstLine="640" w:firstLineChars="200"/>
        <w:outlineLvl w:val="0"/>
        <w:rPr>
          <w:rFonts w:ascii="黑体" w:hAnsi="黑体" w:eastAsia="黑体"/>
          <w:bCs/>
          <w:sz w:val="32"/>
          <w:szCs w:val="30"/>
        </w:rPr>
      </w:pPr>
      <w:r>
        <w:rPr>
          <w:rFonts w:hint="eastAsia" w:ascii="黑体" w:hAnsi="黑体" w:eastAsia="黑体"/>
          <w:bCs/>
          <w:sz w:val="32"/>
          <w:szCs w:val="30"/>
        </w:rPr>
        <w:t>五、问题和建议</w:t>
      </w:r>
    </w:p>
    <w:p>
      <w:pPr>
        <w:spacing w:line="560" w:lineRule="exact"/>
        <w:ind w:left="638" w:leftChars="304" w:firstLine="0" w:firstLineChars="0"/>
        <w:outlineLvl w:val="0"/>
        <w:rPr>
          <w:rFonts w:hint="eastAsia" w:ascii="仿宋_GB2312" w:hAnsi="仿宋_GB2312" w:eastAsia="仿宋_GB2312"/>
          <w:sz w:val="32"/>
          <w:szCs w:val="30"/>
        </w:rPr>
      </w:pPr>
      <w:r>
        <w:rPr>
          <w:rFonts w:hint="eastAsia" w:ascii="仿宋_GB2312" w:eastAsia="仿宋_GB2312"/>
          <w:sz w:val="32"/>
          <w:szCs w:val="30"/>
          <w:lang w:val="en-US" w:eastAsia="zh-CN"/>
        </w:rPr>
        <w:t xml:space="preserve">1. </w:t>
      </w:r>
      <w:r>
        <w:rPr>
          <w:rFonts w:hint="eastAsia" w:ascii="仿宋_GB2312" w:eastAsia="仿宋_GB2312"/>
          <w:sz w:val="32"/>
          <w:szCs w:val="30"/>
        </w:rPr>
        <w:t>喀麦隆雅温得</w:t>
      </w:r>
      <w:r>
        <w:rPr>
          <w:rFonts w:hint="eastAsia" w:ascii="仿宋_GB2312" w:hAnsi="仿宋_GB2312" w:eastAsia="仿宋_GB2312"/>
          <w:sz w:val="32"/>
          <w:szCs w:val="30"/>
        </w:rPr>
        <w:t>综合体项目为2018年新投房地产开发项目，投资管理制度有待健全，需加强投资管理制度建设。营销工作缺乏人力资源，正在逐步加强营销人力资源培养或储备。</w:t>
      </w:r>
    </w:p>
    <w:p>
      <w:pPr>
        <w:spacing w:line="560" w:lineRule="exact"/>
        <w:ind w:left="638" w:leftChars="304" w:firstLine="0" w:firstLineChars="0"/>
        <w:outlineLvl w:val="0"/>
        <w:rPr>
          <w:rFonts w:hint="eastAsia" w:ascii="仿宋_GB2312" w:eastAsia="仿宋_GB2312"/>
          <w:sz w:val="32"/>
          <w:szCs w:val="30"/>
          <w:lang w:val="en-US" w:eastAsia="zh-CN"/>
        </w:rPr>
      </w:pPr>
      <w:r>
        <w:rPr>
          <w:rFonts w:hint="eastAsia" w:ascii="仿宋_GB2312" w:hAnsi="仿宋_GB2312" w:eastAsia="仿宋_GB2312"/>
          <w:sz w:val="32"/>
          <w:szCs w:val="30"/>
          <w:lang w:val="en-US" w:eastAsia="zh-CN"/>
        </w:rPr>
        <w:t xml:space="preserve">2. </w:t>
      </w:r>
      <w:r>
        <w:rPr>
          <w:rFonts w:hint="eastAsia" w:ascii="仿宋_GB2312" w:eastAsia="仿宋_GB2312"/>
          <w:sz w:val="32"/>
          <w:szCs w:val="30"/>
          <w:lang w:val="en-US" w:eastAsia="zh-CN"/>
        </w:rPr>
        <w:t>刚果（金）金沙萨FIKIN项目S1、S2#住宅楼项目已进入营销阶段，总结2018年度的租售情况并不理想，需配备专业的营销人才，完善小区健身房、泳池等配套设施建设。</w:t>
      </w:r>
    </w:p>
    <w:p>
      <w:pPr>
        <w:spacing w:line="560" w:lineRule="exact"/>
        <w:ind w:firstLine="640" w:firstLineChars="200"/>
        <w:rPr>
          <w:rFonts w:hint="eastAsia" w:ascii="黑体" w:hAnsi="黑体" w:eastAsia="黑体"/>
          <w:bCs/>
          <w:color w:val="000000" w:themeColor="text1"/>
          <w:sz w:val="32"/>
          <w:szCs w:val="30"/>
        </w:rPr>
      </w:pPr>
      <w:r>
        <w:rPr>
          <w:rFonts w:hint="eastAsia" w:ascii="黑体" w:hAnsi="黑体" w:eastAsia="黑体"/>
          <w:bCs/>
          <w:color w:val="000000" w:themeColor="text1"/>
          <w:sz w:val="32"/>
          <w:szCs w:val="30"/>
        </w:rPr>
        <w:t>六、2019年投资计划初步安排</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left="638" w:leftChars="304" w:firstLine="0" w:firstLineChars="0"/>
        <w:textAlignment w:val="auto"/>
        <w:outlineLvl w:val="9"/>
        <w:rPr>
          <w:rFonts w:hint="eastAsia" w:ascii="仿宋" w:hAnsi="仿宋" w:eastAsia="仿宋" w:cs="仿宋"/>
          <w:b w:val="0"/>
          <w:bCs/>
          <w:color w:val="000000" w:themeColor="text1"/>
          <w:sz w:val="32"/>
          <w:szCs w:val="30"/>
          <w:lang w:val="en-US" w:eastAsia="zh-CN"/>
        </w:rPr>
      </w:pPr>
      <w:r>
        <w:rPr>
          <w:rFonts w:hint="eastAsia" w:ascii="仿宋" w:hAnsi="仿宋" w:eastAsia="仿宋" w:cs="仿宋"/>
          <w:b w:val="0"/>
          <w:bCs/>
          <w:color w:val="000000" w:themeColor="text1"/>
          <w:sz w:val="32"/>
          <w:szCs w:val="30"/>
          <w:lang w:val="en-US" w:eastAsia="zh-CN"/>
        </w:rPr>
        <w:t>喀麦隆</w:t>
      </w:r>
      <w:r>
        <w:rPr>
          <w:rFonts w:hint="eastAsia" w:ascii="仿宋_GB2312" w:eastAsia="仿宋_GB2312"/>
          <w:sz w:val="32"/>
          <w:szCs w:val="30"/>
        </w:rPr>
        <w:t>雅温得</w:t>
      </w:r>
      <w:r>
        <w:rPr>
          <w:rFonts w:hint="eastAsia" w:ascii="仿宋_GB2312" w:hAnsi="仿宋_GB2312" w:eastAsia="仿宋_GB2312"/>
          <w:sz w:val="32"/>
          <w:szCs w:val="30"/>
        </w:rPr>
        <w:t>综合体项目</w:t>
      </w:r>
      <w:r>
        <w:rPr>
          <w:rFonts w:hint="eastAsia" w:ascii="仿宋_GB2312" w:eastAsia="仿宋_GB2312"/>
          <w:sz w:val="32"/>
          <w:szCs w:val="30"/>
        </w:rPr>
        <w:t>进入2#、3#楼施工投入阶段</w:t>
      </w:r>
      <w:r>
        <w:rPr>
          <w:rFonts w:hint="eastAsia" w:ascii="仿宋_GB2312" w:eastAsia="仿宋_GB2312"/>
          <w:sz w:val="32"/>
          <w:szCs w:val="30"/>
          <w:lang w:eastAsia="zh-CN"/>
        </w:rPr>
        <w:t>，</w:t>
      </w:r>
      <w:r>
        <w:rPr>
          <w:rFonts w:hint="eastAsia" w:ascii="仿宋_GB2312" w:hAnsi="仿宋_GB2312" w:eastAsia="仿宋_GB2312"/>
          <w:sz w:val="32"/>
          <w:szCs w:val="30"/>
          <w:lang w:val="en-US" w:eastAsia="zh-CN"/>
        </w:rPr>
        <w:t>2019年的投资预算金额为8,636 万元。</w:t>
      </w:r>
    </w:p>
    <w:p>
      <w:pPr>
        <w:numPr>
          <w:ilvl w:val="0"/>
          <w:numId w:val="6"/>
        </w:numPr>
        <w:spacing w:line="560" w:lineRule="exact"/>
        <w:ind w:left="638" w:leftChars="304" w:firstLine="0" w:firstLineChars="0"/>
        <w:rPr>
          <w:rFonts w:hint="eastAsia" w:ascii="仿宋" w:hAnsi="仿宋" w:eastAsia="仿宋" w:cs="仿宋"/>
          <w:b w:val="0"/>
          <w:bCs/>
          <w:color w:val="000000" w:themeColor="text1"/>
          <w:sz w:val="32"/>
          <w:szCs w:val="30"/>
          <w:lang w:val="en-US" w:eastAsia="zh-CN"/>
        </w:rPr>
      </w:pPr>
      <w:r>
        <w:rPr>
          <w:rFonts w:hint="eastAsia" w:ascii="仿宋" w:hAnsi="仿宋" w:eastAsia="仿宋" w:cs="仿宋"/>
          <w:b w:val="0"/>
          <w:bCs/>
          <w:color w:val="000000" w:themeColor="text1"/>
          <w:sz w:val="32"/>
          <w:szCs w:val="30"/>
          <w:lang w:val="en-US" w:eastAsia="zh-CN"/>
        </w:rPr>
        <w:t>刚果</w:t>
      </w:r>
      <w:r>
        <w:rPr>
          <w:rFonts w:hint="eastAsia" w:ascii="仿宋_GB2312" w:eastAsia="仿宋_GB2312"/>
          <w:sz w:val="32"/>
          <w:szCs w:val="30"/>
          <w:lang w:val="en-US" w:eastAsia="zh-CN"/>
        </w:rPr>
        <w:t>（金）金沙萨FIKIN项目因现处于营销租售阶段，而且目前当地政府局面暂不稳定，2019年投资预算金额待定。</w:t>
      </w:r>
      <w:bookmarkStart w:id="1" w:name="_GoBack"/>
      <w:bookmarkEnd w:id="1"/>
    </w:p>
    <w:p>
      <w:pPr>
        <w:rPr>
          <w:rFonts w:hint="eastAsia" w:ascii="仿宋" w:hAnsi="仿宋" w:eastAsia="仿宋" w:cs="仿宋"/>
          <w:sz w:val="24"/>
          <w:szCs w:val="24"/>
        </w:rPr>
      </w:pPr>
      <w:r>
        <w:rPr>
          <w:rFonts w:hint="eastAsia" w:ascii="仿宋" w:hAnsi="仿宋" w:eastAsia="仿宋" w:cs="仿宋"/>
          <w:sz w:val="24"/>
          <w:szCs w:val="24"/>
        </w:rPr>
        <w:t xml:space="preserve">   </w:t>
      </w:r>
    </w:p>
    <w:sectPr>
      <w:footerReference r:id="rId3" w:type="default"/>
      <w:pgSz w:w="11906" w:h="16838"/>
      <w:pgMar w:top="1587" w:right="1417" w:bottom="1587" w:left="141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Align="top"/>
      <w:pBdr>
        <w:between w:val="none" w:color="auto" w:sz="0" w:space="0"/>
      </w:pBdr>
    </w:pPr>
    <w:r>
      <w:fldChar w:fldCharType="begin"/>
    </w:r>
    <w:r>
      <w:rPr>
        <w:rStyle w:val="5"/>
      </w:rPr>
      <w:instrText xml:space="preserve"> PAGE  </w:instrText>
    </w:r>
    <w:r>
      <w:fldChar w:fldCharType="separate"/>
    </w:r>
    <w:r>
      <w:rPr>
        <w:rStyle w:val="5"/>
      </w:rPr>
      <w:t>2</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08AA0"/>
    <w:multiLevelType w:val="singleLevel"/>
    <w:tmpl w:val="8ED08AA0"/>
    <w:lvl w:ilvl="0" w:tentative="0">
      <w:start w:val="1"/>
      <w:numFmt w:val="decimal"/>
      <w:suff w:val="space"/>
      <w:lvlText w:val="（%1）"/>
      <w:lvlJc w:val="left"/>
      <w:pPr>
        <w:ind w:left="800" w:leftChars="0" w:firstLine="0" w:firstLineChars="0"/>
      </w:pPr>
    </w:lvl>
  </w:abstractNum>
  <w:abstractNum w:abstractNumId="1">
    <w:nsid w:val="9A0B2FDA"/>
    <w:multiLevelType w:val="singleLevel"/>
    <w:tmpl w:val="9A0B2FDA"/>
    <w:lvl w:ilvl="0" w:tentative="0">
      <w:start w:val="1"/>
      <w:numFmt w:val="decimal"/>
      <w:suff w:val="space"/>
      <w:lvlText w:val="%1."/>
      <w:lvlJc w:val="left"/>
    </w:lvl>
  </w:abstractNum>
  <w:abstractNum w:abstractNumId="2">
    <w:nsid w:val="0000000A"/>
    <w:multiLevelType w:val="singleLevel"/>
    <w:tmpl w:val="0000000A"/>
    <w:lvl w:ilvl="0" w:tentative="0">
      <w:start w:val="4"/>
      <w:numFmt w:val="chineseCounting"/>
      <w:suff w:val="nothing"/>
      <w:lvlText w:val="%1、"/>
      <w:lvlJc w:val="left"/>
    </w:lvl>
  </w:abstractNum>
  <w:abstractNum w:abstractNumId="3">
    <w:nsid w:val="201B7E3A"/>
    <w:multiLevelType w:val="singleLevel"/>
    <w:tmpl w:val="201B7E3A"/>
    <w:lvl w:ilvl="0" w:tentative="0">
      <w:start w:val="1"/>
      <w:numFmt w:val="decimal"/>
      <w:suff w:val="space"/>
      <w:lvlText w:val="%1."/>
      <w:lvlJc w:val="left"/>
    </w:lvl>
  </w:abstractNum>
  <w:abstractNum w:abstractNumId="4">
    <w:nsid w:val="41F174F5"/>
    <w:multiLevelType w:val="singleLevel"/>
    <w:tmpl w:val="41F174F5"/>
    <w:lvl w:ilvl="0" w:tentative="0">
      <w:start w:val="2"/>
      <w:numFmt w:val="decimal"/>
      <w:suff w:val="space"/>
      <w:lvlText w:val="%1."/>
      <w:lvlJc w:val="left"/>
    </w:lvl>
  </w:abstractNum>
  <w:abstractNum w:abstractNumId="5">
    <w:nsid w:val="7045B7D1"/>
    <w:multiLevelType w:val="singleLevel"/>
    <w:tmpl w:val="7045B7D1"/>
    <w:lvl w:ilvl="0" w:tentative="0">
      <w:start w:val="1"/>
      <w:numFmt w:val="decimal"/>
      <w:suff w:val="space"/>
      <w:lvlText w:val="%1."/>
      <w:lvlJc w:val="left"/>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6478E"/>
    <w:rsid w:val="00035FF9"/>
    <w:rsid w:val="000E1F32"/>
    <w:rsid w:val="000F1DA1"/>
    <w:rsid w:val="00215BCB"/>
    <w:rsid w:val="003119E8"/>
    <w:rsid w:val="00700F25"/>
    <w:rsid w:val="00766B2E"/>
    <w:rsid w:val="0090530B"/>
    <w:rsid w:val="00934DCF"/>
    <w:rsid w:val="00AF461B"/>
    <w:rsid w:val="00B4322D"/>
    <w:rsid w:val="00C57C1A"/>
    <w:rsid w:val="00C631A5"/>
    <w:rsid w:val="00C6478E"/>
    <w:rsid w:val="00CB0E98"/>
    <w:rsid w:val="00DB3EB9"/>
    <w:rsid w:val="00E078FB"/>
    <w:rsid w:val="00F317B6"/>
    <w:rsid w:val="00F920E2"/>
    <w:rsid w:val="00FE36D3"/>
    <w:rsid w:val="01203B3E"/>
    <w:rsid w:val="02AF014A"/>
    <w:rsid w:val="0A4B3351"/>
    <w:rsid w:val="0AEF1398"/>
    <w:rsid w:val="0D622ECF"/>
    <w:rsid w:val="0EF37599"/>
    <w:rsid w:val="12CE4D1F"/>
    <w:rsid w:val="140A76AC"/>
    <w:rsid w:val="17AA7B69"/>
    <w:rsid w:val="23E04783"/>
    <w:rsid w:val="31957F8A"/>
    <w:rsid w:val="31E474DE"/>
    <w:rsid w:val="384C0536"/>
    <w:rsid w:val="3A8A1C60"/>
    <w:rsid w:val="3F805503"/>
    <w:rsid w:val="403105FF"/>
    <w:rsid w:val="448D26B7"/>
    <w:rsid w:val="4AB57EB5"/>
    <w:rsid w:val="544C6AF8"/>
    <w:rsid w:val="545F2BCB"/>
    <w:rsid w:val="590643C5"/>
    <w:rsid w:val="59A66FE0"/>
    <w:rsid w:val="5A6C630D"/>
    <w:rsid w:val="5AEF5099"/>
    <w:rsid w:val="5B0430BB"/>
    <w:rsid w:val="69F93CA6"/>
    <w:rsid w:val="6B232E16"/>
    <w:rsid w:val="6C151C6E"/>
    <w:rsid w:val="6F3A583B"/>
    <w:rsid w:val="701D196F"/>
    <w:rsid w:val="77BC2E00"/>
    <w:rsid w:val="7CCF23B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脚 Char"/>
    <w:basedOn w:val="4"/>
    <w:link w:val="2"/>
    <w:qFormat/>
    <w:uiPriority w:val="0"/>
    <w:rPr>
      <w:rFonts w:ascii="Times New Roman" w:hAnsi="Times New Roman" w:eastAsia="宋体" w:cs="Times New Roman"/>
      <w:sz w:val="18"/>
      <w:szCs w:val="20"/>
    </w:rPr>
  </w:style>
  <w:style w:type="character" w:customStyle="1" w:styleId="8">
    <w:name w:val="页眉 Char"/>
    <w:basedOn w:val="4"/>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CCCCLTD</Company>
  <Pages>3</Pages>
  <Words>191</Words>
  <Characters>1091</Characters>
  <Lines>9</Lines>
  <Paragraphs>2</Paragraphs>
  <TotalTime>3</TotalTime>
  <ScaleCrop>false</ScaleCrop>
  <LinksUpToDate>false</LinksUpToDate>
  <CharactersWithSpaces>1280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2018-12-14T03:19:00Z</dcterms:created>
  <dc:creator>Windows 用户</dc:creator>
  <cp:lastModifiedBy>lenovo</cp:lastModifiedBy>
  <cp:lastPrinted>2018-12-14T08:41:00Z</cp:lastPrinted>
  <dcterms:modified xsi:type="dcterms:W3CDTF">2018-12-17T03:46:40Z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