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087"/>
          <w:sz w:val="36"/>
        </w:rPr>
        <w:t>SAU AI Ethics Toolkit</w:t>
        <w:br/>
        <w:t>Security Audit and Deployment Readiness Report</w:t>
      </w:r>
    </w:p>
    <w:p>
      <w:pPr>
        <w:jc w:val="center"/>
      </w:pPr>
      <w:r>
        <w:rPr>
          <w:i/>
          <w:sz w:val="22"/>
        </w:rPr>
        <w:t>Prepared for PHIL 102 Critical Thinking &amp; AI Ethics Toolkit</w:t>
      </w:r>
    </w:p>
    <w:p>
      <w:pPr>
        <w:jc w:val="center"/>
      </w:pPr>
      <w:r>
        <w:t>Prepared by: Austin Engels | Final class-review build | May 2026</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003087"/>
          </w:tcPr>
          <w:p>
            <w:r>
              <w:rPr>
                <w:rFonts w:ascii="Calibri" w:hAnsi="Calibri"/>
                <w:sz w:val="20"/>
              </w:rPr>
            </w:r>
            <w:r>
              <w:rPr>
                <w:rFonts w:ascii="Calibri" w:hAnsi="Calibri"/>
                <w:b/>
                <w:color w:val="FFFFFF"/>
                <w:sz w:val="20"/>
              </w:rPr>
              <w:t>Project</w:t>
            </w:r>
          </w:p>
        </w:tc>
        <w:tc>
          <w:tcPr>
            <w:tcW w:type="dxa" w:w="5112"/>
            <w:vAlign w:val="top"/>
          </w:tcPr>
          <w:p>
            <w:r>
              <w:rPr>
                <w:rFonts w:ascii="Calibri" w:hAnsi="Calibri"/>
                <w:sz w:val="20"/>
              </w:rPr>
            </w:r>
            <w:r>
              <w:rPr>
                <w:rFonts w:ascii="Calibri" w:hAnsi="Calibri"/>
                <w:b w:val="0"/>
                <w:sz w:val="20"/>
              </w:rPr>
              <w:t>St. Ambrose University Critical Thinking &amp; AI Ethics Toolkit</w:t>
            </w:r>
          </w:p>
        </w:tc>
      </w:tr>
      <w:tr>
        <w:tc>
          <w:tcPr>
            <w:tcW w:type="dxa" w:w="5112"/>
            <w:vAlign w:val="top"/>
            <w:shd w:fill="003087"/>
          </w:tcPr>
          <w:p>
            <w:r>
              <w:rPr>
                <w:rFonts w:ascii="Calibri" w:hAnsi="Calibri"/>
                <w:sz w:val="20"/>
              </w:rPr>
            </w:r>
            <w:r>
              <w:rPr>
                <w:rFonts w:ascii="Calibri" w:hAnsi="Calibri"/>
                <w:b/>
                <w:color w:val="FFFFFF"/>
                <w:sz w:val="20"/>
              </w:rPr>
              <w:t>Repository folder</w:t>
            </w:r>
          </w:p>
        </w:tc>
        <w:tc>
          <w:tcPr>
            <w:tcW w:type="dxa" w:w="5112"/>
            <w:vAlign w:val="top"/>
          </w:tcPr>
          <w:p>
            <w:r>
              <w:rPr>
                <w:rFonts w:ascii="Calibri" w:hAnsi="Calibri"/>
                <w:sz w:val="20"/>
              </w:rPr>
            </w:r>
            <w:r>
              <w:rPr>
                <w:rFonts w:ascii="Calibri" w:hAnsi="Calibri"/>
                <w:b w:val="0"/>
                <w:sz w:val="20"/>
              </w:rPr>
              <w:t>sau-ai-ethics-toolkit</w:t>
            </w:r>
          </w:p>
        </w:tc>
      </w:tr>
      <w:tr>
        <w:tc>
          <w:tcPr>
            <w:tcW w:type="dxa" w:w="5112"/>
            <w:vAlign w:val="top"/>
            <w:shd w:fill="003087"/>
          </w:tcPr>
          <w:p>
            <w:r>
              <w:rPr>
                <w:rFonts w:ascii="Calibri" w:hAnsi="Calibri"/>
                <w:sz w:val="20"/>
              </w:rPr>
            </w:r>
            <w:r>
              <w:rPr>
                <w:rFonts w:ascii="Calibri" w:hAnsi="Calibri"/>
                <w:b/>
                <w:color w:val="FFFFFF"/>
                <w:sz w:val="20"/>
              </w:rPr>
              <w:t>Deployment model</w:t>
            </w:r>
          </w:p>
        </w:tc>
        <w:tc>
          <w:tcPr>
            <w:tcW w:type="dxa" w:w="5112"/>
            <w:vAlign w:val="top"/>
          </w:tcPr>
          <w:p>
            <w:r>
              <w:rPr>
                <w:rFonts w:ascii="Calibri" w:hAnsi="Calibri"/>
                <w:sz w:val="20"/>
              </w:rPr>
            </w:r>
            <w:r>
              <w:rPr>
                <w:rFonts w:ascii="Calibri" w:hAnsi="Calibri"/>
                <w:b w:val="0"/>
                <w:sz w:val="20"/>
              </w:rPr>
              <w:t>Static site deployed through GitHub and Cloudflare Pages</w:t>
            </w:r>
          </w:p>
        </w:tc>
      </w:tr>
      <w:tr>
        <w:tc>
          <w:tcPr>
            <w:tcW w:type="dxa" w:w="5112"/>
            <w:vAlign w:val="top"/>
            <w:shd w:fill="003087"/>
          </w:tcPr>
          <w:p>
            <w:r>
              <w:rPr>
                <w:rFonts w:ascii="Calibri" w:hAnsi="Calibri"/>
                <w:sz w:val="20"/>
              </w:rPr>
            </w:r>
            <w:r>
              <w:rPr>
                <w:rFonts w:ascii="Calibri" w:hAnsi="Calibri"/>
                <w:b/>
                <w:color w:val="FFFFFF"/>
                <w:sz w:val="20"/>
              </w:rPr>
              <w:t>Audit scope</w:t>
            </w:r>
          </w:p>
        </w:tc>
        <w:tc>
          <w:tcPr>
            <w:tcW w:type="dxa" w:w="5112"/>
            <w:vAlign w:val="top"/>
          </w:tcPr>
          <w:p>
            <w:r>
              <w:rPr>
                <w:rFonts w:ascii="Calibri" w:hAnsi="Calibri"/>
                <w:sz w:val="20"/>
              </w:rPr>
            </w:r>
            <w:r>
              <w:rPr>
                <w:rFonts w:ascii="Calibri" w:hAnsi="Calibri"/>
                <w:b w:val="0"/>
                <w:sz w:val="20"/>
              </w:rPr>
              <w:t>Static site code, content/data flow, media handling, security headers, documentation, and deployment-readiness posture</w:t>
            </w:r>
          </w:p>
        </w:tc>
      </w:tr>
      <w:tr>
        <w:tc>
          <w:tcPr>
            <w:tcW w:type="dxa" w:w="5112"/>
            <w:vAlign w:val="top"/>
            <w:shd w:fill="003087"/>
          </w:tcPr>
          <w:p>
            <w:r>
              <w:rPr>
                <w:rFonts w:ascii="Calibri" w:hAnsi="Calibri"/>
                <w:sz w:val="20"/>
              </w:rPr>
            </w:r>
            <w:r>
              <w:rPr>
                <w:rFonts w:ascii="Calibri" w:hAnsi="Calibri"/>
                <w:b/>
                <w:color w:val="FFFFFF"/>
                <w:sz w:val="20"/>
              </w:rPr>
              <w:t>Audit result</w:t>
            </w:r>
          </w:p>
        </w:tc>
        <w:tc>
          <w:tcPr>
            <w:tcW w:type="dxa" w:w="5112"/>
            <w:vAlign w:val="top"/>
          </w:tcPr>
          <w:p>
            <w:r>
              <w:rPr>
                <w:rFonts w:ascii="Calibri" w:hAnsi="Calibri"/>
                <w:sz w:val="20"/>
              </w:rPr>
            </w:r>
            <w:r>
              <w:rPr>
                <w:rFonts w:ascii="Calibri" w:hAnsi="Calibri"/>
                <w:b w:val="0"/>
                <w:sz w:val="20"/>
              </w:rPr>
              <w:t>Good for class-project deployment and final class review, with the limitations noted below</w:t>
            </w:r>
          </w:p>
        </w:tc>
      </w:tr>
    </w:tbl>
    <w:p>
      <w:pPr>
        <w:pStyle w:val="Heading1"/>
      </w:pPr>
      <w:r>
        <w:t>1. Executive Summary</w:t>
      </w:r>
    </w:p>
    <w:p>
      <w:r>
        <w:t>This audit reviewed the final SAU AI Ethics Toolkit as a static, student-facing educational website. The site is designed to support classroom conversations about responsible AI use, academic integrity, privacy, data security, career readiness, and human-centered decision-making. The final build is appropriate for class review and deployment as a class project resource.</w:t>
      </w:r>
    </w:p>
    <w:p>
      <w:r>
        <w:t>The site has a low technical attack surface because it does not use a backend, database, login system, account system, comment section, file upload flow, or stored user input. The code review did not identify common high-risk client-side patterns such as eval(), document.write, inline event handlers, raw HTML injection, or javascript: URL usage. Cloudflare Pages security headers are included through the _headers file.</w:t>
      </w:r>
    </w:p>
    <w:p>
      <w:pPr>
        <w:pStyle w:val="Heading1"/>
      </w:pPr>
      <w:r>
        <w:t>2. Audit Scope</w:t>
      </w:r>
    </w:p>
    <w:p>
      <w:r>
        <w:t>Reviewed components:</w:t>
      </w:r>
    </w:p>
    <w:p>
      <w:pPr>
        <w:pStyle w:val="ListBullet"/>
      </w:pPr>
      <w:r>
        <w:t>index.html main page shell and site containers</w:t>
      </w:r>
    </w:p>
    <w:p>
      <w:pPr>
        <w:pStyle w:val="ListBullet"/>
      </w:pPr>
      <w:r>
        <w:t>assets/css/styles.css visual styling, responsive behavior, quiz feedback styling, and transcript styling</w:t>
      </w:r>
    </w:p>
    <w:p>
      <w:pPr>
        <w:pStyle w:val="ListBullet"/>
      </w:pPr>
      <w:r>
        <w:t>assets/js/main.js dynamic content rendering, navigation, quiz logic, media handling, transcript rendering, and badge workflow</w:t>
      </w:r>
    </w:p>
    <w:p>
      <w:pPr>
        <w:pStyle w:val="ListBullet"/>
      </w:pPr>
      <w:r>
        <w:t>content/content.json site content, bibliography, quiz questions, credits, interview metadata, and transcripts</w:t>
      </w:r>
    </w:p>
    <w:p>
      <w:pPr>
        <w:pStyle w:val="ListBullet"/>
      </w:pPr>
      <w:r>
        <w:t>_headers Cloudflare Pages security header configuration</w:t>
      </w:r>
    </w:p>
    <w:p>
      <w:pPr>
        <w:pStyle w:val="ListBullet"/>
      </w:pPr>
      <w:r>
        <w:t>assets/img image and badge assets</w:t>
      </w:r>
    </w:p>
    <w:p>
      <w:pPr>
        <w:pStyle w:val="ListBullet"/>
      </w:pPr>
      <w:r>
        <w:t>assets/media local Dr. Samantha Dunn audio file and media notes</w:t>
      </w:r>
    </w:p>
    <w:p>
      <w:pPr>
        <w:pStyle w:val="ListBullet"/>
      </w:pPr>
      <w:r>
        <w:t>docs directory documentation workflow, including contribution report and security audit document</w:t>
      </w:r>
    </w:p>
    <w:p>
      <w:r>
        <w:t>Items outside the audit scope:</w:t>
      </w:r>
    </w:p>
    <w:p>
      <w:pPr>
        <w:pStyle w:val="ListBullet"/>
      </w:pPr>
      <w:r>
        <w:t>YouTube platform security and YouTube account security</w:t>
      </w:r>
    </w:p>
    <w:p>
      <w:pPr>
        <w:pStyle w:val="ListBullet"/>
      </w:pPr>
      <w:r>
        <w:t>Cloudflare account security beyond the presence of deployment headers</w:t>
      </w:r>
    </w:p>
    <w:p>
      <w:pPr>
        <w:pStyle w:val="ListBullet"/>
      </w:pPr>
      <w:r>
        <w:t>GitHub account security beyond repository hygiene recommendations</w:t>
      </w:r>
    </w:p>
    <w:p>
      <w:pPr>
        <w:pStyle w:val="ListBullet"/>
      </w:pPr>
      <w:r>
        <w:t>Formal university policy approval</w:t>
      </w:r>
    </w:p>
    <w:p>
      <w:pPr>
        <w:pStyle w:val="ListBullet"/>
      </w:pPr>
      <w:r>
        <w:t>Server-side penetration testing, because the site is static and has no custom backend</w:t>
      </w:r>
    </w:p>
    <w:p>
      <w:pPr>
        <w:pStyle w:val="Heading1"/>
      </w:pPr>
      <w:r>
        <w:t>3. Site Architecture and Data Flow</w:t>
      </w:r>
    </w:p>
    <w:p>
      <w:r>
        <w:t>The project is a static website. The HTML page loads CSS and JavaScript from local project files. The JavaScript reads content from content/content.json and renders sections, cards, interviews, transcripts, quiz questions, and credits in the browser. The site does not collect, store, or submit visitor data.</w:t>
      </w:r>
    </w:p>
    <w:p>
      <w:pPr>
        <w:pStyle w:val="ListBullet"/>
      </w:pPr>
      <w:r>
        <w:t>Primary content source: content/content.json</w:t>
      </w:r>
    </w:p>
    <w:p>
      <w:pPr>
        <w:pStyle w:val="ListBullet"/>
      </w:pPr>
      <w:r>
        <w:t>Rendering method: DOM creation with document.createElement and textContent-style assignment rather than raw HTML injection</w:t>
      </w:r>
    </w:p>
    <w:p>
      <w:pPr>
        <w:pStyle w:val="ListBullet"/>
      </w:pPr>
      <w:r>
        <w:t>Media model: YouTube-nocookie embeds for large interview videos and one local audio file for Dr. Samantha Dunn</w:t>
      </w:r>
    </w:p>
    <w:p>
      <w:pPr>
        <w:pStyle w:val="ListBullet"/>
      </w:pPr>
      <w:r>
        <w:t>Quiz model: client-side randomized knowledge check with badge reveal/download after passing score</w:t>
      </w:r>
    </w:p>
    <w:p>
      <w:pPr>
        <w:pStyle w:val="ListBullet"/>
      </w:pPr>
      <w:r>
        <w:t>Hosting model: static GitHub repository deployed through Cloudflare Pages over HTTPS</w:t>
      </w:r>
    </w:p>
    <w:p>
      <w:pPr>
        <w:pStyle w:val="Heading1"/>
      </w:pPr>
      <w:r>
        <w:t>4. Security Controls Present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003087"/>
          </w:tcPr>
          <w:p>
            <w:r>
              <w:rPr>
                <w:rFonts w:ascii="Calibri" w:hAnsi="Calibri"/>
                <w:sz w:val="20"/>
              </w:rPr>
            </w:r>
            <w:r>
              <w:rPr>
                <w:rFonts w:ascii="Calibri" w:hAnsi="Calibri"/>
                <w:b/>
                <w:color w:val="FFFFFF"/>
                <w:sz w:val="20"/>
              </w:rPr>
              <w:t>Control</w:t>
            </w:r>
          </w:p>
        </w:tc>
        <w:tc>
          <w:tcPr>
            <w:tcW w:type="dxa" w:w="3408"/>
            <w:vAlign w:val="top"/>
            <w:shd w:fill="003087"/>
          </w:tcPr>
          <w:p>
            <w:r>
              <w:rPr>
                <w:rFonts w:ascii="Calibri" w:hAnsi="Calibri"/>
                <w:sz w:val="20"/>
              </w:rPr>
            </w:r>
            <w:r>
              <w:rPr>
                <w:rFonts w:ascii="Calibri" w:hAnsi="Calibri"/>
                <w:b/>
                <w:color w:val="FFFFFF"/>
                <w:sz w:val="20"/>
              </w:rPr>
              <w:t>Finding</w:t>
            </w:r>
          </w:p>
        </w:tc>
        <w:tc>
          <w:tcPr>
            <w:tcW w:type="dxa" w:w="3408"/>
            <w:vAlign w:val="top"/>
            <w:shd w:fill="003087"/>
          </w:tcPr>
          <w:p>
            <w:r>
              <w:rPr>
                <w:rFonts w:ascii="Calibri" w:hAnsi="Calibri"/>
                <w:sz w:val="20"/>
              </w:rPr>
            </w:r>
            <w:r>
              <w:rPr>
                <w:rFonts w:ascii="Calibri" w:hAnsi="Calibri"/>
                <w:b/>
                <w:color w:val="FFFFFF"/>
                <w:sz w:val="20"/>
              </w:rPr>
              <w:t>Status</w:t>
            </w:r>
          </w:p>
        </w:tc>
      </w:tr>
      <w:tr>
        <w:tc>
          <w:tcPr>
            <w:tcW w:type="dxa" w:w="3408"/>
            <w:vAlign w:val="top"/>
          </w:tcPr>
          <w:p>
            <w:r>
              <w:rPr>
                <w:rFonts w:ascii="Calibri" w:hAnsi="Calibri"/>
                <w:sz w:val="20"/>
              </w:rPr>
            </w:r>
            <w:r>
              <w:rPr>
                <w:rFonts w:ascii="Calibri" w:hAnsi="Calibri"/>
                <w:b w:val="0"/>
                <w:sz w:val="20"/>
              </w:rPr>
              <w:t>Static deployment model</w:t>
            </w:r>
          </w:p>
        </w:tc>
        <w:tc>
          <w:tcPr>
            <w:tcW w:type="dxa" w:w="3408"/>
            <w:vAlign w:val="top"/>
          </w:tcPr>
          <w:p>
            <w:r>
              <w:rPr>
                <w:rFonts w:ascii="Calibri" w:hAnsi="Calibri"/>
                <w:sz w:val="20"/>
              </w:rPr>
            </w:r>
            <w:r>
              <w:rPr>
                <w:rFonts w:ascii="Calibri" w:hAnsi="Calibri"/>
                <w:b w:val="0"/>
                <w:sz w:val="20"/>
              </w:rPr>
              <w:t>No custom backend, database, login, account system, or stored user input.</w:t>
            </w:r>
          </w:p>
        </w:tc>
        <w:tc>
          <w:tcPr>
            <w:tcW w:type="dxa" w:w="3408"/>
            <w:vAlign w:val="top"/>
          </w:tcPr>
          <w:p>
            <w:r>
              <w:rPr>
                <w:rFonts w:ascii="Calibri" w:hAnsi="Calibri"/>
                <w:sz w:val="20"/>
              </w:rPr>
            </w:r>
            <w:r>
              <w:rPr>
                <w:rFonts w:ascii="Calibri" w:hAnsi="Calibri"/>
                <w:b w:val="0"/>
                <w:sz w:val="20"/>
              </w:rPr>
              <w:t>Pass</w:t>
            </w:r>
          </w:p>
        </w:tc>
      </w:tr>
      <w:tr>
        <w:tc>
          <w:tcPr>
            <w:tcW w:type="dxa" w:w="3408"/>
            <w:vAlign w:val="top"/>
          </w:tcPr>
          <w:p>
            <w:r>
              <w:rPr>
                <w:rFonts w:ascii="Calibri" w:hAnsi="Calibri"/>
                <w:sz w:val="20"/>
              </w:rPr>
            </w:r>
            <w:r>
              <w:rPr>
                <w:rFonts w:ascii="Calibri" w:hAnsi="Calibri"/>
                <w:b w:val="0"/>
                <w:sz w:val="20"/>
              </w:rPr>
              <w:t>Content Security Policy</w:t>
            </w:r>
          </w:p>
        </w:tc>
        <w:tc>
          <w:tcPr>
            <w:tcW w:type="dxa" w:w="3408"/>
            <w:vAlign w:val="top"/>
          </w:tcPr>
          <w:p>
            <w:r>
              <w:rPr>
                <w:rFonts w:ascii="Calibri" w:hAnsi="Calibri"/>
                <w:sz w:val="20"/>
              </w:rPr>
            </w:r>
            <w:r>
              <w:rPr>
                <w:rFonts w:ascii="Calibri" w:hAnsi="Calibri"/>
                <w:b w:val="0"/>
                <w:sz w:val="20"/>
              </w:rPr>
              <w:t>The _headers file defines a CSP that restricts scripts and styles to self, limits frames to YouTube/YouTube-nocookie, blocks objects, and restricts form actions.</w:t>
            </w:r>
          </w:p>
        </w:tc>
        <w:tc>
          <w:tcPr>
            <w:tcW w:type="dxa" w:w="3408"/>
            <w:vAlign w:val="top"/>
          </w:tcPr>
          <w:p>
            <w:r>
              <w:rPr>
                <w:rFonts w:ascii="Calibri" w:hAnsi="Calibri"/>
                <w:sz w:val="20"/>
              </w:rPr>
            </w:r>
            <w:r>
              <w:rPr>
                <w:rFonts w:ascii="Calibri" w:hAnsi="Calibri"/>
                <w:b w:val="0"/>
                <w:sz w:val="20"/>
              </w:rPr>
              <w:t>Pass</w:t>
            </w:r>
          </w:p>
        </w:tc>
      </w:tr>
      <w:tr>
        <w:tc>
          <w:tcPr>
            <w:tcW w:type="dxa" w:w="3408"/>
            <w:vAlign w:val="top"/>
          </w:tcPr>
          <w:p>
            <w:r>
              <w:rPr>
                <w:rFonts w:ascii="Calibri" w:hAnsi="Calibri"/>
                <w:sz w:val="20"/>
              </w:rPr>
            </w:r>
            <w:r>
              <w:rPr>
                <w:rFonts w:ascii="Calibri" w:hAnsi="Calibri"/>
                <w:b w:val="0"/>
                <w:sz w:val="20"/>
              </w:rPr>
              <w:t>X-Content-Type-Options</w:t>
            </w:r>
          </w:p>
        </w:tc>
        <w:tc>
          <w:tcPr>
            <w:tcW w:type="dxa" w:w="3408"/>
            <w:vAlign w:val="top"/>
          </w:tcPr>
          <w:p>
            <w:r>
              <w:rPr>
                <w:rFonts w:ascii="Calibri" w:hAnsi="Calibri"/>
                <w:sz w:val="20"/>
              </w:rPr>
            </w:r>
            <w:r>
              <w:rPr>
                <w:rFonts w:ascii="Calibri" w:hAnsi="Calibri"/>
                <w:b w:val="0"/>
                <w:sz w:val="20"/>
              </w:rPr>
              <w:t>nosniff is present to reduce MIME-sniffing risk.</w:t>
            </w:r>
          </w:p>
        </w:tc>
        <w:tc>
          <w:tcPr>
            <w:tcW w:type="dxa" w:w="3408"/>
            <w:vAlign w:val="top"/>
          </w:tcPr>
          <w:p>
            <w:r>
              <w:rPr>
                <w:rFonts w:ascii="Calibri" w:hAnsi="Calibri"/>
                <w:sz w:val="20"/>
              </w:rPr>
            </w:r>
            <w:r>
              <w:rPr>
                <w:rFonts w:ascii="Calibri" w:hAnsi="Calibri"/>
                <w:b w:val="0"/>
                <w:sz w:val="20"/>
              </w:rPr>
              <w:t>Pass</w:t>
            </w:r>
          </w:p>
        </w:tc>
      </w:tr>
      <w:tr>
        <w:tc>
          <w:tcPr>
            <w:tcW w:type="dxa" w:w="3408"/>
            <w:vAlign w:val="top"/>
          </w:tcPr>
          <w:p>
            <w:r>
              <w:rPr>
                <w:rFonts w:ascii="Calibri" w:hAnsi="Calibri"/>
                <w:sz w:val="20"/>
              </w:rPr>
            </w:r>
            <w:r>
              <w:rPr>
                <w:rFonts w:ascii="Calibri" w:hAnsi="Calibri"/>
                <w:b w:val="0"/>
                <w:sz w:val="20"/>
              </w:rPr>
              <w:t>Referrer-Policy</w:t>
            </w:r>
          </w:p>
        </w:tc>
        <w:tc>
          <w:tcPr>
            <w:tcW w:type="dxa" w:w="3408"/>
            <w:vAlign w:val="top"/>
          </w:tcPr>
          <w:p>
            <w:r>
              <w:rPr>
                <w:rFonts w:ascii="Calibri" w:hAnsi="Calibri"/>
                <w:sz w:val="20"/>
              </w:rPr>
            </w:r>
            <w:r>
              <w:rPr>
                <w:rFonts w:ascii="Calibri" w:hAnsi="Calibri"/>
                <w:b w:val="0"/>
                <w:sz w:val="20"/>
              </w:rPr>
              <w:t>strict-origin-when-cross-origin is present to reduce unnecessary referrer leakage.</w:t>
            </w:r>
          </w:p>
        </w:tc>
        <w:tc>
          <w:tcPr>
            <w:tcW w:type="dxa" w:w="3408"/>
            <w:vAlign w:val="top"/>
          </w:tcPr>
          <w:p>
            <w:r>
              <w:rPr>
                <w:rFonts w:ascii="Calibri" w:hAnsi="Calibri"/>
                <w:sz w:val="20"/>
              </w:rPr>
            </w:r>
            <w:r>
              <w:rPr>
                <w:rFonts w:ascii="Calibri" w:hAnsi="Calibri"/>
                <w:b w:val="0"/>
                <w:sz w:val="20"/>
              </w:rPr>
              <w:t>Pass</w:t>
            </w:r>
          </w:p>
        </w:tc>
      </w:tr>
      <w:tr>
        <w:tc>
          <w:tcPr>
            <w:tcW w:type="dxa" w:w="3408"/>
            <w:vAlign w:val="top"/>
          </w:tcPr>
          <w:p>
            <w:r>
              <w:rPr>
                <w:rFonts w:ascii="Calibri" w:hAnsi="Calibri"/>
                <w:sz w:val="20"/>
              </w:rPr>
            </w:r>
            <w:r>
              <w:rPr>
                <w:rFonts w:ascii="Calibri" w:hAnsi="Calibri"/>
                <w:b w:val="0"/>
                <w:sz w:val="20"/>
              </w:rPr>
              <w:t>X-Frame-Options</w:t>
            </w:r>
          </w:p>
        </w:tc>
        <w:tc>
          <w:tcPr>
            <w:tcW w:type="dxa" w:w="3408"/>
            <w:vAlign w:val="top"/>
          </w:tcPr>
          <w:p>
            <w:r>
              <w:rPr>
                <w:rFonts w:ascii="Calibri" w:hAnsi="Calibri"/>
                <w:sz w:val="20"/>
              </w:rPr>
            </w:r>
            <w:r>
              <w:rPr>
                <w:rFonts w:ascii="Calibri" w:hAnsi="Calibri"/>
                <w:b w:val="0"/>
                <w:sz w:val="20"/>
              </w:rPr>
              <w:t>SAMEORIGIN is present as a clickjacking defense for the site itself.</w:t>
            </w:r>
          </w:p>
        </w:tc>
        <w:tc>
          <w:tcPr>
            <w:tcW w:type="dxa" w:w="3408"/>
            <w:vAlign w:val="top"/>
          </w:tcPr>
          <w:p>
            <w:r>
              <w:rPr>
                <w:rFonts w:ascii="Calibri" w:hAnsi="Calibri"/>
                <w:sz w:val="20"/>
              </w:rPr>
            </w:r>
            <w:r>
              <w:rPr>
                <w:rFonts w:ascii="Calibri" w:hAnsi="Calibri"/>
                <w:b w:val="0"/>
                <w:sz w:val="20"/>
              </w:rPr>
              <w:t>Pass</w:t>
            </w:r>
          </w:p>
        </w:tc>
      </w:tr>
      <w:tr>
        <w:tc>
          <w:tcPr>
            <w:tcW w:type="dxa" w:w="3408"/>
            <w:vAlign w:val="top"/>
          </w:tcPr>
          <w:p>
            <w:r>
              <w:rPr>
                <w:rFonts w:ascii="Calibri" w:hAnsi="Calibri"/>
                <w:sz w:val="20"/>
              </w:rPr>
            </w:r>
            <w:r>
              <w:rPr>
                <w:rFonts w:ascii="Calibri" w:hAnsi="Calibri"/>
                <w:b w:val="0"/>
                <w:sz w:val="20"/>
              </w:rPr>
              <w:t>Safe dynamic rendering</w:t>
            </w:r>
          </w:p>
        </w:tc>
        <w:tc>
          <w:tcPr>
            <w:tcW w:type="dxa" w:w="3408"/>
            <w:vAlign w:val="top"/>
          </w:tcPr>
          <w:p>
            <w:r>
              <w:rPr>
                <w:rFonts w:ascii="Calibri" w:hAnsi="Calibri"/>
                <w:sz w:val="20"/>
              </w:rPr>
            </w:r>
            <w:r>
              <w:rPr>
                <w:rFonts w:ascii="Calibri" w:hAnsi="Calibri"/>
                <w:b w:val="0"/>
                <w:sz w:val="20"/>
              </w:rPr>
              <w:t>The JavaScript renders content using DOM methods and textContent-style behavior rather than injecting untrusted raw HTML.</w:t>
            </w:r>
          </w:p>
        </w:tc>
        <w:tc>
          <w:tcPr>
            <w:tcW w:type="dxa" w:w="3408"/>
            <w:vAlign w:val="top"/>
          </w:tcPr>
          <w:p>
            <w:r>
              <w:rPr>
                <w:rFonts w:ascii="Calibri" w:hAnsi="Calibri"/>
                <w:sz w:val="20"/>
              </w:rPr>
            </w:r>
            <w:r>
              <w:rPr>
                <w:rFonts w:ascii="Calibri" w:hAnsi="Calibri"/>
                <w:b w:val="0"/>
                <w:sz w:val="20"/>
              </w:rPr>
              <w:t>Pass</w:t>
            </w:r>
          </w:p>
        </w:tc>
      </w:tr>
      <w:tr>
        <w:tc>
          <w:tcPr>
            <w:tcW w:type="dxa" w:w="3408"/>
            <w:vAlign w:val="top"/>
          </w:tcPr>
          <w:p>
            <w:r>
              <w:rPr>
                <w:rFonts w:ascii="Calibri" w:hAnsi="Calibri"/>
                <w:sz w:val="20"/>
              </w:rPr>
            </w:r>
            <w:r>
              <w:rPr>
                <w:rFonts w:ascii="Calibri" w:hAnsi="Calibri"/>
                <w:b w:val="0"/>
                <w:sz w:val="20"/>
              </w:rPr>
              <w:t>No exposed secrets</w:t>
            </w:r>
          </w:p>
        </w:tc>
        <w:tc>
          <w:tcPr>
            <w:tcW w:type="dxa" w:w="3408"/>
            <w:vAlign w:val="top"/>
          </w:tcPr>
          <w:p>
            <w:r>
              <w:rPr>
                <w:rFonts w:ascii="Calibri" w:hAnsi="Calibri"/>
                <w:sz w:val="20"/>
              </w:rPr>
            </w:r>
            <w:r>
              <w:rPr>
                <w:rFonts w:ascii="Calibri" w:hAnsi="Calibri"/>
                <w:b w:val="0"/>
                <w:sz w:val="20"/>
              </w:rPr>
              <w:t>No API keys, passwords, tokens, or private credentials are required or exposed in the static project.</w:t>
            </w:r>
          </w:p>
        </w:tc>
        <w:tc>
          <w:tcPr>
            <w:tcW w:type="dxa" w:w="3408"/>
            <w:vAlign w:val="top"/>
          </w:tcPr>
          <w:p>
            <w:r>
              <w:rPr>
                <w:rFonts w:ascii="Calibri" w:hAnsi="Calibri"/>
                <w:sz w:val="20"/>
              </w:rPr>
            </w:r>
            <w:r>
              <w:rPr>
                <w:rFonts w:ascii="Calibri" w:hAnsi="Calibri"/>
                <w:b w:val="0"/>
                <w:sz w:val="20"/>
              </w:rPr>
              <w:t>Pass</w:t>
            </w:r>
          </w:p>
        </w:tc>
      </w:tr>
      <w:tr>
        <w:tc>
          <w:tcPr>
            <w:tcW w:type="dxa" w:w="3408"/>
            <w:vAlign w:val="top"/>
          </w:tcPr>
          <w:p>
            <w:r>
              <w:rPr>
                <w:rFonts w:ascii="Calibri" w:hAnsi="Calibri"/>
                <w:sz w:val="20"/>
              </w:rPr>
            </w:r>
            <w:r>
              <w:rPr>
                <w:rFonts w:ascii="Calibri" w:hAnsi="Calibri"/>
                <w:b w:val="0"/>
                <w:sz w:val="20"/>
              </w:rPr>
              <w:t>No public form endpoint</w:t>
            </w:r>
          </w:p>
        </w:tc>
        <w:tc>
          <w:tcPr>
            <w:tcW w:type="dxa" w:w="3408"/>
            <w:vAlign w:val="top"/>
          </w:tcPr>
          <w:p>
            <w:r>
              <w:rPr>
                <w:rFonts w:ascii="Calibri" w:hAnsi="Calibri"/>
                <w:sz w:val="20"/>
              </w:rPr>
            </w:r>
            <w:r>
              <w:rPr>
                <w:rFonts w:ascii="Calibri" w:hAnsi="Calibri"/>
                <w:b w:val="0"/>
                <w:sz w:val="20"/>
              </w:rPr>
              <w:t>The site has no data-submission form, so there is no server-side input handling or database storage risk.</w:t>
            </w:r>
          </w:p>
        </w:tc>
        <w:tc>
          <w:tcPr>
            <w:tcW w:type="dxa" w:w="3408"/>
            <w:vAlign w:val="top"/>
          </w:tcPr>
          <w:p>
            <w:r>
              <w:rPr>
                <w:rFonts w:ascii="Calibri" w:hAnsi="Calibri"/>
                <w:sz w:val="20"/>
              </w:rPr>
            </w:r>
            <w:r>
              <w:rPr>
                <w:rFonts w:ascii="Calibri" w:hAnsi="Calibri"/>
                <w:b w:val="0"/>
                <w:sz w:val="20"/>
              </w:rPr>
              <w:t>Pass</w:t>
            </w:r>
          </w:p>
        </w:tc>
      </w:tr>
    </w:tbl>
    <w:p>
      <w:pPr>
        <w:pStyle w:val="Heading1"/>
      </w:pPr>
      <w:r>
        <w:t>5. Code-Level Security Audit</w:t>
      </w:r>
    </w:p>
    <w:p>
      <w:r>
        <w:t>The final codebase was checked for common client-side web security risks. The following high-risk patterns were not present in the reviewed site files:</w:t>
      </w:r>
    </w:p>
    <w:p>
      <w:pPr>
        <w:pStyle w:val="ListBullet"/>
      </w:pPr>
      <w:r>
        <w:t>eval()</w:t>
      </w:r>
    </w:p>
    <w:p>
      <w:pPr>
        <w:pStyle w:val="ListBullet"/>
      </w:pPr>
      <w:r>
        <w:t>document.write</w:t>
      </w:r>
    </w:p>
    <w:p>
      <w:pPr>
        <w:pStyle w:val="ListBullet"/>
      </w:pPr>
      <w:r>
        <w:t>raw HTML injection pattern</w:t>
      </w:r>
    </w:p>
    <w:p>
      <w:pPr>
        <w:pStyle w:val="ListBullet"/>
      </w:pPr>
      <w:r>
        <w:t>inline onclick, onerror, or onload event handlers</w:t>
      </w:r>
    </w:p>
    <w:p>
      <w:pPr>
        <w:pStyle w:val="ListBullet"/>
      </w:pPr>
      <w:r>
        <w:t>javascript: URL pattern</w:t>
      </w:r>
    </w:p>
    <w:p>
      <w:pPr>
        <w:pStyle w:val="ListBullet"/>
      </w:pPr>
      <w:r>
        <w:t>insecure external script loading</w:t>
      </w:r>
    </w:p>
    <w:p>
      <w:pPr>
        <w:pStyle w:val="ListBullet"/>
      </w:pPr>
      <w:r>
        <w:t>hardcoded secrets or API keys</w:t>
      </w:r>
    </w:p>
    <w:p>
      <w:r>
        <w:t>The quiz and interview transcript features use JavaScript to render content dynamically, but the rendering approach is structured around DOM creation and plain text assignment. This is safer than inserting raw HTML strings into the page. The site also uses a whitelist approach for YouTube embed URLs.</w:t>
      </w:r>
    </w:p>
    <w:p>
      <w:pPr>
        <w:pStyle w:val="Heading1"/>
      </w:pPr>
      <w:r>
        <w:t>6. Risk Register</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top"/>
            <w:shd w:fill="003087"/>
          </w:tcPr>
          <w:p>
            <w:r>
              <w:rPr>
                <w:rFonts w:ascii="Calibri" w:hAnsi="Calibri"/>
                <w:sz w:val="20"/>
              </w:rPr>
            </w:r>
            <w:r>
              <w:rPr>
                <w:rFonts w:ascii="Calibri" w:hAnsi="Calibri"/>
                <w:b/>
                <w:color w:val="FFFFFF"/>
                <w:sz w:val="20"/>
              </w:rPr>
              <w:t>Risk Area</w:t>
            </w:r>
          </w:p>
        </w:tc>
        <w:tc>
          <w:tcPr>
            <w:tcW w:type="dxa" w:w="2556"/>
            <w:vAlign w:val="top"/>
            <w:shd w:fill="003087"/>
          </w:tcPr>
          <w:p>
            <w:r>
              <w:rPr>
                <w:rFonts w:ascii="Calibri" w:hAnsi="Calibri"/>
                <w:sz w:val="20"/>
              </w:rPr>
            </w:r>
            <w:r>
              <w:rPr>
                <w:rFonts w:ascii="Calibri" w:hAnsi="Calibri"/>
                <w:b/>
                <w:color w:val="FFFFFF"/>
                <w:sz w:val="20"/>
              </w:rPr>
              <w:t>Risk Level</w:t>
            </w:r>
          </w:p>
        </w:tc>
        <w:tc>
          <w:tcPr>
            <w:tcW w:type="dxa" w:w="2556"/>
            <w:vAlign w:val="top"/>
            <w:shd w:fill="003087"/>
          </w:tcPr>
          <w:p>
            <w:r>
              <w:rPr>
                <w:rFonts w:ascii="Calibri" w:hAnsi="Calibri"/>
                <w:sz w:val="20"/>
              </w:rPr>
            </w:r>
            <w:r>
              <w:rPr>
                <w:rFonts w:ascii="Calibri" w:hAnsi="Calibri"/>
                <w:b/>
                <w:color w:val="FFFFFF"/>
                <w:sz w:val="20"/>
              </w:rPr>
              <w:t>Finding</w:t>
            </w:r>
          </w:p>
        </w:tc>
        <w:tc>
          <w:tcPr>
            <w:tcW w:type="dxa" w:w="2556"/>
            <w:vAlign w:val="top"/>
            <w:shd w:fill="003087"/>
          </w:tcPr>
          <w:p>
            <w:r>
              <w:rPr>
                <w:rFonts w:ascii="Calibri" w:hAnsi="Calibri"/>
                <w:sz w:val="20"/>
              </w:rPr>
            </w:r>
            <w:r>
              <w:rPr>
                <w:rFonts w:ascii="Calibri" w:hAnsi="Calibri"/>
                <w:b/>
                <w:color w:val="FFFFFF"/>
                <w:sz w:val="20"/>
              </w:rPr>
              <w:t>Mitigation / Note</w:t>
            </w:r>
          </w:p>
        </w:tc>
      </w:tr>
      <w:tr>
        <w:tc>
          <w:tcPr>
            <w:tcW w:type="dxa" w:w="2556"/>
            <w:vAlign w:val="top"/>
          </w:tcPr>
          <w:p>
            <w:r>
              <w:rPr>
                <w:rFonts w:ascii="Calibri" w:hAnsi="Calibri"/>
                <w:sz w:val="20"/>
              </w:rPr>
            </w:r>
            <w:r>
              <w:rPr>
                <w:rFonts w:ascii="Calibri" w:hAnsi="Calibri"/>
                <w:b w:val="0"/>
                <w:sz w:val="20"/>
              </w:rPr>
              <w:t>Cross-site scripting</w:t>
            </w:r>
          </w:p>
        </w:tc>
        <w:tc>
          <w:tcPr>
            <w:tcW w:type="dxa" w:w="2556"/>
            <w:vAlign w:val="top"/>
          </w:tcPr>
          <w:p>
            <w:r>
              <w:rPr>
                <w:rFonts w:ascii="Calibri" w:hAnsi="Calibri"/>
                <w:sz w:val="20"/>
              </w:rPr>
            </w:r>
            <w:r>
              <w:rPr>
                <w:rFonts w:ascii="Calibri" w:hAnsi="Calibri"/>
                <w:b w:val="0"/>
                <w:sz w:val="20"/>
              </w:rPr>
              <w:t>Low</w:t>
            </w:r>
          </w:p>
        </w:tc>
        <w:tc>
          <w:tcPr>
            <w:tcW w:type="dxa" w:w="2556"/>
            <w:vAlign w:val="top"/>
          </w:tcPr>
          <w:p>
            <w:r>
              <w:rPr>
                <w:rFonts w:ascii="Calibri" w:hAnsi="Calibri"/>
                <w:sz w:val="20"/>
              </w:rPr>
            </w:r>
            <w:r>
              <w:rPr>
                <w:rFonts w:ascii="Calibri" w:hAnsi="Calibri"/>
                <w:b w:val="0"/>
                <w:sz w:val="20"/>
              </w:rPr>
              <w:t>No raw HTML injection pattern or inline event handlers were identified.</w:t>
            </w:r>
          </w:p>
        </w:tc>
        <w:tc>
          <w:tcPr>
            <w:tcW w:type="dxa" w:w="2556"/>
            <w:vAlign w:val="top"/>
          </w:tcPr>
          <w:p>
            <w:r>
              <w:rPr>
                <w:rFonts w:ascii="Calibri" w:hAnsi="Calibri"/>
                <w:sz w:val="20"/>
              </w:rPr>
            </w:r>
            <w:r>
              <w:rPr>
                <w:rFonts w:ascii="Calibri" w:hAnsi="Calibri"/>
                <w:b w:val="0"/>
                <w:sz w:val="20"/>
              </w:rPr>
              <w:t>Continue using safe DOM/text rendering when editing JavaScript.</w:t>
            </w:r>
          </w:p>
        </w:tc>
      </w:tr>
      <w:tr>
        <w:tc>
          <w:tcPr>
            <w:tcW w:type="dxa" w:w="2556"/>
            <w:vAlign w:val="top"/>
          </w:tcPr>
          <w:p>
            <w:r>
              <w:rPr>
                <w:rFonts w:ascii="Calibri" w:hAnsi="Calibri"/>
                <w:sz w:val="20"/>
              </w:rPr>
            </w:r>
            <w:r>
              <w:rPr>
                <w:rFonts w:ascii="Calibri" w:hAnsi="Calibri"/>
                <w:b w:val="0"/>
                <w:sz w:val="20"/>
              </w:rPr>
              <w:t>Clickjacking</w:t>
            </w:r>
          </w:p>
        </w:tc>
        <w:tc>
          <w:tcPr>
            <w:tcW w:type="dxa" w:w="2556"/>
            <w:vAlign w:val="top"/>
          </w:tcPr>
          <w:p>
            <w:r>
              <w:rPr>
                <w:rFonts w:ascii="Calibri" w:hAnsi="Calibri"/>
                <w:sz w:val="20"/>
              </w:rPr>
            </w:r>
            <w:r>
              <w:rPr>
                <w:rFonts w:ascii="Calibri" w:hAnsi="Calibri"/>
                <w:b w:val="0"/>
                <w:sz w:val="20"/>
              </w:rPr>
              <w:t>Low</w:t>
            </w:r>
          </w:p>
        </w:tc>
        <w:tc>
          <w:tcPr>
            <w:tcW w:type="dxa" w:w="2556"/>
            <w:vAlign w:val="top"/>
          </w:tcPr>
          <w:p>
            <w:r>
              <w:rPr>
                <w:rFonts w:ascii="Calibri" w:hAnsi="Calibri"/>
                <w:sz w:val="20"/>
              </w:rPr>
            </w:r>
            <w:r>
              <w:rPr>
                <w:rFonts w:ascii="Calibri" w:hAnsi="Calibri"/>
                <w:b w:val="0"/>
                <w:sz w:val="20"/>
              </w:rPr>
              <w:t>X-Frame-Options: SAMEORIGIN is present.</w:t>
            </w:r>
          </w:p>
        </w:tc>
        <w:tc>
          <w:tcPr>
            <w:tcW w:type="dxa" w:w="2556"/>
            <w:vAlign w:val="top"/>
          </w:tcPr>
          <w:p>
            <w:r>
              <w:rPr>
                <w:rFonts w:ascii="Calibri" w:hAnsi="Calibri"/>
                <w:sz w:val="20"/>
              </w:rPr>
            </w:r>
            <w:r>
              <w:rPr>
                <w:rFonts w:ascii="Calibri" w:hAnsi="Calibri"/>
                <w:b w:val="0"/>
                <w:sz w:val="20"/>
              </w:rPr>
              <w:t>Keep _headers in the repository and deployed build.</w:t>
            </w:r>
          </w:p>
        </w:tc>
      </w:tr>
      <w:tr>
        <w:tc>
          <w:tcPr>
            <w:tcW w:type="dxa" w:w="2556"/>
            <w:vAlign w:val="top"/>
          </w:tcPr>
          <w:p>
            <w:r>
              <w:rPr>
                <w:rFonts w:ascii="Calibri" w:hAnsi="Calibri"/>
                <w:sz w:val="20"/>
              </w:rPr>
            </w:r>
            <w:r>
              <w:rPr>
                <w:rFonts w:ascii="Calibri" w:hAnsi="Calibri"/>
                <w:b w:val="0"/>
                <w:sz w:val="20"/>
              </w:rPr>
              <w:t>MIME sniffing</w:t>
            </w:r>
          </w:p>
        </w:tc>
        <w:tc>
          <w:tcPr>
            <w:tcW w:type="dxa" w:w="2556"/>
            <w:vAlign w:val="top"/>
          </w:tcPr>
          <w:p>
            <w:r>
              <w:rPr>
                <w:rFonts w:ascii="Calibri" w:hAnsi="Calibri"/>
                <w:sz w:val="20"/>
              </w:rPr>
            </w:r>
            <w:r>
              <w:rPr>
                <w:rFonts w:ascii="Calibri" w:hAnsi="Calibri"/>
                <w:b w:val="0"/>
                <w:sz w:val="20"/>
              </w:rPr>
              <w:t>Low</w:t>
            </w:r>
          </w:p>
        </w:tc>
        <w:tc>
          <w:tcPr>
            <w:tcW w:type="dxa" w:w="2556"/>
            <w:vAlign w:val="top"/>
          </w:tcPr>
          <w:p>
            <w:r>
              <w:rPr>
                <w:rFonts w:ascii="Calibri" w:hAnsi="Calibri"/>
                <w:sz w:val="20"/>
              </w:rPr>
            </w:r>
            <w:r>
              <w:rPr>
                <w:rFonts w:ascii="Calibri" w:hAnsi="Calibri"/>
                <w:b w:val="0"/>
                <w:sz w:val="20"/>
              </w:rPr>
              <w:t>X-Content-Type-Options: nosniff is present.</w:t>
            </w:r>
          </w:p>
        </w:tc>
        <w:tc>
          <w:tcPr>
            <w:tcW w:type="dxa" w:w="2556"/>
            <w:vAlign w:val="top"/>
          </w:tcPr>
          <w:p>
            <w:r>
              <w:rPr>
                <w:rFonts w:ascii="Calibri" w:hAnsi="Calibri"/>
                <w:sz w:val="20"/>
              </w:rPr>
            </w:r>
            <w:r>
              <w:rPr>
                <w:rFonts w:ascii="Calibri" w:hAnsi="Calibri"/>
                <w:b w:val="0"/>
                <w:sz w:val="20"/>
              </w:rPr>
              <w:t>Keep _headers in the deployed project.</w:t>
            </w:r>
          </w:p>
        </w:tc>
      </w:tr>
      <w:tr>
        <w:tc>
          <w:tcPr>
            <w:tcW w:type="dxa" w:w="2556"/>
            <w:vAlign w:val="top"/>
          </w:tcPr>
          <w:p>
            <w:r>
              <w:rPr>
                <w:rFonts w:ascii="Calibri" w:hAnsi="Calibri"/>
                <w:sz w:val="20"/>
              </w:rPr>
            </w:r>
            <w:r>
              <w:rPr>
                <w:rFonts w:ascii="Calibri" w:hAnsi="Calibri"/>
                <w:b w:val="0"/>
                <w:sz w:val="20"/>
              </w:rPr>
              <w:t>Data privacy</w:t>
            </w:r>
          </w:p>
        </w:tc>
        <w:tc>
          <w:tcPr>
            <w:tcW w:type="dxa" w:w="2556"/>
            <w:vAlign w:val="top"/>
          </w:tcPr>
          <w:p>
            <w:r>
              <w:rPr>
                <w:rFonts w:ascii="Calibri" w:hAnsi="Calibri"/>
                <w:sz w:val="20"/>
              </w:rPr>
            </w:r>
            <w:r>
              <w:rPr>
                <w:rFonts w:ascii="Calibri" w:hAnsi="Calibri"/>
                <w:b w:val="0"/>
                <w:sz w:val="20"/>
              </w:rPr>
              <w:t>Low</w:t>
            </w:r>
          </w:p>
        </w:tc>
        <w:tc>
          <w:tcPr>
            <w:tcW w:type="dxa" w:w="2556"/>
            <w:vAlign w:val="top"/>
          </w:tcPr>
          <w:p>
            <w:r>
              <w:rPr>
                <w:rFonts w:ascii="Calibri" w:hAnsi="Calibri"/>
                <w:sz w:val="20"/>
              </w:rPr>
            </w:r>
            <w:r>
              <w:rPr>
                <w:rFonts w:ascii="Calibri" w:hAnsi="Calibri"/>
                <w:b w:val="0"/>
                <w:sz w:val="20"/>
              </w:rPr>
              <w:t>The site does not collect or store user data.</w:t>
            </w:r>
          </w:p>
        </w:tc>
        <w:tc>
          <w:tcPr>
            <w:tcW w:type="dxa" w:w="2556"/>
            <w:vAlign w:val="top"/>
          </w:tcPr>
          <w:p>
            <w:r>
              <w:rPr>
                <w:rFonts w:ascii="Calibri" w:hAnsi="Calibri"/>
                <w:sz w:val="20"/>
              </w:rPr>
            </w:r>
            <w:r>
              <w:rPr>
                <w:rFonts w:ascii="Calibri" w:hAnsi="Calibri"/>
                <w:b w:val="0"/>
                <w:sz w:val="20"/>
              </w:rPr>
              <w:t>Do not add forms, analytics, or tracking without review.</w:t>
            </w:r>
          </w:p>
        </w:tc>
      </w:tr>
      <w:tr>
        <w:tc>
          <w:tcPr>
            <w:tcW w:type="dxa" w:w="2556"/>
            <w:vAlign w:val="top"/>
          </w:tcPr>
          <w:p>
            <w:r>
              <w:rPr>
                <w:rFonts w:ascii="Calibri" w:hAnsi="Calibri"/>
                <w:sz w:val="20"/>
              </w:rPr>
            </w:r>
            <w:r>
              <w:rPr>
                <w:rFonts w:ascii="Calibri" w:hAnsi="Calibri"/>
                <w:b w:val="0"/>
                <w:sz w:val="20"/>
              </w:rPr>
              <w:t>YouTube unlisted videos</w:t>
            </w:r>
          </w:p>
        </w:tc>
        <w:tc>
          <w:tcPr>
            <w:tcW w:type="dxa" w:w="2556"/>
            <w:vAlign w:val="top"/>
          </w:tcPr>
          <w:p>
            <w:r>
              <w:rPr>
                <w:rFonts w:ascii="Calibri" w:hAnsi="Calibri"/>
                <w:sz w:val="20"/>
              </w:rPr>
            </w:r>
            <w:r>
              <w:rPr>
                <w:rFonts w:ascii="Calibri" w:hAnsi="Calibri"/>
                <w:b w:val="0"/>
                <w:sz w:val="20"/>
              </w:rPr>
              <w:t>Medium</w:t>
            </w:r>
          </w:p>
        </w:tc>
        <w:tc>
          <w:tcPr>
            <w:tcW w:type="dxa" w:w="2556"/>
            <w:vAlign w:val="top"/>
          </w:tcPr>
          <w:p>
            <w:r>
              <w:rPr>
                <w:rFonts w:ascii="Calibri" w:hAnsi="Calibri"/>
                <w:sz w:val="20"/>
              </w:rPr>
            </w:r>
            <w:r>
              <w:rPr>
                <w:rFonts w:ascii="Calibri" w:hAnsi="Calibri"/>
                <w:b w:val="0"/>
                <w:sz w:val="20"/>
              </w:rPr>
              <w:t>Unlisted videos can be viewed by anyone with the link.</w:t>
            </w:r>
          </w:p>
        </w:tc>
        <w:tc>
          <w:tcPr>
            <w:tcW w:type="dxa" w:w="2556"/>
            <w:vAlign w:val="top"/>
          </w:tcPr>
          <w:p>
            <w:r>
              <w:rPr>
                <w:rFonts w:ascii="Calibri" w:hAnsi="Calibri"/>
                <w:sz w:val="20"/>
              </w:rPr>
            </w:r>
            <w:r>
              <w:rPr>
                <w:rFonts w:ascii="Calibri" w:hAnsi="Calibri"/>
                <w:b w:val="0"/>
                <w:sz w:val="20"/>
              </w:rPr>
              <w:t>Use unlisted links only if this is acceptable for class use; avoid public playlists.</w:t>
            </w:r>
          </w:p>
        </w:tc>
      </w:tr>
      <w:tr>
        <w:tc>
          <w:tcPr>
            <w:tcW w:type="dxa" w:w="2556"/>
            <w:vAlign w:val="top"/>
          </w:tcPr>
          <w:p>
            <w:r>
              <w:rPr>
                <w:rFonts w:ascii="Calibri" w:hAnsi="Calibri"/>
                <w:sz w:val="20"/>
              </w:rPr>
            </w:r>
            <w:r>
              <w:rPr>
                <w:rFonts w:ascii="Calibri" w:hAnsi="Calibri"/>
                <w:b w:val="0"/>
                <w:sz w:val="20"/>
              </w:rPr>
              <w:t>Client-side quiz tampering</w:t>
            </w:r>
          </w:p>
        </w:tc>
        <w:tc>
          <w:tcPr>
            <w:tcW w:type="dxa" w:w="2556"/>
            <w:vAlign w:val="top"/>
          </w:tcPr>
          <w:p>
            <w:r>
              <w:rPr>
                <w:rFonts w:ascii="Calibri" w:hAnsi="Calibri"/>
                <w:sz w:val="20"/>
              </w:rPr>
            </w:r>
            <w:r>
              <w:rPr>
                <w:rFonts w:ascii="Calibri" w:hAnsi="Calibri"/>
                <w:b w:val="0"/>
                <w:sz w:val="20"/>
              </w:rPr>
              <w:t>Medium</w:t>
            </w:r>
          </w:p>
        </w:tc>
        <w:tc>
          <w:tcPr>
            <w:tcW w:type="dxa" w:w="2556"/>
            <w:vAlign w:val="top"/>
          </w:tcPr>
          <w:p>
            <w:r>
              <w:rPr>
                <w:rFonts w:ascii="Calibri" w:hAnsi="Calibri"/>
                <w:sz w:val="20"/>
              </w:rPr>
            </w:r>
            <w:r>
              <w:rPr>
                <w:rFonts w:ascii="Calibri" w:hAnsi="Calibri"/>
                <w:b w:val="0"/>
                <w:sz w:val="20"/>
              </w:rPr>
              <w:t>A technical user could manipulate their local browser because the quiz is client-side.</w:t>
            </w:r>
          </w:p>
        </w:tc>
        <w:tc>
          <w:tcPr>
            <w:tcW w:type="dxa" w:w="2556"/>
            <w:vAlign w:val="top"/>
          </w:tcPr>
          <w:p>
            <w:r>
              <w:rPr>
                <w:rFonts w:ascii="Calibri" w:hAnsi="Calibri"/>
                <w:sz w:val="20"/>
              </w:rPr>
            </w:r>
            <w:r>
              <w:rPr>
                <w:rFonts w:ascii="Calibri" w:hAnsi="Calibri"/>
                <w:b w:val="0"/>
                <w:sz w:val="20"/>
              </w:rPr>
              <w:t>Treat the badge as a learning check, not as an official verified credential.</w:t>
            </w:r>
          </w:p>
        </w:tc>
      </w:tr>
      <w:tr>
        <w:tc>
          <w:tcPr>
            <w:tcW w:type="dxa" w:w="2556"/>
            <w:vAlign w:val="top"/>
          </w:tcPr>
          <w:p>
            <w:r>
              <w:rPr>
                <w:rFonts w:ascii="Calibri" w:hAnsi="Calibri"/>
                <w:sz w:val="20"/>
              </w:rPr>
            </w:r>
            <w:r>
              <w:rPr>
                <w:rFonts w:ascii="Calibri" w:hAnsi="Calibri"/>
                <w:b w:val="0"/>
                <w:sz w:val="20"/>
              </w:rPr>
              <w:t>Transcript accuracy</w:t>
            </w:r>
          </w:p>
        </w:tc>
        <w:tc>
          <w:tcPr>
            <w:tcW w:type="dxa" w:w="2556"/>
            <w:vAlign w:val="top"/>
          </w:tcPr>
          <w:p>
            <w:r>
              <w:rPr>
                <w:rFonts w:ascii="Calibri" w:hAnsi="Calibri"/>
                <w:sz w:val="20"/>
              </w:rPr>
            </w:r>
            <w:r>
              <w:rPr>
                <w:rFonts w:ascii="Calibri" w:hAnsi="Calibri"/>
                <w:b w:val="0"/>
                <w:sz w:val="20"/>
              </w:rPr>
              <w:t>Medium</w:t>
            </w:r>
          </w:p>
        </w:tc>
        <w:tc>
          <w:tcPr>
            <w:tcW w:type="dxa" w:w="2556"/>
            <w:vAlign w:val="top"/>
          </w:tcPr>
          <w:p>
            <w:r>
              <w:rPr>
                <w:rFonts w:ascii="Calibri" w:hAnsi="Calibri"/>
                <w:sz w:val="20"/>
              </w:rPr>
            </w:r>
            <w:r>
              <w:rPr>
                <w:rFonts w:ascii="Calibri" w:hAnsi="Calibri"/>
                <w:b w:val="0"/>
                <w:sz w:val="20"/>
              </w:rPr>
              <w:t>Transcripts are auto-generated and lightly cleaned.</w:t>
            </w:r>
          </w:p>
        </w:tc>
        <w:tc>
          <w:tcPr>
            <w:tcW w:type="dxa" w:w="2556"/>
            <w:vAlign w:val="top"/>
          </w:tcPr>
          <w:p>
            <w:r>
              <w:rPr>
                <w:rFonts w:ascii="Calibri" w:hAnsi="Calibri"/>
                <w:sz w:val="20"/>
              </w:rPr>
            </w:r>
            <w:r>
              <w:rPr>
                <w:rFonts w:ascii="Calibri" w:hAnsi="Calibri"/>
                <w:b w:val="0"/>
                <w:sz w:val="20"/>
              </w:rPr>
              <w:t>Use transcripts as accessibility support; perform human review before treating them as official verbatim records.</w:t>
            </w:r>
          </w:p>
        </w:tc>
      </w:tr>
      <w:tr>
        <w:tc>
          <w:tcPr>
            <w:tcW w:type="dxa" w:w="2556"/>
            <w:vAlign w:val="top"/>
          </w:tcPr>
          <w:p>
            <w:r>
              <w:rPr>
                <w:rFonts w:ascii="Calibri" w:hAnsi="Calibri"/>
                <w:sz w:val="20"/>
              </w:rPr>
            </w:r>
            <w:r>
              <w:rPr>
                <w:rFonts w:ascii="Calibri" w:hAnsi="Calibri"/>
                <w:b w:val="0"/>
                <w:sz w:val="20"/>
              </w:rPr>
              <w:t>Repository access</w:t>
            </w:r>
          </w:p>
        </w:tc>
        <w:tc>
          <w:tcPr>
            <w:tcW w:type="dxa" w:w="2556"/>
            <w:vAlign w:val="top"/>
          </w:tcPr>
          <w:p>
            <w:r>
              <w:rPr>
                <w:rFonts w:ascii="Calibri" w:hAnsi="Calibri"/>
                <w:sz w:val="20"/>
              </w:rPr>
            </w:r>
            <w:r>
              <w:rPr>
                <w:rFonts w:ascii="Calibri" w:hAnsi="Calibri"/>
                <w:b w:val="0"/>
                <w:sz w:val="20"/>
              </w:rPr>
              <w:t>Medium</w:t>
            </w:r>
          </w:p>
        </w:tc>
        <w:tc>
          <w:tcPr>
            <w:tcW w:type="dxa" w:w="2556"/>
            <w:vAlign w:val="top"/>
          </w:tcPr>
          <w:p>
            <w:r>
              <w:rPr>
                <w:rFonts w:ascii="Calibri" w:hAnsi="Calibri"/>
                <w:sz w:val="20"/>
              </w:rPr>
            </w:r>
            <w:r>
              <w:rPr>
                <w:rFonts w:ascii="Calibri" w:hAnsi="Calibri"/>
                <w:b w:val="0"/>
                <w:sz w:val="20"/>
              </w:rPr>
              <w:t>Anyone with write access could push unwanted changes.</w:t>
            </w:r>
          </w:p>
        </w:tc>
        <w:tc>
          <w:tcPr>
            <w:tcW w:type="dxa" w:w="2556"/>
            <w:vAlign w:val="top"/>
          </w:tcPr>
          <w:p>
            <w:r>
              <w:rPr>
                <w:rFonts w:ascii="Calibri" w:hAnsi="Calibri"/>
                <w:sz w:val="20"/>
              </w:rPr>
            </w:r>
            <w:r>
              <w:rPr>
                <w:rFonts w:ascii="Calibri" w:hAnsi="Calibri"/>
                <w:b w:val="0"/>
                <w:sz w:val="20"/>
              </w:rPr>
              <w:t>Limit collaborators, use GitHub 2FA, and review changes before deployment.</w:t>
            </w:r>
          </w:p>
        </w:tc>
      </w:tr>
    </w:tbl>
    <w:p>
      <w:pPr>
        <w:pStyle w:val="Heading1"/>
      </w:pPr>
      <w:r>
        <w:t>7. Content Reliability and Credibility Review</w:t>
      </w:r>
    </w:p>
    <w:p>
      <w:r>
        <w:t>The content is appropriate for a student-facing AI ethics toolkit. It uses careful wording and does not present AI as perfect or as a replacement for human judgment. The major themes are responsible AI use, syllabus/instructor expectations, source verification, privacy, data security, career readiness, human connection, environmental awareness, and academic integrity.</w:t>
      </w:r>
    </w:p>
    <w:p>
      <w:r>
        <w:t>Content reliability findings:</w:t>
      </w:r>
    </w:p>
    <w:p>
      <w:pPr>
        <w:pStyle w:val="ListBullet"/>
      </w:pPr>
      <w:r>
        <w:t>The bibliography contains 50 supporting sources grouped by topic area.</w:t>
      </w:r>
    </w:p>
    <w:p>
      <w:pPr>
        <w:pStyle w:val="ListBullet"/>
      </w:pPr>
      <w:r>
        <w:t>Bibliography sections align with the major site topics, making source support easier to locate.</w:t>
      </w:r>
    </w:p>
    <w:p>
      <w:pPr>
        <w:pStyle w:val="ListBullet"/>
      </w:pPr>
      <w:r>
        <w:t>The site correctly frames AI as a support tool rather than a substitute for learning or judgment.</w:t>
      </w:r>
    </w:p>
    <w:p>
      <w:pPr>
        <w:pStyle w:val="ListBullet"/>
      </w:pPr>
      <w:r>
        <w:t>The site warns students not to paste sensitive personal, financial, medical, or identifying information into AI tools.</w:t>
      </w:r>
    </w:p>
    <w:p>
      <w:pPr>
        <w:pStyle w:val="ListBullet"/>
      </w:pPr>
      <w:r>
        <w:t>The site notes AI limitations such as bias, hallucinations, overconfidence, incomplete answers, and overreliance.</w:t>
      </w:r>
    </w:p>
    <w:p>
      <w:pPr>
        <w:pStyle w:val="ListBullet"/>
      </w:pPr>
      <w:r>
        <w:t>Interview transcripts and videos provide campus-specific perspectives that support the toolkit’s student-facing purpose.</w:t>
      </w:r>
    </w:p>
    <w:p>
      <w:r>
        <w:t>Final note: the toolkit should be presented as an educational class resource unless St. Ambrose University formally approves it as official university policy.</w:t>
      </w:r>
    </w:p>
    <w:p>
      <w:pPr>
        <w:pStyle w:val="Heading1"/>
      </w:pPr>
      <w:r>
        <w:t>8. Deployment Readiness</w:t>
      </w:r>
    </w:p>
    <w:p>
      <w:r>
        <w:t>Deployment-readiness status:</w:t>
      </w:r>
    </w:p>
    <w:p>
      <w:pPr>
        <w:pStyle w:val="ListBullet"/>
      </w:pPr>
      <w:r>
        <w:t>Ready for GitHub push and Cloudflare Pages redeployment.</w:t>
      </w:r>
    </w:p>
    <w:p>
      <w:pPr>
        <w:pStyle w:val="ListBullet"/>
      </w:pPr>
      <w:r>
        <w:t>Ready for final class review.</w:t>
      </w:r>
    </w:p>
    <w:p>
      <w:pPr>
        <w:pStyle w:val="ListBullet"/>
      </w:pPr>
      <w:r>
        <w:t>Ready for professor/student review as a student-facing educational resource.</w:t>
      </w:r>
    </w:p>
    <w:p>
      <w:pPr>
        <w:pStyle w:val="ListBullet"/>
      </w:pPr>
      <w:r>
        <w:t>Security posture is good for the static-site class-project scope.</w:t>
      </w:r>
    </w:p>
    <w:p>
      <w:pPr>
        <w:pStyle w:val="ListBullet"/>
      </w:pPr>
      <w:r>
        <w:t>Nmap/domain-level review was separately performed by the developer and did not identify a site-level issue according to the developer’s report.</w:t>
      </w:r>
    </w:p>
    <w:p>
      <w:pPr>
        <w:pStyle w:val="Heading1"/>
      </w:pPr>
      <w:r>
        <w:t>9. Recommendations Before and After Final Push</w:t>
      </w:r>
    </w:p>
    <w:p>
      <w:pPr>
        <w:pStyle w:val="ListBullet"/>
      </w:pPr>
      <w:r>
        <w:t>Perform one final browser walkthrough after Cloudflare redeploys.</w:t>
      </w:r>
    </w:p>
    <w:p>
      <w:pPr>
        <w:pStyle w:val="ListBullet"/>
      </w:pPr>
      <w:r>
        <w:t>Click every navigation section and test the mobile layout.</w:t>
      </w:r>
    </w:p>
    <w:p>
      <w:pPr>
        <w:pStyle w:val="ListBullet"/>
      </w:pPr>
      <w:r>
        <w:t>Run the quiz once with incorrect answers and once with passing answers.</w:t>
      </w:r>
    </w:p>
    <w:p>
      <w:pPr>
        <w:pStyle w:val="ListBullet"/>
      </w:pPr>
      <w:r>
        <w:t>Confirm badge reveal and download still work.</w:t>
      </w:r>
    </w:p>
    <w:p>
      <w:pPr>
        <w:pStyle w:val="ListBullet"/>
      </w:pPr>
      <w:r>
        <w:t>Open every embedded interview video and the Dr. Samantha Dunn audio file.</w:t>
      </w:r>
    </w:p>
    <w:p>
      <w:pPr>
        <w:pStyle w:val="ListBullet"/>
      </w:pPr>
      <w:r>
        <w:t>Spot-check transcripts for readability and obvious transcription errors.</w:t>
      </w:r>
    </w:p>
    <w:p>
      <w:pPr>
        <w:pStyle w:val="ListBullet"/>
      </w:pPr>
      <w:r>
        <w:t>Click bibliography links before final presentation if time allows.</w:t>
      </w:r>
    </w:p>
    <w:p>
      <w:pPr>
        <w:pStyle w:val="ListBullet"/>
      </w:pPr>
      <w:r>
        <w:t>Keep GitHub two-factor authentication enabled and limit repository write access.</w:t>
      </w:r>
    </w:p>
    <w:p>
      <w:pPr>
        <w:pStyle w:val="ListBullet"/>
      </w:pPr>
      <w:r>
        <w:t>Do not add new scripts, forms, analytics, or third-party embeds without another review.</w:t>
      </w:r>
    </w:p>
    <w:p>
      <w:pPr>
        <w:pStyle w:val="Heading1"/>
      </w:pPr>
      <w:r>
        <w:t>10. Final Audit Verdict</w:t>
      </w:r>
    </w:p>
    <w:p>
      <w:r>
        <w:t>The SAU AI Ethics Toolkit is secure enough, credible enough, and polished enough for class-project deployment and final class review. The site is not a formal policy system and should not be treated as a tamper-proof credentialing platform, but it is appropriate as a student-facing educational resource.</w:t>
      </w:r>
    </w:p>
    <w:tbl>
      <w:tblPr>
        <w:tblStyle w:val="TableGrid"/>
        <w:tblW w:type="auto" w:w="0"/>
        <w:tblLook w:firstColumn="1" w:firstRow="1" w:lastColumn="0" w:lastRow="0" w:noHBand="0" w:noVBand="1" w:val="04A0"/>
      </w:tblPr>
      <w:tblGrid>
        <w:gridCol w:w="5112"/>
        <w:gridCol w:w="5112"/>
      </w:tblGrid>
      <w:tr>
        <w:tc>
          <w:tcPr>
            <w:tcW w:type="dxa" w:w="5112"/>
            <w:vAlign w:val="top"/>
            <w:shd w:fill="003087"/>
          </w:tcPr>
          <w:p>
            <w:r>
              <w:rPr>
                <w:rFonts w:ascii="Calibri" w:hAnsi="Calibri"/>
                <w:sz w:val="20"/>
              </w:rPr>
            </w:r>
            <w:r>
              <w:rPr>
                <w:rFonts w:ascii="Calibri" w:hAnsi="Calibri"/>
                <w:b/>
                <w:color w:val="FFFFFF"/>
                <w:sz w:val="20"/>
              </w:rPr>
              <w:t>Category</w:t>
            </w:r>
          </w:p>
        </w:tc>
        <w:tc>
          <w:tcPr>
            <w:tcW w:type="dxa" w:w="5112"/>
            <w:vAlign w:val="top"/>
            <w:shd w:fill="003087"/>
          </w:tcPr>
          <w:p>
            <w:r>
              <w:rPr>
                <w:rFonts w:ascii="Calibri" w:hAnsi="Calibri"/>
                <w:sz w:val="20"/>
              </w:rPr>
            </w:r>
            <w:r>
              <w:rPr>
                <w:rFonts w:ascii="Calibri" w:hAnsi="Calibri"/>
                <w:b/>
                <w:color w:val="FFFFFF"/>
                <w:sz w:val="20"/>
              </w:rPr>
              <w:t>Verdict</w:t>
            </w:r>
          </w:p>
        </w:tc>
      </w:tr>
      <w:tr>
        <w:tc>
          <w:tcPr>
            <w:tcW w:type="dxa" w:w="5112"/>
            <w:vAlign w:val="top"/>
          </w:tcPr>
          <w:p>
            <w:r>
              <w:rPr>
                <w:rFonts w:ascii="Calibri" w:hAnsi="Calibri"/>
                <w:sz w:val="20"/>
              </w:rPr>
            </w:r>
            <w:r>
              <w:rPr>
                <w:rFonts w:ascii="Calibri" w:hAnsi="Calibri"/>
                <w:b w:val="0"/>
                <w:sz w:val="20"/>
              </w:rPr>
              <w:t>Security</w:t>
            </w:r>
          </w:p>
        </w:tc>
        <w:tc>
          <w:tcPr>
            <w:tcW w:type="dxa" w:w="5112"/>
            <w:vAlign w:val="top"/>
          </w:tcPr>
          <w:p>
            <w:r>
              <w:rPr>
                <w:rFonts w:ascii="Calibri" w:hAnsi="Calibri"/>
                <w:sz w:val="20"/>
              </w:rPr>
            </w:r>
            <w:r>
              <w:rPr>
                <w:rFonts w:ascii="Calibri" w:hAnsi="Calibri"/>
                <w:b w:val="0"/>
                <w:sz w:val="20"/>
              </w:rPr>
              <w:t>Good for deployment as a static educational site</w:t>
            </w:r>
          </w:p>
        </w:tc>
      </w:tr>
      <w:tr>
        <w:tc>
          <w:tcPr>
            <w:tcW w:type="dxa" w:w="5112"/>
            <w:vAlign w:val="top"/>
          </w:tcPr>
          <w:p>
            <w:r>
              <w:rPr>
                <w:rFonts w:ascii="Calibri" w:hAnsi="Calibri"/>
                <w:sz w:val="20"/>
              </w:rPr>
            </w:r>
            <w:r>
              <w:rPr>
                <w:rFonts w:ascii="Calibri" w:hAnsi="Calibri"/>
                <w:b w:val="0"/>
                <w:sz w:val="20"/>
              </w:rPr>
              <w:t>Content credibility</w:t>
            </w:r>
          </w:p>
        </w:tc>
        <w:tc>
          <w:tcPr>
            <w:tcW w:type="dxa" w:w="5112"/>
            <w:vAlign w:val="top"/>
          </w:tcPr>
          <w:p>
            <w:r>
              <w:rPr>
                <w:rFonts w:ascii="Calibri" w:hAnsi="Calibri"/>
                <w:sz w:val="20"/>
              </w:rPr>
            </w:r>
            <w:r>
              <w:rPr>
                <w:rFonts w:ascii="Calibri" w:hAnsi="Calibri"/>
                <w:b w:val="0"/>
                <w:sz w:val="20"/>
              </w:rPr>
              <w:t>Good for student-facing class resource</w:t>
            </w:r>
          </w:p>
        </w:tc>
      </w:tr>
      <w:tr>
        <w:tc>
          <w:tcPr>
            <w:tcW w:type="dxa" w:w="5112"/>
            <w:vAlign w:val="top"/>
          </w:tcPr>
          <w:p>
            <w:r>
              <w:rPr>
                <w:rFonts w:ascii="Calibri" w:hAnsi="Calibri"/>
                <w:sz w:val="20"/>
              </w:rPr>
            </w:r>
            <w:r>
              <w:rPr>
                <w:rFonts w:ascii="Calibri" w:hAnsi="Calibri"/>
                <w:b w:val="0"/>
                <w:sz w:val="20"/>
              </w:rPr>
              <w:t>Bibliography connection</w:t>
            </w:r>
          </w:p>
        </w:tc>
        <w:tc>
          <w:tcPr>
            <w:tcW w:type="dxa" w:w="5112"/>
            <w:vAlign w:val="top"/>
          </w:tcPr>
          <w:p>
            <w:r>
              <w:rPr>
                <w:rFonts w:ascii="Calibri" w:hAnsi="Calibri"/>
                <w:sz w:val="20"/>
              </w:rPr>
            </w:r>
            <w:r>
              <w:rPr>
                <w:rFonts w:ascii="Calibri" w:hAnsi="Calibri"/>
                <w:b w:val="0"/>
                <w:sz w:val="20"/>
              </w:rPr>
              <w:t>Good; sources are grouped and aligned to site topics</w:t>
            </w:r>
          </w:p>
        </w:tc>
      </w:tr>
      <w:tr>
        <w:tc>
          <w:tcPr>
            <w:tcW w:type="dxa" w:w="5112"/>
            <w:vAlign w:val="top"/>
          </w:tcPr>
          <w:p>
            <w:r>
              <w:rPr>
                <w:rFonts w:ascii="Calibri" w:hAnsi="Calibri"/>
                <w:sz w:val="20"/>
              </w:rPr>
            </w:r>
            <w:r>
              <w:rPr>
                <w:rFonts w:ascii="Calibri" w:hAnsi="Calibri"/>
                <w:b w:val="0"/>
                <w:sz w:val="20"/>
              </w:rPr>
              <w:t>Quiz/badge workflow</w:t>
            </w:r>
          </w:p>
        </w:tc>
        <w:tc>
          <w:tcPr>
            <w:tcW w:type="dxa" w:w="5112"/>
            <w:vAlign w:val="top"/>
          </w:tcPr>
          <w:p>
            <w:r>
              <w:rPr>
                <w:rFonts w:ascii="Calibri" w:hAnsi="Calibri"/>
                <w:sz w:val="20"/>
              </w:rPr>
            </w:r>
            <w:r>
              <w:rPr>
                <w:rFonts w:ascii="Calibri" w:hAnsi="Calibri"/>
                <w:b w:val="0"/>
                <w:sz w:val="20"/>
              </w:rPr>
              <w:t>Functional as a learning check; not an official verified credential</w:t>
            </w:r>
          </w:p>
        </w:tc>
      </w:tr>
      <w:tr>
        <w:tc>
          <w:tcPr>
            <w:tcW w:type="dxa" w:w="5112"/>
            <w:vAlign w:val="top"/>
          </w:tcPr>
          <w:p>
            <w:r>
              <w:rPr>
                <w:rFonts w:ascii="Calibri" w:hAnsi="Calibri"/>
                <w:sz w:val="20"/>
              </w:rPr>
            </w:r>
            <w:r>
              <w:rPr>
                <w:rFonts w:ascii="Calibri" w:hAnsi="Calibri"/>
                <w:b w:val="0"/>
                <w:sz w:val="20"/>
              </w:rPr>
              <w:t>Interviews/transcripts</w:t>
            </w:r>
          </w:p>
        </w:tc>
        <w:tc>
          <w:tcPr>
            <w:tcW w:type="dxa" w:w="5112"/>
            <w:vAlign w:val="top"/>
          </w:tcPr>
          <w:p>
            <w:r>
              <w:rPr>
                <w:rFonts w:ascii="Calibri" w:hAnsi="Calibri"/>
                <w:sz w:val="20"/>
              </w:rPr>
            </w:r>
            <w:r>
              <w:rPr>
                <w:rFonts w:ascii="Calibri" w:hAnsi="Calibri"/>
                <w:b w:val="0"/>
                <w:sz w:val="20"/>
              </w:rPr>
              <w:t>Included; transcripts are accessibility support and should be treated as lightly cleaned auto-generated text</w:t>
            </w:r>
          </w:p>
        </w:tc>
      </w:tr>
      <w:tr>
        <w:tc>
          <w:tcPr>
            <w:tcW w:type="dxa" w:w="5112"/>
            <w:vAlign w:val="top"/>
          </w:tcPr>
          <w:p>
            <w:r>
              <w:rPr>
                <w:rFonts w:ascii="Calibri" w:hAnsi="Calibri"/>
                <w:sz w:val="20"/>
              </w:rPr>
            </w:r>
            <w:r>
              <w:rPr>
                <w:rFonts w:ascii="Calibri" w:hAnsi="Calibri"/>
                <w:b w:val="0"/>
                <w:sz w:val="20"/>
              </w:rPr>
              <w:t>Final status</w:t>
            </w:r>
          </w:p>
        </w:tc>
        <w:tc>
          <w:tcPr>
            <w:tcW w:type="dxa" w:w="5112"/>
            <w:vAlign w:val="top"/>
          </w:tcPr>
          <w:p>
            <w:r>
              <w:rPr>
                <w:rFonts w:ascii="Calibri" w:hAnsi="Calibri"/>
                <w:sz w:val="20"/>
              </w:rPr>
            </w:r>
            <w:r>
              <w:rPr>
                <w:rFonts w:ascii="Calibri" w:hAnsi="Calibri"/>
                <w:b w:val="0"/>
                <w:sz w:val="20"/>
              </w:rPr>
              <w:t>Ready for final class review and push</w:t>
            </w:r>
          </w:p>
        </w:tc>
      </w:tr>
    </w:tbl>
    <w:sectPr w:rsidR="00FC693F" w:rsidRPr="0006063C" w:rsidSect="00034616">
      <w:footerReference w:type="default" r:id="rId9"/>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SAU AI Ethics Toolkit Security Audit | PHIL 102 | May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308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308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308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