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4"/>
    <w:p>
      <w:pPr>
        <w:pStyle w:val="Heading1"/>
      </w:pPr>
      <w:r>
        <w:t xml:space="preserve">Chapter 4</w:t>
      </w:r>
    </w:p>
    <w:bookmarkEnd w:id="20"/>
    <w:bookmarkStart w:id="22" w:name="mathematical-foundations"/>
    <w:p>
      <w:pPr>
        <w:pStyle w:val="Heading1"/>
      </w:pPr>
      <w:r>
        <w:t xml:space="preserve">Mathematical Foundations</w:t>
      </w:r>
    </w:p>
    <w:bookmarkStart w:id="21" w:name="introduction"/>
    <w:p>
      <w:pPr>
        <w:pStyle w:val="Heading2"/>
      </w:pPr>
      <w:r>
        <w:t xml:space="preserve">4.1 Introduction</w:t>
      </w:r>
    </w:p>
    <w:p>
      <w:pPr>
        <w:pStyle w:val="FirstParagraph"/>
      </w:pPr>
      <w:r>
        <w:t xml:space="preserve">Before introducing the formal structure of the Theory of Entropicity (ToE), it is necessary to establish the mathematical foundations upon which the theory is built. These foundations arise from three major disciplines:</w:t>
      </w:r>
    </w:p>
    <w:p>
      <w:pPr>
        <w:pStyle w:val="Compact"/>
        <w:numPr>
          <w:ilvl w:val="0"/>
          <w:numId w:val="1001"/>
        </w:numPr>
      </w:pPr>
      <w:r>
        <w:t xml:space="preserve">Differential Geometry.</w:t>
      </w:r>
    </w:p>
    <w:p>
      <w:pPr>
        <w:pStyle w:val="Compact"/>
        <w:numPr>
          <w:ilvl w:val="0"/>
          <w:numId w:val="1001"/>
        </w:numPr>
      </w:pPr>
      <w:r>
        <w:t xml:space="preserve">Statistical Mechanics and Thermodynamics.</w:t>
      </w:r>
    </w:p>
    <w:p>
      <w:pPr>
        <w:pStyle w:val="Compact"/>
        <w:numPr>
          <w:ilvl w:val="0"/>
          <w:numId w:val="1001"/>
        </w:numPr>
      </w:pPr>
      <w:r>
        <w:t xml:space="preserve">Information Geometry.</w:t>
      </w:r>
    </w:p>
    <w:p>
      <w:pPr>
        <w:pStyle w:val="FirstParagraph"/>
      </w:pPr>
      <w:r>
        <w:t xml:space="preserve">The Theory of Entropicity draws heavily from each of these areas. Differential geometry provides the language of spacetime and gravitation. Thermodynamics provides the conceptual basis for entropy and irreversibility. Information geometry provides the mathematical framework through which informational structures acquire geometric meaning.</w:t>
      </w:r>
    </w:p>
    <w:p>
      <w:pPr>
        <w:pStyle w:val="BodyText"/>
      </w:pPr>
      <w:r>
        <w:t xml:space="preserve">The purpose of this chapter is to develop the essential concepts and notation required for the subsequent formulation of the Hybrid Manifold Architecture System (HMAS), the Obidi Convention, and the Local Obidi Action.</w:t>
      </w:r>
    </w:p>
    <w:p>
      <w:r>
        <w:pict>
          <v:rect style="width:0;height:1.5pt" o:hralign="center" o:hrstd="t" o:hr="t"/>
        </w:pict>
      </w:r>
    </w:p>
    <w:bookmarkEnd w:id="21"/>
    <w:bookmarkEnd w:id="22"/>
    <w:bookmarkStart w:id="23" w:name="part-i"/>
    <w:p>
      <w:pPr>
        <w:pStyle w:val="Heading1"/>
      </w:pPr>
      <w:r>
        <w:t xml:space="preserve">Part I</w:t>
      </w:r>
    </w:p>
    <w:bookmarkEnd w:id="23"/>
    <w:bookmarkStart w:id="33" w:name="differential-geometry"/>
    <w:p>
      <w:pPr>
        <w:pStyle w:val="Heading1"/>
      </w:pPr>
      <w:r>
        <w:t xml:space="preserve">Differential Geometry</w:t>
      </w:r>
    </w:p>
    <w:bookmarkStart w:id="24" w:name="smooth-manifolds"/>
    <w:p>
      <w:pPr>
        <w:pStyle w:val="Heading2"/>
      </w:pPr>
      <w:r>
        <w:t xml:space="preserve">4.2 Smooth Manifolds</w:t>
      </w:r>
    </w:p>
    <w:p>
      <w:pPr>
        <w:pStyle w:val="FirstParagraph"/>
      </w:pPr>
      <w:r>
        <w:t xml:space="preserve">A manifold is a mathematical structure that locally resembles Euclidean space while potentially possessing a more complicated global structure.</w:t>
      </w:r>
    </w:p>
    <w:p>
      <w:pPr>
        <w:pStyle w:val="BodyText"/>
      </w:pPr>
      <w:r>
        <w:t xml:space="preserve">Let</w:t>
      </w:r>
    </w:p>
    <w:p>
      <w:pPr>
        <w:pStyle w:val="BodyText"/>
      </w:pPr>
      <w:r>
        <w:t xml:space="preserve">[</w:t>
      </w:r>
      <w:r>
        <w:t xml:space="preserve"> </w:t>
      </w:r>
      <w:r>
        <w:t xml:space="preserve">M</w:t>
      </w:r>
      <w:r>
        <w:t xml:space="preserve"> </w:t>
      </w:r>
      <w:r>
        <w:t xml:space="preserve">]</w:t>
      </w:r>
    </w:p>
    <w:p>
      <w:pPr>
        <w:pStyle w:val="BodyText"/>
      </w:pPr>
      <w:r>
        <w:t xml:space="preserve">be a smooth four-dimensional manifold.</w:t>
      </w:r>
    </w:p>
    <w:p>
      <w:pPr>
        <w:pStyle w:val="BodyText"/>
      </w:pPr>
      <w:r>
        <w:t xml:space="preserve">Each point on the manifold is described by coordinates</w:t>
      </w:r>
    </w:p>
    <w:p>
      <w:pPr>
        <w:pStyle w:val="BodyText"/>
      </w:pPr>
      <w:r>
        <w:t xml:space="preserve">[</w:t>
      </w:r>
      <w:r>
        <w:t xml:space="preserve"> </w:t>
      </w:r>
      <w:r>
        <w:t xml:space="preserve">x^</w:t>
      </w:r>
      <w:r>
        <w:t xml:space="preserve">,</w:t>
      </w:r>
      <w:r>
        <w:t xml:space="preserve"> </w:t>
      </w:r>
      <w:r>
        <w:t xml:space="preserve"> </w:t>
      </w:r>
      <w:r>
        <w:t xml:space="preserve">,1,2,3.</w:t>
      </w:r>
      <w:r>
        <w:t xml:space="preserve"> </w:t>
      </w:r>
      <w:r>
        <w:t xml:space="preserve">]</w:t>
      </w:r>
    </w:p>
    <w:p>
      <w:pPr>
        <w:pStyle w:val="BodyText"/>
      </w:pPr>
      <w:r>
        <w:t xml:space="preserve">The collection</w:t>
      </w:r>
    </w:p>
    <w:p>
      <w:pPr>
        <w:pStyle w:val="BodyText"/>
      </w:pPr>
      <w:r>
        <w:t xml:space="preserve">[</w:t>
      </w:r>
      <w:r>
        <w:t xml:space="preserve"> </w:t>
      </w:r>
      <w:r>
        <w:t xml:space="preserve">(x</w:t>
      </w:r>
      <w:r>
        <w:rPr>
          <w:vertAlign w:val="superscript"/>
        </w:rPr>
        <w:t xml:space="preserve">0,x</w:t>
      </w:r>
      <w:r>
        <w:t xml:space="preserve">1,x</w:t>
      </w:r>
      <w:r>
        <w:rPr>
          <w:vertAlign w:val="superscript"/>
        </w:rPr>
        <w:t xml:space="preserve">2,x</w:t>
      </w:r>
      <w:r>
        <w:t xml:space="preserve">3)</w:t>
      </w:r>
      <w:r>
        <w:t xml:space="preserve"> </w:t>
      </w:r>
      <w:r>
        <w:t xml:space="preserve">]</w:t>
      </w:r>
    </w:p>
    <w:p>
      <w:pPr>
        <w:pStyle w:val="BodyText"/>
      </w:pPr>
      <w:r>
        <w:t xml:space="preserve">forms a local coordinate chart.</w:t>
      </w:r>
    </w:p>
    <w:p>
      <w:pPr>
        <w:pStyle w:val="BodyText"/>
      </w:pPr>
      <w:r>
        <w:t xml:space="preserve">In relativistic physics these coordinates are typically identified as</w:t>
      </w:r>
    </w:p>
    <w:p>
      <w:pPr>
        <w:pStyle w:val="BodyText"/>
      </w:pPr>
      <w:r>
        <w:t xml:space="preserve">[</w:t>
      </w:r>
      <w:r>
        <w:t xml:space="preserve"> </w:t>
      </w:r>
      <w:r>
        <w:t xml:space="preserve">x^</w:t>
      </w:r>
      <w:r>
        <w:t xml:space="preserve"> </w:t>
      </w:r>
      <w:r>
        <w:t xml:space="preserve">=</w:t>
      </w:r>
      <w:r>
        <w:t xml:space="preserve"> </w:t>
      </w:r>
      <w:r>
        <w:t xml:space="preserve">(ct,x,y,z).</w:t>
      </w:r>
      <w:r>
        <w:t xml:space="preserve"> </w:t>
      </w:r>
      <w:r>
        <w:t xml:space="preserve">]</w:t>
      </w:r>
    </w:p>
    <w:p>
      <w:pPr>
        <w:pStyle w:val="BodyText"/>
      </w:pPr>
      <w:r>
        <w:t xml:space="preserve">The manifold itself contains no notion of distance, angle, or curvature.</w:t>
      </w:r>
    </w:p>
    <w:p>
      <w:pPr>
        <w:pStyle w:val="BodyText"/>
      </w:pPr>
      <w:r>
        <w:t xml:space="preserve">Those properties arise only after introducing a metric tensor.</w:t>
      </w:r>
    </w:p>
    <w:p>
      <w:r>
        <w:pict>
          <v:rect style="width:0;height:1.5pt" o:hralign="center" o:hrstd="t" o:hr="t"/>
        </w:pict>
      </w:r>
    </w:p>
    <w:bookmarkEnd w:id="24"/>
    <w:bookmarkStart w:id="25" w:name="metric-tensor"/>
    <w:p>
      <w:pPr>
        <w:pStyle w:val="Heading2"/>
      </w:pPr>
      <w:r>
        <w:t xml:space="preserve">4.3 Metric Tensor</w:t>
      </w:r>
    </w:p>
    <w:p>
      <w:pPr>
        <w:pStyle w:val="FirstParagraph"/>
      </w:pPr>
      <w:r>
        <w:t xml:space="preserve">The metric tensor is a symmetric rank-two tensor</w:t>
      </w:r>
    </w:p>
    <w:p>
      <w:pPr>
        <w:pStyle w:val="BodyText"/>
      </w:pPr>
      <w:r>
        <w:t xml:space="preserve">[</w:t>
      </w:r>
      <w:r>
        <w:t xml:space="preserve"> </w:t>
      </w:r>
      <w:r>
        <w:t xml:space="preserve">g_{</w:t>
      </w:r>
      <w:r>
        <w:t xml:space="preserve">}.</w:t>
      </w:r>
      <w:r>
        <w:t xml:space="preserve"> </w:t>
      </w:r>
      <w:r>
        <w:t xml:space="preserve">]</w:t>
      </w:r>
    </w:p>
    <w:p>
      <w:pPr>
        <w:pStyle w:val="BodyText"/>
      </w:pPr>
      <w:r>
        <w:t xml:space="preserve">It defines the infinitesimal interval</w:t>
      </w:r>
    </w:p>
    <w:p>
      <w:pPr>
        <w:pStyle w:val="BodyText"/>
      </w:pPr>
      <w:r>
        <w:t xml:space="preserve">[</w:t>
      </w:r>
      <w:r>
        <w:t xml:space="preserve"> </w:t>
      </w:r>
      <w:r>
        <w:t xml:space="preserve">ds^2</w:t>
      </w:r>
      <w:r>
        <w:t xml:space="preserve"> </w:t>
      </w:r>
      <w:r>
        <w:t xml:space="preserve">=</w:t>
      </w:r>
      <w:r>
        <w:t xml:space="preserve"> </w:t>
      </w:r>
      <w:r>
        <w:t xml:space="preserve">g_{</w:t>
      </w:r>
      <w:r>
        <w:t xml:space="preserve">}</w:t>
      </w:r>
      <w:r>
        <w:t xml:space="preserve"> </w:t>
      </w:r>
      <w:r>
        <w:t xml:space="preserve">dx</w:t>
      </w:r>
      <w:r>
        <w:rPr>
          <w:vertAlign w:val="superscript"/>
        </w:rPr>
        <w:t xml:space="preserve">dx</w:t>
      </w:r>
      <w:r>
        <w:t xml:space="preserve">.</w:t>
      </w:r>
      <w:r>
        <w:t xml:space="preserve"> </w:t>
      </w:r>
      <w:r>
        <w:t xml:space="preserve">]</w:t>
      </w:r>
    </w:p>
    <w:p>
      <w:pPr>
        <w:pStyle w:val="BodyText"/>
      </w:pPr>
      <w:r>
        <w:t xml:space="preserve">For Lorentzian spacetime the metric signature is</w:t>
      </w:r>
    </w:p>
    <w:p>
      <w:pPr>
        <w:pStyle w:val="BodyText"/>
      </w:pPr>
      <w:r>
        <w:t xml:space="preserve">[</w:t>
      </w:r>
      <w:r>
        <w:t xml:space="preserve"> </w:t>
      </w:r>
      <w:r>
        <w:t xml:space="preserve">(-,+,+,+).</w:t>
      </w:r>
      <w:r>
        <w:t xml:space="preserve"> </w:t>
      </w:r>
      <w:r>
        <w:t xml:space="preserve">]</w:t>
      </w:r>
    </w:p>
    <w:p>
      <w:pPr>
        <w:pStyle w:val="BodyText"/>
      </w:pPr>
      <w:r>
        <w:t xml:space="preserve">The metric determines:</w:t>
      </w:r>
    </w:p>
    <w:p>
      <w:pPr>
        <w:pStyle w:val="Compact"/>
        <w:numPr>
          <w:ilvl w:val="0"/>
          <w:numId w:val="1002"/>
        </w:numPr>
      </w:pPr>
      <w:r>
        <w:t xml:space="preserve">distances,</w:t>
      </w:r>
    </w:p>
    <w:p>
      <w:pPr>
        <w:pStyle w:val="Compact"/>
        <w:numPr>
          <w:ilvl w:val="0"/>
          <w:numId w:val="1002"/>
        </w:numPr>
      </w:pPr>
      <w:r>
        <w:t xml:space="preserve">angles,</w:t>
      </w:r>
    </w:p>
    <w:p>
      <w:pPr>
        <w:pStyle w:val="Compact"/>
        <w:numPr>
          <w:ilvl w:val="0"/>
          <w:numId w:val="1002"/>
        </w:numPr>
      </w:pPr>
      <w:r>
        <w:t xml:space="preserve">causal structure,</w:t>
      </w:r>
    </w:p>
    <w:p>
      <w:pPr>
        <w:pStyle w:val="Compact"/>
        <w:numPr>
          <w:ilvl w:val="0"/>
          <w:numId w:val="1002"/>
        </w:numPr>
      </w:pPr>
      <w:r>
        <w:t xml:space="preserve">proper time,</w:t>
      </w:r>
    </w:p>
    <w:p>
      <w:pPr>
        <w:pStyle w:val="Compact"/>
        <w:numPr>
          <w:ilvl w:val="0"/>
          <w:numId w:val="1002"/>
        </w:numPr>
      </w:pPr>
      <w:r>
        <w:t xml:space="preserve">spacetime volume.</w:t>
      </w:r>
    </w:p>
    <w:p>
      <w:pPr>
        <w:pStyle w:val="FirstParagraph"/>
      </w:pPr>
      <w:r>
        <w:t xml:space="preserve">The inverse metric</w:t>
      </w:r>
    </w:p>
    <w:p>
      <w:pPr>
        <w:pStyle w:val="BodyText"/>
      </w:pPr>
      <w:r>
        <w:t xml:space="preserve">[</w:t>
      </w:r>
      <w:r>
        <w:t xml:space="preserve"> </w:t>
      </w:r>
      <w:r>
        <w:t xml:space="preserve">g^{</w:t>
      </w:r>
      <w:r>
        <w:t xml:space="preserve">}</w:t>
      </w:r>
      <w:r>
        <w:t xml:space="preserve"> </w:t>
      </w:r>
      <w:r>
        <w:t xml:space="preserve">]</w:t>
      </w:r>
    </w:p>
    <w:p>
      <w:pPr>
        <w:pStyle w:val="BodyText"/>
      </w:pPr>
      <w:r>
        <w:t xml:space="preserve">satisfies</w:t>
      </w:r>
    </w:p>
    <w:p>
      <w:pPr>
        <w:pStyle w:val="BodyText"/>
      </w:pPr>
      <w:r>
        <w:t xml:space="preserve">[</w:t>
      </w:r>
      <w:r>
        <w:t xml:space="preserve"> </w:t>
      </w:r>
      <w:r>
        <w:t xml:space="preserve">g^{</w:t>
      </w:r>
      <w:r>
        <w:t xml:space="preserve">}</w:t>
      </w:r>
      <w:r>
        <w:t xml:space="preserve"> </w:t>
      </w:r>
      <w:r>
        <w:t xml:space="preserve">g_{</w:t>
      </w:r>
      <w:r>
        <w:t xml:space="preserve">}</w:t>
      </w:r>
      <w:r>
        <w:t xml:space="preserve"> </w:t>
      </w:r>
      <w:r>
        <w:t xml:space="preserve">=</w:t>
      </w:r>
      <w:r>
        <w:t xml:space="preserve"> </w:t>
      </w:r>
      <w:r>
        <w:t xml:space="preserve">^</w:t>
      </w:r>
      <w:r>
        <w:t xml:space="preserve">_{</w:t>
      </w:r>
      <w:r>
        <w:t xml:space="preserve">},</w:t>
      </w:r>
      <w:r>
        <w:t xml:space="preserve"> </w:t>
      </w:r>
      <w:r>
        <w:t xml:space="preserve">]</w:t>
      </w:r>
    </w:p>
    <w:p>
      <w:pPr>
        <w:pStyle w:val="BodyText"/>
      </w:pPr>
      <w:r>
        <w:t xml:space="preserve">where</w:t>
      </w:r>
    </w:p>
    <w:p>
      <w:pPr>
        <w:pStyle w:val="BodyText"/>
      </w:pPr>
      <w:r>
        <w:t xml:space="preserve">[</w:t>
      </w:r>
      <w:r>
        <w:t xml:space="preserve"> </w:t>
      </w:r>
      <w:r>
        <w:t xml:space="preserve">^</w:t>
      </w:r>
      <w:r>
        <w:t xml:space="preserve">_{</w:t>
      </w:r>
      <w:r>
        <w:t xml:space="preserve">}</w:t>
      </w:r>
      <w:r>
        <w:t xml:space="preserve"> </w:t>
      </w:r>
      <w:r>
        <w:t xml:space="preserve">]</w:t>
      </w:r>
    </w:p>
    <w:p>
      <w:pPr>
        <w:pStyle w:val="BodyText"/>
      </w:pPr>
      <w:r>
        <w:t xml:space="preserve">is the Kronecker delta.</w:t>
      </w:r>
    </w:p>
    <w:p>
      <w:pPr>
        <w:pStyle w:val="BodyText"/>
      </w:pPr>
      <w:r>
        <w:t xml:space="preserve">The metric allows indices to be raised and lowered:</w:t>
      </w:r>
    </w:p>
    <w:p>
      <w:pPr>
        <w:pStyle w:val="BodyText"/>
      </w:pPr>
      <w:r>
        <w:t xml:space="preserve">[</w:t>
      </w:r>
      <w:r>
        <w:t xml:space="preserve"> </w:t>
      </w:r>
      <w:r>
        <w:t xml:space="preserve">V_</w:t>
      </w:r>
      <w:r>
        <w:t xml:space="preserve"> </w:t>
      </w:r>
      <w:r>
        <w:t xml:space="preserve">=</w:t>
      </w:r>
      <w:r>
        <w:t xml:space="preserve"> </w:t>
      </w:r>
      <w:r>
        <w:t xml:space="preserve">g_{</w:t>
      </w:r>
      <w:r>
        <w:t xml:space="preserve">}</w:t>
      </w:r>
      <w:r>
        <w:t xml:space="preserve"> </w:t>
      </w:r>
      <w:r>
        <w:t xml:space="preserve">V^</w:t>
      </w:r>
      <w:r>
        <w:t xml:space="preserve">,</w:t>
      </w:r>
      <w:r>
        <w:t xml:space="preserve"> </w:t>
      </w:r>
      <w:r>
        <w:t xml:space="preserve">]</w:t>
      </w:r>
    </w:p>
    <w:p>
      <w:pPr>
        <w:pStyle w:val="BodyText"/>
      </w:pPr>
      <w:r>
        <w:t xml:space="preserve">[</w:t>
      </w:r>
      <w:r>
        <w:t xml:space="preserve"> </w:t>
      </w:r>
      <w:r>
        <w:t xml:space="preserve">V^</w:t>
      </w:r>
      <w:r>
        <w:t xml:space="preserve"> </w:t>
      </w:r>
      <w:r>
        <w:t xml:space="preserve">=</w:t>
      </w:r>
      <w:r>
        <w:t xml:space="preserve"> </w:t>
      </w:r>
      <w:r>
        <w:t xml:space="preserve">g^{</w:t>
      </w:r>
      <w:r>
        <w:t xml:space="preserve">}</w:t>
      </w:r>
      <w:r>
        <w:t xml:space="preserve"> </w:t>
      </w:r>
      <w:r>
        <w:t xml:space="preserve">V_</w:t>
      </w:r>
      <w:r>
        <w:t xml:space="preserve">.</w:t>
      </w:r>
      <w:r>
        <w:t xml:space="preserve"> </w:t>
      </w:r>
      <w:r>
        <w:t xml:space="preserve">]</w:t>
      </w:r>
    </w:p>
    <w:p>
      <w:pPr>
        <w:pStyle w:val="BodyText"/>
      </w:pPr>
      <w:r>
        <w:t xml:space="preserve">This operation is fundamental throughout gravitational theory.</w:t>
      </w:r>
    </w:p>
    <w:p>
      <w:r>
        <w:pict>
          <v:rect style="width:0;height:1.5pt" o:hralign="center" o:hrstd="t" o:hr="t"/>
        </w:pict>
      </w:r>
    </w:p>
    <w:bookmarkEnd w:id="25"/>
    <w:bookmarkStart w:id="26" w:name="covariant-differentiation"/>
    <w:p>
      <w:pPr>
        <w:pStyle w:val="Heading2"/>
      </w:pPr>
      <w:r>
        <w:t xml:space="preserve">4.4 Covariant Differentiation</w:t>
      </w:r>
    </w:p>
    <w:p>
      <w:pPr>
        <w:pStyle w:val="FirstParagraph"/>
      </w:pPr>
      <w:r>
        <w:t xml:space="preserve">Ordinary derivatives fail to transform correctly under general coordinate transformations.</w:t>
      </w:r>
    </w:p>
    <w:p>
      <w:pPr>
        <w:pStyle w:val="BodyText"/>
      </w:pPr>
      <w:r>
        <w:t xml:space="preserve">To preserve tensorial structure one introduces the covariant derivative</w:t>
      </w:r>
    </w:p>
    <w:p>
      <w:pPr>
        <w:pStyle w:val="BodyText"/>
      </w:pPr>
      <w:r>
        <w:t xml:space="preserve">[</w:t>
      </w:r>
      <w:r>
        <w:t xml:space="preserve"> </w:t>
      </w:r>
      <w:r>
        <w:t xml:space="preserve">_</w:t>
      </w:r>
      <w:r>
        <w:t xml:space="preserve">.</w:t>
      </w:r>
      <w:r>
        <w:t xml:space="preserve"> </w:t>
      </w:r>
      <w:r>
        <w:t xml:space="preserve">]</w:t>
      </w:r>
    </w:p>
    <w:p>
      <w:pPr>
        <w:pStyle w:val="BodyText"/>
      </w:pPr>
      <w:r>
        <w:t xml:space="preserve">The connection coefficients are the Christoffel symbols</w:t>
      </w:r>
    </w:p>
    <w:p>
      <w:pPr>
        <w:pStyle w:val="BodyText"/>
      </w:pPr>
      <w:r>
        <w:t xml:space="preserve">[</w:t>
      </w:r>
      <w:r>
        <w:t xml:space="preserve"> </w:t>
      </w:r>
      <w:r>
        <w:t xml:space="preserve">^</w:t>
      </w:r>
      <w:r>
        <w:rPr>
          <w:i/>
          <w:iCs/>
        </w:rPr>
        <w:t xml:space="preserve">{</w:t>
      </w:r>
      <w:r>
        <w:rPr>
          <w:i/>
          <w:iCs/>
        </w:rPr>
        <w:t xml:space="preserve">}</w:t>
      </w:r>
      <w:r>
        <w:rPr>
          <w:i/>
          <w:iCs/>
        </w:rPr>
        <w:t xml:space="preserve"> </w:t>
      </w:r>
      <w:r>
        <w:rPr>
          <w:i/>
          <w:iCs/>
        </w:rPr>
        <w:t xml:space="preserve">=</w:t>
      </w:r>
      <w:r>
        <w:rPr>
          <w:i/>
          <w:iCs/>
        </w:rPr>
        <w:t xml:space="preserve"> </w:t>
      </w:r>
      <w:r>
        <w:rPr>
          <w:i/>
          <w:iCs/>
        </w:rPr>
        <w:t xml:space="preserve"> </w:t>
      </w:r>
      <w:r>
        <w:rPr>
          <w:i/>
          <w:iCs/>
        </w:rPr>
        <w:t xml:space="preserve">g^{</w:t>
      </w:r>
      <w:r>
        <w:rPr>
          <w:i/>
          <w:iCs/>
        </w:rPr>
        <w:t xml:space="preserve">}</w:t>
      </w:r>
      <w:r>
        <w:rPr>
          <w:i/>
          <w:iCs/>
        </w:rPr>
        <w:t xml:space="preserve"> </w:t>
      </w:r>
      <w:r>
        <w:rPr>
          <w:i/>
          <w:iCs/>
        </w:rPr>
        <w:t xml:space="preserve">(</w:t>
      </w:r>
      <w:r>
        <w:rPr>
          <w:i/>
          <w:iCs/>
        </w:rPr>
        <w:t xml:space="preserve"> </w:t>
      </w:r>
      <w:r>
        <w:t xml:space="preserve">g_{</w:t>
      </w:r>
      <w:r>
        <w:t xml:space="preserve">}</w:t>
      </w:r>
    </w:p>
    <w:p>
      <w:pPr>
        <w:numPr>
          <w:ilvl w:val="0"/>
          <w:numId w:val="1003"/>
        </w:numPr>
      </w:pPr>
      <w:r>
        <w:rPr>
          <w:i/>
          <w:iCs/>
        </w:rPr>
        <w:t xml:space="preserve">g</w:t>
      </w:r>
      <w:r>
        <w:t xml:space="preserve">{</w:t>
      </w:r>
      <w:r>
        <w:t xml:space="preserve">}</w:t>
      </w:r>
    </w:p>
    <w:p>
      <w:pPr>
        <w:numPr>
          <w:ilvl w:val="0"/>
          <w:numId w:val="1003"/>
        </w:numPr>
      </w:pPr>
      <w:r>
        <w:rPr>
          <w:i/>
          <w:iCs/>
        </w:rPr>
        <w:t xml:space="preserve">g</w:t>
      </w:r>
      <w:r>
        <w:t xml:space="preserve">{</w:t>
      </w:r>
      <w:r>
        <w:t xml:space="preserve">}</w:t>
      </w:r>
      <w:r>
        <w:t xml:space="preserve"> </w:t>
      </w:r>
      <w:r>
        <w:t xml:space="preserve">).</w:t>
      </w:r>
      <w:r>
        <w:t xml:space="preserve"> </w:t>
      </w:r>
      <w:r>
        <w:t xml:space="preserve">]</w:t>
      </w:r>
    </w:p>
    <w:p>
      <w:pPr>
        <w:pStyle w:val="FirstParagraph"/>
      </w:pPr>
      <w:r>
        <w:t xml:space="preserve">The covariant derivative of a vector field is</w:t>
      </w:r>
    </w:p>
    <w:p>
      <w:pPr>
        <w:pStyle w:val="BodyText"/>
      </w:pPr>
      <w:r>
        <w:t xml:space="preserve">[</w:t>
      </w:r>
      <w:r>
        <w:t xml:space="preserve"> </w:t>
      </w:r>
      <w:r>
        <w:rPr>
          <w:i/>
          <w:iCs/>
        </w:rPr>
        <w:t xml:space="preserve">V^</w:t>
      </w:r>
      <w:r>
        <w:rPr>
          <w:i/>
          <w:iCs/>
        </w:rPr>
        <w:t xml:space="preserve"> </w:t>
      </w:r>
      <w:r>
        <w:rPr>
          <w:i/>
          <w:iCs/>
        </w:rPr>
        <w:t xml:space="preserve">=</w:t>
      </w:r>
      <w:r>
        <w:rPr>
          <w:i/>
          <w:iCs/>
        </w:rPr>
        <w:t xml:space="preserve"> </w:t>
      </w:r>
      <w:r>
        <w:t xml:space="preserve">V^</w:t>
      </w:r>
    </w:p>
    <w:p>
      <w:pPr>
        <w:pStyle w:val="Compact"/>
        <w:numPr>
          <w:ilvl w:val="0"/>
          <w:numId w:val="1004"/>
        </w:numPr>
      </w:pPr>
      <w:r>
        <w:t xml:space="preserve">^</w:t>
      </w:r>
      <w:r>
        <w:t xml:space="preserve">_{</w:t>
      </w:r>
      <w:r>
        <w:t xml:space="preserve">}</w:t>
      </w:r>
      <w:r>
        <w:t xml:space="preserve"> </w:t>
      </w:r>
      <w:r>
        <w:t xml:space="preserve">V^</w:t>
      </w:r>
      <w:r>
        <w:t xml:space="preserve">.</w:t>
      </w:r>
      <w:r>
        <w:t xml:space="preserve"> </w:t>
      </w:r>
      <w:r>
        <w:t xml:space="preserve">]</w:t>
      </w:r>
    </w:p>
    <w:p>
      <w:pPr>
        <w:pStyle w:val="FirstParagraph"/>
      </w:pPr>
      <w:r>
        <w:t xml:space="preserve">The Levi-Civita connection is uniquely characterized by:</w:t>
      </w:r>
    </w:p>
    <w:p>
      <w:pPr>
        <w:pStyle w:val="BodyText"/>
      </w:pPr>
      <w:r>
        <w:t xml:space="preserve">[</w:t>
      </w:r>
      <w:r>
        <w:t xml:space="preserve"> </w:t>
      </w:r>
      <w:r>
        <w:rPr>
          <w:i/>
          <w:iCs/>
        </w:rPr>
        <w:t xml:space="preserve">g</w:t>
      </w:r>
      <w:r>
        <w:t xml:space="preserve">{</w:t>
      </w:r>
      <w:r>
        <w:t xml:space="preserve">}</w:t>
      </w:r>
      <w:r>
        <w:t xml:space="preserve"> </w:t>
      </w:r>
      <w:r>
        <w:t xml:space="preserve">=</w:t>
      </w:r>
      <w:r>
        <w:t xml:space="preserve"> </w:t>
      </w:r>
      <w:r>
        <w:t xml:space="preserve">0</w:t>
      </w:r>
      <w:r>
        <w:t xml:space="preserve"> </w:t>
      </w:r>
      <w:r>
        <w:t xml:space="preserve">]</w:t>
      </w:r>
    </w:p>
    <w:p>
      <w:pPr>
        <w:pStyle w:val="BodyText"/>
      </w:pPr>
      <w:r>
        <w:t xml:space="preserve">(metric compatibility)</w:t>
      </w:r>
    </w:p>
    <w:p>
      <w:pPr>
        <w:pStyle w:val="BodyText"/>
      </w:pPr>
      <w:r>
        <w:t xml:space="preserve">and</w:t>
      </w:r>
    </w:p>
    <w:p>
      <w:pPr>
        <w:pStyle w:val="BodyText"/>
      </w:pPr>
      <w:r>
        <w:t xml:space="preserve">[</w:t>
      </w:r>
      <w:r>
        <w:t xml:space="preserve"> </w:t>
      </w:r>
      <w:r>
        <w:t xml:space="preserve">^</w:t>
      </w:r>
      <w:r>
        <w:rPr>
          <w:i/>
          <w:iCs/>
        </w:rPr>
        <w:t xml:space="preserve">{</w:t>
      </w:r>
      <w:r>
        <w:rPr>
          <w:i/>
          <w:iCs/>
        </w:rPr>
        <w:t xml:space="preserve">}</w:t>
      </w:r>
      <w:r>
        <w:rPr>
          <w:i/>
          <w:iCs/>
        </w:rPr>
        <w:t xml:space="preserve"> </w:t>
      </w:r>
      <w:r>
        <w:rPr>
          <w:i/>
          <w:iCs/>
        </w:rPr>
        <w:t xml:space="preserve">=</w:t>
      </w:r>
      <w:r>
        <w:rPr>
          <w:i/>
          <w:iCs/>
        </w:rPr>
        <w:t xml:space="preserve"> </w:t>
      </w:r>
      <w:r>
        <w:rPr>
          <w:i/>
          <w:iCs/>
        </w:rPr>
        <w:t xml:space="preserve">^</w:t>
      </w:r>
      <w:r>
        <w:t xml:space="preserve">{</w:t>
      </w:r>
      <w:r>
        <w:t xml:space="preserve">}</w:t>
      </w:r>
      <w:r>
        <w:t xml:space="preserve"> </w:t>
      </w:r>
      <w:r>
        <w:t xml:space="preserve">]</w:t>
      </w:r>
    </w:p>
    <w:p>
      <w:pPr>
        <w:pStyle w:val="BodyText"/>
      </w:pPr>
      <w:r>
        <w:t xml:space="preserve">(torsion-free condition).</w:t>
      </w:r>
    </w:p>
    <w:p>
      <w:pPr>
        <w:pStyle w:val="BodyText"/>
      </w:pPr>
      <w:r>
        <w:t xml:space="preserve">These properties ensure consistency between geometry and differentiation.</w:t>
      </w:r>
    </w:p>
    <w:p>
      <w:r>
        <w:pict>
          <v:rect style="width:0;height:1.5pt" o:hralign="center" o:hrstd="t" o:hr="t"/>
        </w:pict>
      </w:r>
    </w:p>
    <w:bookmarkEnd w:id="26"/>
    <w:bookmarkStart w:id="27" w:name="curvature"/>
    <w:p>
      <w:pPr>
        <w:pStyle w:val="Heading2"/>
      </w:pPr>
      <w:r>
        <w:t xml:space="preserve">4.5 Curvature</w:t>
      </w:r>
    </w:p>
    <w:p>
      <w:pPr>
        <w:pStyle w:val="FirstParagraph"/>
      </w:pPr>
      <w:r>
        <w:t xml:space="preserve">The defining feature of gravitation in General Relativity is curvature.</w:t>
      </w:r>
    </w:p>
    <w:p>
      <w:pPr>
        <w:pStyle w:val="BodyText"/>
      </w:pPr>
      <w:r>
        <w:t xml:space="preserve">Curvature arises from the noncommutativity of covariant derivatives.</w:t>
      </w:r>
    </w:p>
    <w:p>
      <w:pPr>
        <w:pStyle w:val="BodyText"/>
      </w:pPr>
      <w:r>
        <w:t xml:space="preserve">The Riemann curvature tensor is defined by</w:t>
      </w:r>
    </w:p>
    <w:p>
      <w:pPr>
        <w:pStyle w:val="BodyText"/>
      </w:pPr>
      <w:r>
        <w:t xml:space="preserve">[</w:t>
      </w:r>
      <w:r>
        <w:t xml:space="preserve"> </w:t>
      </w:r>
      <w:r>
        <w:t xml:space="preserve">R^</w:t>
      </w:r>
      <w:r>
        <w:rPr>
          <w:i/>
          <w:iCs/>
        </w:rPr>
        <w:t xml:space="preserve">{;</w:t>
      </w:r>
      <w:r>
        <w:rPr>
          <w:i/>
          <w:iCs/>
        </w:rPr>
        <w:t xml:space="preserve">}</w:t>
      </w:r>
      <w:r>
        <w:rPr>
          <w:i/>
          <w:iCs/>
        </w:rPr>
        <w:t xml:space="preserve"> </w:t>
      </w:r>
      <w:r>
        <w:rPr>
          <w:i/>
          <w:iCs/>
        </w:rPr>
        <w:t xml:space="preserve">=</w:t>
      </w:r>
      <w:r>
        <w:rPr>
          <w:i/>
          <w:iCs/>
        </w:rPr>
        <w:t xml:space="preserve"> </w:t>
      </w:r>
      <w:r>
        <w:t xml:space="preserve"> </w:t>
      </w:r>
      <w:r>
        <w:t xml:space="preserve">^</w:t>
      </w:r>
      <w:r>
        <w:t xml:space="preserve">_{</w:t>
      </w:r>
      <w:r>
        <w:t xml:space="preserve">}</w:t>
      </w:r>
    </w:p>
    <w:p>
      <w:pPr>
        <w:numPr>
          <w:ilvl w:val="0"/>
          <w:numId w:val="1005"/>
        </w:numPr>
      </w:pPr>
      <w:r>
        <w:rPr>
          <w:i/>
          <w:iCs/>
        </w:rPr>
        <w:t xml:space="preserve"> </w:t>
      </w:r>
      <w:r>
        <w:rPr>
          <w:i/>
          <w:iCs/>
        </w:rPr>
        <w:t xml:space="preserve">^</w:t>
      </w:r>
      <w:r>
        <w:t xml:space="preserve">{</w:t>
      </w:r>
      <w:r>
        <w:t xml:space="preserve">}</w:t>
      </w:r>
    </w:p>
    <w:p>
      <w:pPr>
        <w:numPr>
          <w:ilvl w:val="0"/>
          <w:numId w:val="1005"/>
        </w:numPr>
      </w:pPr>
      <w:r>
        <w:t xml:space="preserve">^</w:t>
      </w:r>
      <w:r>
        <w:rPr>
          <w:i/>
          <w:iCs/>
        </w:rPr>
        <w:t xml:space="preserve">{</w:t>
      </w:r>
      <w:r>
        <w:rPr>
          <w:i/>
          <w:iCs/>
        </w:rPr>
        <w:t xml:space="preserve">}</w:t>
      </w:r>
      <w:r>
        <w:rPr>
          <w:i/>
          <w:iCs/>
        </w:rPr>
        <w:t xml:space="preserve"> </w:t>
      </w:r>
      <w:r>
        <w:rPr>
          <w:i/>
          <w:iCs/>
        </w:rPr>
        <w:t xml:space="preserve">^</w:t>
      </w:r>
      <w:r>
        <w:t xml:space="preserve">{</w:t>
      </w:r>
      <w:r>
        <w:t xml:space="preserve">}</w:t>
      </w:r>
    </w:p>
    <w:p>
      <w:pPr>
        <w:numPr>
          <w:ilvl w:val="0"/>
          <w:numId w:val="1005"/>
        </w:numPr>
      </w:pPr>
      <w:r>
        <w:t xml:space="preserve">^</w:t>
      </w:r>
      <w:r>
        <w:rPr>
          <w:i/>
          <w:iCs/>
        </w:rPr>
        <w:t xml:space="preserve">{</w:t>
      </w:r>
      <w:r>
        <w:rPr>
          <w:i/>
          <w:iCs/>
        </w:rPr>
        <w:t xml:space="preserve">}</w:t>
      </w:r>
      <w:r>
        <w:rPr>
          <w:i/>
          <w:iCs/>
        </w:rPr>
        <w:t xml:space="preserve"> </w:t>
      </w:r>
      <w:r>
        <w:rPr>
          <w:i/>
          <w:iCs/>
        </w:rPr>
        <w:t xml:space="preserve">^</w:t>
      </w:r>
      <w:r>
        <w:t xml:space="preserve">{</w:t>
      </w:r>
      <w:r>
        <w:t xml:space="preserve">}.</w:t>
      </w:r>
      <w:r>
        <w:t xml:space="preserve"> </w:t>
      </w:r>
      <w:r>
        <w:t xml:space="preserve">]</w:t>
      </w:r>
    </w:p>
    <w:p>
      <w:pPr>
        <w:pStyle w:val="FirstParagraph"/>
      </w:pPr>
      <w:r>
        <w:t xml:space="preserve">The Riemann tensor measures how vectors change when parallel transported around infinitesimal loops.</w:t>
      </w:r>
    </w:p>
    <w:p>
      <w:pPr>
        <w:pStyle w:val="BodyText"/>
      </w:pPr>
      <w:r>
        <w:t xml:space="preserve">It contains complete information about local curvature.</w:t>
      </w:r>
    </w:p>
    <w:p>
      <w:r>
        <w:pict>
          <v:rect style="width:0;height:1.5pt" o:hralign="center" o:hrstd="t" o:hr="t"/>
        </w:pict>
      </w:r>
    </w:p>
    <w:bookmarkEnd w:id="27"/>
    <w:bookmarkStart w:id="28" w:name="ricci-tensor"/>
    <w:p>
      <w:pPr>
        <w:pStyle w:val="Heading2"/>
      </w:pPr>
      <w:r>
        <w:t xml:space="preserve">4.6 Ricci Tensor</w:t>
      </w:r>
    </w:p>
    <w:p>
      <w:pPr>
        <w:pStyle w:val="FirstParagraph"/>
      </w:pPr>
      <w:r>
        <w:t xml:space="preserve">Contracting the Riemann tensor yields the Ricci tensor:</w:t>
      </w:r>
    </w:p>
    <w:p>
      <w:pPr>
        <w:pStyle w:val="BodyText"/>
      </w:pPr>
      <w:r>
        <w:t xml:space="preserve">[</w:t>
      </w:r>
      <w:r>
        <w:t xml:space="preserve"> </w:t>
      </w:r>
      <w:r>
        <w:t xml:space="preserve">R_{</w:t>
      </w:r>
      <w:r>
        <w:t xml:space="preserve">}</w:t>
      </w:r>
      <w:r>
        <w:t xml:space="preserve"> </w:t>
      </w:r>
      <w:r>
        <w:t xml:space="preserve">=</w:t>
      </w:r>
      <w:r>
        <w:t xml:space="preserve"> </w:t>
      </w:r>
      <w:r>
        <w:t xml:space="preserve">R^</w:t>
      </w:r>
      <w:r>
        <w:t xml:space="preserve">_{;</w:t>
      </w:r>
      <w:r>
        <w:t xml:space="preserve">}.</w:t>
      </w:r>
      <w:r>
        <w:t xml:space="preserve"> </w:t>
      </w:r>
      <w:r>
        <w:t xml:space="preserve">]</w:t>
      </w:r>
    </w:p>
    <w:p>
      <w:pPr>
        <w:pStyle w:val="BodyText"/>
      </w:pPr>
      <w:r>
        <w:t xml:space="preserve">The Ricci tensor measures volume distortion induced by curvature.</w:t>
      </w:r>
    </w:p>
    <w:p>
      <w:pPr>
        <w:pStyle w:val="BodyText"/>
      </w:pPr>
      <w:r>
        <w:t xml:space="preserve">Regions with positive Ricci curvature tend to focus neighboring geodesics, whereas negative Ricci curvature tends to separate them.</w:t>
      </w:r>
    </w:p>
    <w:p>
      <w:r>
        <w:pict>
          <v:rect style="width:0;height:1.5pt" o:hralign="center" o:hrstd="t" o:hr="t"/>
        </w:pict>
      </w:r>
    </w:p>
    <w:bookmarkEnd w:id="28"/>
    <w:bookmarkStart w:id="29" w:name="ricci-scalar"/>
    <w:p>
      <w:pPr>
        <w:pStyle w:val="Heading2"/>
      </w:pPr>
      <w:r>
        <w:t xml:space="preserve">4.7 Ricci Scalar</w:t>
      </w:r>
    </w:p>
    <w:p>
      <w:pPr>
        <w:pStyle w:val="FirstParagraph"/>
      </w:pPr>
      <w:r>
        <w:t xml:space="preserve">A further contraction yields the Ricci scalar</w:t>
      </w:r>
    </w:p>
    <w:p>
      <w:pPr>
        <w:pStyle w:val="BodyText"/>
      </w:pPr>
      <w:r>
        <w:t xml:space="preserve">[</w:t>
      </w:r>
      <w:r>
        <w:t xml:space="preserve"> </w:t>
      </w:r>
      <w:r>
        <w:t xml:space="preserve">R</w:t>
      </w:r>
      <w:r>
        <w:t xml:space="preserve"> </w:t>
      </w:r>
      <w:r>
        <w:t xml:space="preserve">=</w:t>
      </w:r>
      <w:r>
        <w:t xml:space="preserve"> </w:t>
      </w:r>
      <w:r>
        <w:t xml:space="preserve">g^{</w:t>
      </w:r>
      <w:r>
        <w:t xml:space="preserve">}</w:t>
      </w:r>
      <w:r>
        <w:t xml:space="preserve"> </w:t>
      </w:r>
      <w:r>
        <w:t xml:space="preserve">R_{</w:t>
      </w:r>
      <w:r>
        <w:t xml:space="preserve">}.</w:t>
      </w:r>
      <w:r>
        <w:t xml:space="preserve"> </w:t>
      </w:r>
      <w:r>
        <w:t xml:space="preserve">]</w:t>
      </w:r>
    </w:p>
    <w:p>
      <w:pPr>
        <w:pStyle w:val="BodyText"/>
      </w:pPr>
      <w:r>
        <w:t xml:space="preserve">The Ricci scalar provides a single scalar measure of spacetime curvature.</w:t>
      </w:r>
    </w:p>
    <w:p>
      <w:pPr>
        <w:pStyle w:val="BodyText"/>
      </w:pPr>
      <w:r>
        <w:t xml:space="preserve">It appears prominently in gravitational action principles.</w:t>
      </w:r>
    </w:p>
    <w:p>
      <w:r>
        <w:pict>
          <v:rect style="width:0;height:1.5pt" o:hralign="center" o:hrstd="t" o:hr="t"/>
        </w:pict>
      </w:r>
    </w:p>
    <w:bookmarkEnd w:id="29"/>
    <w:bookmarkStart w:id="30" w:name="einstein-tensor"/>
    <w:p>
      <w:pPr>
        <w:pStyle w:val="Heading2"/>
      </w:pPr>
      <w:r>
        <w:t xml:space="preserve">4.8 Einstein Tensor</w:t>
      </w:r>
    </w:p>
    <w:p>
      <w:pPr>
        <w:pStyle w:val="FirstParagraph"/>
      </w:pPr>
      <w:r>
        <w:t xml:space="preserve">The Einstein tensor is defined by</w:t>
      </w:r>
    </w:p>
    <w:p>
      <w:pPr>
        <w:pStyle w:val="BodyText"/>
      </w:pPr>
      <w:r>
        <w:t xml:space="preserve">[</w:t>
      </w:r>
      <w:r>
        <w:t xml:space="preserve"> </w:t>
      </w:r>
      <w:r>
        <w:t xml:space="preserve">G_{</w:t>
      </w:r>
      <w:r>
        <w:t xml:space="preserve">}</w:t>
      </w:r>
      <w:r>
        <w:t xml:space="preserve"> </w:t>
      </w:r>
      <w:r>
        <w:t xml:space="preserve">=</w:t>
      </w:r>
      <w:r>
        <w:t xml:space="preserve"> </w:t>
      </w:r>
      <w:r>
        <w:t xml:space="preserve">R_{</w:t>
      </w:r>
      <w:r>
        <w:t xml:space="preserve">}</w:t>
      </w:r>
    </w:p>
    <w:p>
      <w:pPr>
        <w:pStyle w:val="Compact"/>
        <w:numPr>
          <w:ilvl w:val="0"/>
          <w:numId w:val="1006"/>
        </w:numPr>
      </w:pPr>
      <w:r>
        <w:t xml:space="preserve">g_{</w:t>
      </w:r>
      <w:r>
        <w:t xml:space="preserve">}</w:t>
      </w:r>
    </w:p>
    <w:p>
      <w:pPr>
        <w:pStyle w:val="Compact"/>
        <w:numPr>
          <w:ilvl w:val="0"/>
          <w:numId w:val="1007"/>
        </w:numPr>
      </w:pPr>
      <w:r>
        <w:t xml:space="preserve">]</w:t>
      </w:r>
    </w:p>
    <w:p>
      <w:pPr>
        <w:pStyle w:val="FirstParagraph"/>
      </w:pPr>
      <w:r>
        <w:t xml:space="preserve">The Einstein tensor possesses a crucial property:</w:t>
      </w:r>
    </w:p>
    <w:p>
      <w:pPr>
        <w:pStyle w:val="BodyText"/>
      </w:pPr>
      <w:r>
        <w:t xml:space="preserve">[</w:t>
      </w:r>
      <w:r>
        <w:t xml:space="preserve"> </w:t>
      </w:r>
      <w:r>
        <w:t xml:space="preserve">^</w:t>
      </w:r>
      <w:r>
        <w:t xml:space="preserve"> </w:t>
      </w:r>
      <w:r>
        <w:t xml:space="preserve">G_{</w:t>
      </w:r>
      <w:r>
        <w:t xml:space="preserve">}</w:t>
      </w:r>
      <w:r>
        <w:t xml:space="preserve"> </w:t>
      </w:r>
      <w:r>
        <w:t xml:space="preserve">=</w:t>
      </w:r>
      <w:r>
        <w:t xml:space="preserve"> </w:t>
      </w:r>
      <w:r>
        <w:t xml:space="preserve">0.</w:t>
      </w:r>
      <w:r>
        <w:t xml:space="preserve"> </w:t>
      </w:r>
      <w:r>
        <w:t xml:space="preserve">]</w:t>
      </w:r>
    </w:p>
    <w:p>
      <w:pPr>
        <w:pStyle w:val="BodyText"/>
      </w:pPr>
      <w:r>
        <w:t xml:space="preserve">This identity guarantees local conservation of energy and momentum.</w:t>
      </w:r>
    </w:p>
    <w:p>
      <w:pPr>
        <w:pStyle w:val="BodyText"/>
      </w:pPr>
      <w:r>
        <w:t xml:space="preserve">The Einstein tensor therefore provides the natural geometric object appearing in gravitational field equations.</w:t>
      </w:r>
    </w:p>
    <w:p>
      <w:r>
        <w:pict>
          <v:rect style="width:0;height:1.5pt" o:hralign="center" o:hrstd="t" o:hr="t"/>
        </w:pict>
      </w:r>
    </w:p>
    <w:bookmarkEnd w:id="30"/>
    <w:bookmarkStart w:id="32" w:name="einstein-field-equations"/>
    <w:p>
      <w:pPr>
        <w:pStyle w:val="Heading2"/>
      </w:pPr>
      <w:r>
        <w:t xml:space="preserve">4.9 Einstein Field Equations</w:t>
      </w:r>
    </w:p>
    <w:p>
      <w:pPr>
        <w:pStyle w:val="FirstParagraph"/>
      </w:pPr>
      <w:r>
        <w:t xml:space="preserve">The field equations of General Relativity are</w:t>
      </w:r>
    </w:p>
    <w:p>
      <w:pPr>
        <w:pStyle w:val="BodyText"/>
      </w:pPr>
      <w:r>
        <w:t xml:space="preserve">[</w:t>
      </w:r>
      <w:r>
        <w:t xml:space="preserve"> </w:t>
      </w:r>
      <w:r>
        <w:t xml:space="preserve">G_{</w:t>
      </w:r>
      <w:r>
        <w:t xml:space="preserve">}</w:t>
      </w:r>
    </w:p>
    <w:p>
      <w:pPr>
        <w:pStyle w:val="Heading1"/>
        <w:numPr>
          <w:ilvl w:val="0"/>
          <w:numId w:val="1008"/>
        </w:numPr>
      </w:pPr>
      <w:bookmarkStart w:id="31" w:name="g_"/>
      <w:r>
        <w:t xml:space="preserve">g_{</w:t>
      </w:r>
      <w:r>
        <w:t xml:space="preserve">}</w:t>
      </w:r>
      <w:bookmarkEnd w:id="31"/>
    </w:p>
    <w:p>
      <w:pPr>
        <w:pStyle w:val="Compact"/>
        <w:numPr>
          <w:ilvl w:val="0"/>
          <w:numId w:val="1000"/>
        </w:numPr>
      </w:pPr>
      <w:r>
        <w:t xml:space="preserve">T_{</w:t>
      </w:r>
      <w:r>
        <w:t xml:space="preserve">}.</w:t>
      </w:r>
      <w:r>
        <w:t xml:space="preserve"> </w:t>
      </w:r>
      <w:r>
        <w:t xml:space="preserve">]</w:t>
      </w:r>
    </w:p>
    <w:p>
      <w:pPr>
        <w:pStyle w:val="FirstParagraph"/>
      </w:pPr>
      <w:r>
        <w:t xml:space="preserve">These equations describe the relationship between geometry and matter.</w:t>
      </w:r>
    </w:p>
    <w:p>
      <w:pPr>
        <w:pStyle w:val="BodyText"/>
      </w:pPr>
      <w:r>
        <w:t xml:space="preserve">The terms have the following meanings:</w:t>
      </w:r>
    </w:p>
    <w:p>
      <w:pPr>
        <w:pStyle w:val="BodyText"/>
      </w:pPr>
      <w:r>
        <w:t xml:space="preserve">[</w:t>
      </w:r>
      <w:r>
        <w:t xml:space="preserve"> </w:t>
      </w:r>
      <w:r>
        <w:t xml:space="preserve">G_{</w:t>
      </w:r>
      <w:r>
        <w:t xml:space="preserve">}</w:t>
      </w:r>
      <w:r>
        <w:t xml:space="preserve"> </w:t>
      </w:r>
      <w:r>
        <w:t xml:space="preserve">]</w:t>
      </w:r>
    </w:p>
    <w:p>
      <w:pPr>
        <w:pStyle w:val="BodyText"/>
      </w:pPr>
      <w:r>
        <w:t xml:space="preserve">=</w:t>
      </w:r>
      <w:r>
        <w:t xml:space="preserve"> </w:t>
      </w:r>
      <w:r>
        <w:t xml:space="preserve">spacetime curvature,</w:t>
      </w:r>
    </w:p>
    <w:p>
      <w:pPr>
        <w:pStyle w:val="BodyText"/>
      </w:pPr>
      <w:r>
        <w:t xml:space="preserve">[</w:t>
      </w:r>
      <w:r>
        <w:t xml:space="preserve"> </w:t>
      </w:r>
      <w:r>
        <w:t xml:space="preserve"> </w:t>
      </w:r>
      <w:r>
        <w:t xml:space="preserve">]</w:t>
      </w:r>
    </w:p>
    <w:p>
      <w:pPr>
        <w:pStyle w:val="BodyText"/>
      </w:pPr>
      <w:r>
        <w:t xml:space="preserve">=</w:t>
      </w:r>
      <w:r>
        <w:t xml:space="preserve"> </w:t>
      </w:r>
      <w:r>
        <w:t xml:space="preserve">cosmological constant,</w:t>
      </w:r>
    </w:p>
    <w:p>
      <w:pPr>
        <w:pStyle w:val="BodyText"/>
      </w:pPr>
      <w:r>
        <w:t xml:space="preserve">[</w:t>
      </w:r>
      <w:r>
        <w:t xml:space="preserve"> </w:t>
      </w:r>
      <w:r>
        <w:t xml:space="preserve">T_{</w:t>
      </w:r>
      <w:r>
        <w:t xml:space="preserve">}</w:t>
      </w:r>
      <w:r>
        <w:t xml:space="preserve"> </w:t>
      </w:r>
      <w:r>
        <w:t xml:space="preserve">]</w:t>
      </w:r>
    </w:p>
    <w:p>
      <w:pPr>
        <w:pStyle w:val="BodyText"/>
      </w:pPr>
      <w:r>
        <w:t xml:space="preserve">=</w:t>
      </w:r>
      <w:r>
        <w:t xml:space="preserve"> </w:t>
      </w:r>
      <w:r>
        <w:t xml:space="preserve">stress-energy tensor,</w:t>
      </w:r>
    </w:p>
    <w:p>
      <w:pPr>
        <w:pStyle w:val="BodyText"/>
      </w:pPr>
      <w:r>
        <w:t xml:space="preserve">[</w:t>
      </w:r>
      <w:r>
        <w:t xml:space="preserve"> </w:t>
      </w:r>
      <w:r>
        <w:t xml:space="preserve">G</w:t>
      </w:r>
      <w:r>
        <w:t xml:space="preserve"> </w:t>
      </w:r>
      <w:r>
        <w:t xml:space="preserve">]</w:t>
      </w:r>
    </w:p>
    <w:p>
      <w:pPr>
        <w:pStyle w:val="BodyText"/>
      </w:pPr>
      <w:r>
        <w:t xml:space="preserve">=</w:t>
      </w:r>
      <w:r>
        <w:t xml:space="preserve"> </w:t>
      </w:r>
      <w:r>
        <w:t xml:space="preserve">Newton’s gravitational constant.</w:t>
      </w:r>
    </w:p>
    <w:p>
      <w:pPr>
        <w:pStyle w:val="BodyText"/>
      </w:pPr>
      <w:r>
        <w:t xml:space="preserve">The Theory of Entropicity must reproduce these equations in an appropriate limit.</w:t>
      </w:r>
    </w:p>
    <w:p>
      <w:pPr>
        <w:pStyle w:val="BodyText"/>
      </w:pPr>
      <w:r>
        <w:t xml:space="preserve">Their recovery will serve as one of the principal consistency tests of the theory.</w:t>
      </w:r>
    </w:p>
    <w:p>
      <w:r>
        <w:pict>
          <v:rect style="width:0;height:1.5pt" o:hralign="center" o:hrstd="t" o:hr="t"/>
        </w:pict>
      </w:r>
    </w:p>
    <w:bookmarkEnd w:id="32"/>
    <w:bookmarkEnd w:id="33"/>
    <w:bookmarkStart w:id="34" w:name="part-ii"/>
    <w:p>
      <w:pPr>
        <w:pStyle w:val="Heading1"/>
      </w:pPr>
      <w:r>
        <w:t xml:space="preserve">Part II</w:t>
      </w:r>
    </w:p>
    <w:bookmarkEnd w:id="34"/>
    <w:bookmarkStart w:id="39" w:name="statistical-mechanics-and-thermodynamics"/>
    <w:p>
      <w:pPr>
        <w:pStyle w:val="Heading1"/>
      </w:pPr>
      <w:r>
        <w:t xml:space="preserve">Statistical Mechanics and Thermodynamics</w:t>
      </w:r>
    </w:p>
    <w:bookmarkStart w:id="35" w:name="entropy"/>
    <w:p>
      <w:pPr>
        <w:pStyle w:val="Heading2"/>
      </w:pPr>
      <w:r>
        <w:t xml:space="preserve">4.10 Entropy</w:t>
      </w:r>
    </w:p>
    <w:p>
      <w:pPr>
        <w:pStyle w:val="FirstParagraph"/>
      </w:pPr>
      <w:r>
        <w:t xml:space="preserve">Entropy is one of the most important quantities in physics.</w:t>
      </w:r>
    </w:p>
    <w:p>
      <w:pPr>
        <w:pStyle w:val="BodyText"/>
      </w:pPr>
      <w:r>
        <w:t xml:space="preserve">For a discrete probability distribution</w:t>
      </w:r>
    </w:p>
    <w:p>
      <w:pPr>
        <w:pStyle w:val="BodyText"/>
      </w:pPr>
      <w:r>
        <w:t xml:space="preserve">[</w:t>
      </w:r>
      <w:r>
        <w:t xml:space="preserve"> </w:t>
      </w:r>
      <w:r>
        <w:t xml:space="preserve">{p_i},</w:t>
      </w:r>
      <w:r>
        <w:t xml:space="preserve"> </w:t>
      </w:r>
      <w:r>
        <w:t xml:space="preserve">]</w:t>
      </w:r>
    </w:p>
    <w:p>
      <w:pPr>
        <w:pStyle w:val="BodyText"/>
      </w:pPr>
      <w:r>
        <w:t xml:space="preserve">the Gibbs–Shannon entropy is</w:t>
      </w:r>
    </w:p>
    <w:p>
      <w:pPr>
        <w:pStyle w:val="BodyText"/>
      </w:pPr>
      <w:r>
        <w:t xml:space="preserve">[</w:t>
      </w:r>
      <w:r>
        <w:t xml:space="preserve"> </w:t>
      </w:r>
      <w:r>
        <w:t xml:space="preserve">S</w:t>
      </w:r>
      <w:r>
        <w:t xml:space="preserve"> </w:t>
      </w:r>
      <w:r>
        <w:t xml:space="preserve">=</w:t>
      </w:r>
      <w:r>
        <w:t xml:space="preserve"> </w:t>
      </w:r>
      <w:r>
        <w:t xml:space="preserve">-k_B</w:t>
      </w:r>
      <w:r>
        <w:t xml:space="preserve"> </w:t>
      </w:r>
      <w:r>
        <w:t xml:space="preserve">_i</w:t>
      </w:r>
      <w:r>
        <w:t xml:space="preserve"> </w:t>
      </w:r>
      <w:r>
        <w:t xml:space="preserve">p_i</w:t>
      </w:r>
      <w:r>
        <w:t xml:space="preserve"> </w:t>
      </w:r>
      <w:r>
        <w:t xml:space="preserve">p_i.</w:t>
      </w:r>
      <w:r>
        <w:t xml:space="preserve"> </w:t>
      </w:r>
      <w:r>
        <w:t xml:space="preserve">]</w:t>
      </w:r>
    </w:p>
    <w:p>
      <w:pPr>
        <w:pStyle w:val="BodyText"/>
      </w:pPr>
      <w:r>
        <w:t xml:space="preserve">For a continuous distribution</w:t>
      </w:r>
    </w:p>
    <w:p>
      <w:pPr>
        <w:pStyle w:val="BodyText"/>
      </w:pPr>
      <w:r>
        <w:t xml:space="preserve">[</w:t>
      </w:r>
      <w:r>
        <w:t xml:space="preserve"> </w:t>
      </w:r>
      <w:r>
        <w:t xml:space="preserve">p(x),</w:t>
      </w:r>
      <w:r>
        <w:t xml:space="preserve"> </w:t>
      </w:r>
      <w:r>
        <w:t xml:space="preserve">]</w:t>
      </w:r>
    </w:p>
    <w:p>
      <w:pPr>
        <w:pStyle w:val="BodyText"/>
      </w:pPr>
      <w:r>
        <w:t xml:space="preserve">the entropy becomes</w:t>
      </w:r>
    </w:p>
    <w:p>
      <w:pPr>
        <w:pStyle w:val="BodyText"/>
      </w:pPr>
      <w:r>
        <w:t xml:space="preserve">[</w:t>
      </w:r>
      <w:r>
        <w:t xml:space="preserve"> </w:t>
      </w:r>
      <w:r>
        <w:t xml:space="preserve">S</w:t>
      </w:r>
      <w:r>
        <w:t xml:space="preserve"> </w:t>
      </w:r>
      <w:r>
        <w:t xml:space="preserve">=</w:t>
      </w:r>
      <w:r>
        <w:t xml:space="preserve"> </w:t>
      </w:r>
      <w:r>
        <w:t xml:space="preserve">-k_B</w:t>
      </w:r>
      <w:r>
        <w:t xml:space="preserve"> </w:t>
      </w:r>
      <w:r>
        <w:t xml:space="preserve"> </w:t>
      </w:r>
      <w:r>
        <w:t xml:space="preserve">p(x)</w:t>
      </w:r>
      <w:r>
        <w:t xml:space="preserve"> </w:t>
      </w:r>
      <w:r>
        <w:t xml:space="preserve">p(x)</w:t>
      </w:r>
      <w:r>
        <w:t xml:space="preserve"> </w:t>
      </w:r>
      <w:r>
        <w:t xml:space="preserve">,dx.</w:t>
      </w:r>
      <w:r>
        <w:t xml:space="preserve"> </w:t>
      </w:r>
      <w:r>
        <w:t xml:space="preserve">]</w:t>
      </w:r>
    </w:p>
    <w:p>
      <w:pPr>
        <w:pStyle w:val="BodyText"/>
      </w:pPr>
      <w:r>
        <w:t xml:space="preserve">Entropy quantifies uncertainty, multiplicity, and information content.</w:t>
      </w:r>
    </w:p>
    <w:p>
      <w:pPr>
        <w:pStyle w:val="BodyText"/>
      </w:pPr>
      <w:r>
        <w:t xml:space="preserve">Within conventional physics it is usually regarded as a derived quantity.</w:t>
      </w:r>
    </w:p>
    <w:p>
      <w:pPr>
        <w:pStyle w:val="BodyText"/>
      </w:pPr>
      <w:r>
        <w:t xml:space="preserve">The Theory of Entropicity seeks to elevate entropy to a more fundamental status.</w:t>
      </w:r>
    </w:p>
    <w:p>
      <w:r>
        <w:pict>
          <v:rect style="width:0;height:1.5pt" o:hralign="center" o:hrstd="t" o:hr="t"/>
        </w:pict>
      </w:r>
    </w:p>
    <w:bookmarkEnd w:id="35"/>
    <w:bookmarkStart w:id="36" w:name="the-second-law"/>
    <w:p>
      <w:pPr>
        <w:pStyle w:val="Heading2"/>
      </w:pPr>
      <w:r>
        <w:t xml:space="preserve">4.11 The Second Law</w:t>
      </w:r>
    </w:p>
    <w:p>
      <w:pPr>
        <w:pStyle w:val="FirstParagraph"/>
      </w:pPr>
      <w:r>
        <w:t xml:space="preserve">The Second Law of Thermodynamics states</w:t>
      </w:r>
    </w:p>
    <w:p>
      <w:pPr>
        <w:pStyle w:val="BodyText"/>
      </w:pPr>
      <w:r>
        <w:t xml:space="preserve">[</w:t>
      </w:r>
      <w:r>
        <w:t xml:space="preserve"> </w:t>
      </w:r>
      <w:r>
        <w:t xml:space="preserve">S</w:t>
      </w:r>
      <w:r>
        <w:t xml:space="preserve"> </w:t>
      </w:r>
      <w:r>
        <w:t xml:space="preserve">.</w:t>
      </w:r>
      <w:r>
        <w:t xml:space="preserve"> </w:t>
      </w:r>
      <w:r>
        <w:t xml:space="preserve">]</w:t>
      </w:r>
    </w:p>
    <w:p>
      <w:pPr>
        <w:pStyle w:val="BodyText"/>
      </w:pPr>
      <w:r>
        <w:t xml:space="preserve">Entropy tends to increase in isolated systems.</w:t>
      </w:r>
    </w:p>
    <w:p>
      <w:pPr>
        <w:pStyle w:val="BodyText"/>
      </w:pPr>
      <w:r>
        <w:t xml:space="preserve">This law introduces an arrow of time into physical processes.</w:t>
      </w:r>
    </w:p>
    <w:p>
      <w:pPr>
        <w:pStyle w:val="BodyText"/>
      </w:pPr>
      <w:r>
        <w:t xml:space="preserve">The existence of temporal asymmetry despite fundamentally time-symmetric microscopic laws is one of the central motivations for entropic approaches to physics.</w:t>
      </w:r>
    </w:p>
    <w:p>
      <w:r>
        <w:pict>
          <v:rect style="width:0;height:1.5pt" o:hralign="center" o:hrstd="t" o:hr="t"/>
        </w:pict>
      </w:r>
    </w:p>
    <w:bookmarkEnd w:id="36"/>
    <w:bookmarkStart w:id="37" w:name="clausius-relation"/>
    <w:p>
      <w:pPr>
        <w:pStyle w:val="Heading2"/>
      </w:pPr>
      <w:r>
        <w:t xml:space="preserve">4.12 Clausius Relation</w:t>
      </w:r>
    </w:p>
    <w:p>
      <w:pPr>
        <w:pStyle w:val="FirstParagraph"/>
      </w:pPr>
      <w:r>
        <w:t xml:space="preserve">The infinitesimal relation between heat and entropy is</w:t>
      </w:r>
    </w:p>
    <w:p>
      <w:pPr>
        <w:pStyle w:val="BodyText"/>
      </w:pPr>
      <w:r>
        <w:t xml:space="preserve">[</w:t>
      </w:r>
      <w:r>
        <w:t xml:space="preserve"> </w:t>
      </w:r>
      <w:r>
        <w:t xml:space="preserve">Q</w:t>
      </w:r>
      <w:r>
        <w:t xml:space="preserve"> </w:t>
      </w:r>
      <w:r>
        <w:t xml:space="preserve">=</w:t>
      </w:r>
      <w:r>
        <w:t xml:space="preserve"> </w:t>
      </w:r>
      <w:r>
        <w:t xml:space="preserve">T,dS.</w:t>
      </w:r>
      <w:r>
        <w:t xml:space="preserve"> </w:t>
      </w:r>
      <w:r>
        <w:t xml:space="preserve">]</w:t>
      </w:r>
    </w:p>
    <w:p>
      <w:pPr>
        <w:pStyle w:val="BodyText"/>
      </w:pPr>
      <w:r>
        <w:t xml:space="preserve">This equation forms the basis of thermodynamic reasoning.</w:t>
      </w:r>
    </w:p>
    <w:p>
      <w:pPr>
        <w:pStyle w:val="BodyText"/>
      </w:pPr>
      <w:r>
        <w:t xml:space="preserve">It played a pivotal role in Jacobson’s derivation of Einstein’s equations.</w:t>
      </w:r>
    </w:p>
    <w:p>
      <w:pPr>
        <w:pStyle w:val="BodyText"/>
      </w:pPr>
      <w:r>
        <w:t xml:space="preserve">In the context of ToE, it serves as an important conceptual bridge between thermodynamics and gravitation.</w:t>
      </w:r>
    </w:p>
    <w:p>
      <w:r>
        <w:pict>
          <v:rect style="width:0;height:1.5pt" o:hralign="center" o:hrstd="t" o:hr="t"/>
        </w:pict>
      </w:r>
    </w:p>
    <w:bookmarkEnd w:id="37"/>
    <w:bookmarkStart w:id="38" w:name="black-hole-entropy"/>
    <w:p>
      <w:pPr>
        <w:pStyle w:val="Heading2"/>
      </w:pPr>
      <w:r>
        <w:t xml:space="preserve">4.13 Black Hole Entropy</w:t>
      </w:r>
    </w:p>
    <w:p>
      <w:pPr>
        <w:pStyle w:val="FirstParagraph"/>
      </w:pPr>
      <w:r>
        <w:t xml:space="preserve">The entropy of a black hole is</w:t>
      </w:r>
    </w:p>
    <w:p>
      <w:pPr>
        <w:pStyle w:val="BodyText"/>
      </w:pPr>
      <w:r>
        <w:t xml:space="preserve">[</w:t>
      </w:r>
      <w:r>
        <w:t xml:space="preserve"> </w:t>
      </w:r>
      <w:r>
        <w:t xml:space="preserve">S_{BH}</w:t>
      </w:r>
      <w:r>
        <w:t xml:space="preserve"> </w:t>
      </w:r>
      <w:r>
        <w:t xml:space="preserve">=</w:t>
      </w:r>
      <w:r>
        <w:t xml:space="preserve"> </w:t>
      </w:r>
      <w:r>
        <w:t xml:space="preserve">.</w:t>
      </w:r>
      <w:r>
        <w:t xml:space="preserve"> </w:t>
      </w:r>
      <w:r>
        <w:t xml:space="preserve">]</w:t>
      </w:r>
    </w:p>
    <w:p>
      <w:pPr>
        <w:pStyle w:val="BodyText"/>
      </w:pPr>
      <w:r>
        <w:t xml:space="preserve">Since</w:t>
      </w:r>
    </w:p>
    <w:p>
      <w:pPr>
        <w:pStyle w:val="BodyText"/>
      </w:pPr>
      <w:r>
        <w:t xml:space="preserve">[</w:t>
      </w:r>
      <w:r>
        <w:t xml:space="preserve"> </w:t>
      </w:r>
      <w:r>
        <w:t xml:space="preserve">_P^2</w:t>
      </w:r>
      <w:r>
        <w:t xml:space="preserve"> </w:t>
      </w:r>
      <w:r>
        <w:t xml:space="preserve">=</w:t>
      </w:r>
      <w:r>
        <w:t xml:space="preserve"> </w:t>
      </w:r>
      <w:r>
        <w:t xml:space="preserve">,</w:t>
      </w:r>
      <w:r>
        <w:t xml:space="preserve"> </w:t>
      </w:r>
      <w:r>
        <w:t xml:space="preserve">]</w:t>
      </w:r>
    </w:p>
    <w:p>
      <w:pPr>
        <w:pStyle w:val="BodyText"/>
      </w:pPr>
      <w:r>
        <w:t xml:space="preserve">one obtains</w:t>
      </w:r>
    </w:p>
    <w:p>
      <w:pPr>
        <w:pStyle w:val="BodyText"/>
      </w:pPr>
      <w:r>
        <w:t xml:space="preserve">[</w:t>
      </w:r>
      <w:r>
        <w:t xml:space="preserve"> </w:t>
      </w:r>
      <w:r>
        <w:t xml:space="preserve">S_{BH}</w:t>
      </w:r>
      <w:r>
        <w:t xml:space="preserve"> </w:t>
      </w:r>
      <w:r>
        <w:t xml:space="preserve">=</w:t>
      </w:r>
      <w:r>
        <w:t xml:space="preserve"> </w:t>
      </w:r>
      <w:r>
        <w:t xml:space="preserve"> </w:t>
      </w:r>
      <w:r>
        <w:t xml:space="preserve">{4G</w:t>
      </w:r>
      <w:r>
        <w:t xml:space="preserve">}.</w:t>
      </w:r>
      <w:r>
        <w:t xml:space="preserve"> </w:t>
      </w:r>
      <w:r>
        <w:t xml:space="preserve">]</w:t>
      </w:r>
    </w:p>
    <w:p>
      <w:pPr>
        <w:pStyle w:val="BodyText"/>
      </w:pPr>
      <w:r>
        <w:t xml:space="preserve">This remarkable equation links:</w:t>
      </w:r>
    </w:p>
    <w:p>
      <w:pPr>
        <w:pStyle w:val="Compact"/>
        <w:numPr>
          <w:ilvl w:val="0"/>
          <w:numId w:val="1009"/>
        </w:numPr>
      </w:pPr>
      <w:r>
        <w:t xml:space="preserve">gravity,</w:t>
      </w:r>
    </w:p>
    <w:p>
      <w:pPr>
        <w:pStyle w:val="Compact"/>
        <w:numPr>
          <w:ilvl w:val="0"/>
          <w:numId w:val="1009"/>
        </w:numPr>
      </w:pPr>
      <w:r>
        <w:t xml:space="preserve">quantum theory,</w:t>
      </w:r>
    </w:p>
    <w:p>
      <w:pPr>
        <w:pStyle w:val="Compact"/>
        <w:numPr>
          <w:ilvl w:val="0"/>
          <w:numId w:val="1009"/>
        </w:numPr>
      </w:pPr>
      <w:r>
        <w:t xml:space="preserve">thermodynamics,</w:t>
      </w:r>
    </w:p>
    <w:p>
      <w:pPr>
        <w:pStyle w:val="Compact"/>
        <w:numPr>
          <w:ilvl w:val="0"/>
          <w:numId w:val="1009"/>
        </w:numPr>
      </w:pPr>
      <w:r>
        <w:t xml:space="preserve">geometry.</w:t>
      </w:r>
    </w:p>
    <w:p>
      <w:pPr>
        <w:pStyle w:val="FirstParagraph"/>
      </w:pPr>
      <w:r>
        <w:t xml:space="preserve">It constitutes one of the strongest motivations for the Theory of Entropicity.</w:t>
      </w:r>
    </w:p>
    <w:p>
      <w:r>
        <w:pict>
          <v:rect style="width:0;height:1.5pt" o:hralign="center" o:hrstd="t" o:hr="t"/>
        </w:pict>
      </w:r>
    </w:p>
    <w:bookmarkEnd w:id="38"/>
    <w:bookmarkEnd w:id="39"/>
    <w:bookmarkStart w:id="40" w:name="part-iii"/>
    <w:p>
      <w:pPr>
        <w:pStyle w:val="Heading1"/>
      </w:pPr>
      <w:r>
        <w:t xml:space="preserve">Part III</w:t>
      </w:r>
    </w:p>
    <w:bookmarkEnd w:id="40"/>
    <w:bookmarkStart w:id="48" w:name="information-geometry"/>
    <w:p>
      <w:pPr>
        <w:pStyle w:val="Heading1"/>
      </w:pPr>
      <w:r>
        <w:t xml:space="preserve">Information Geometry</w:t>
      </w:r>
    </w:p>
    <w:bookmarkStart w:id="41" w:name="information-as-geometry"/>
    <w:p>
      <w:pPr>
        <w:pStyle w:val="Heading2"/>
      </w:pPr>
      <w:r>
        <w:t xml:space="preserve">4.14 Information as Geometry</w:t>
      </w:r>
    </w:p>
    <w:p>
      <w:pPr>
        <w:pStyle w:val="FirstParagraph"/>
      </w:pPr>
      <w:r>
        <w:t xml:space="preserve">Information geometry studies probability distributions as geometric objects.</w:t>
      </w:r>
    </w:p>
    <w:p>
      <w:pPr>
        <w:pStyle w:val="BodyText"/>
      </w:pPr>
      <w:r>
        <w:t xml:space="preserve">Instead of treating a probability distribution merely as a collection of numbers, one views it as a point on a manifold.</w:t>
      </w:r>
    </w:p>
    <w:p>
      <w:pPr>
        <w:pStyle w:val="BodyText"/>
      </w:pPr>
      <w:r>
        <w:t xml:space="preserve">Distances on this manifold quantify distinguishability between statistical states.</w:t>
      </w:r>
    </w:p>
    <w:p>
      <w:pPr>
        <w:pStyle w:val="BodyText"/>
      </w:pPr>
      <w:r>
        <w:t xml:space="preserve">This insight provides one of the foundational pillars of ToE.</w:t>
      </w:r>
    </w:p>
    <w:p>
      <w:r>
        <w:pict>
          <v:rect style="width:0;height:1.5pt" o:hralign="center" o:hrstd="t" o:hr="t"/>
        </w:pict>
      </w:r>
    </w:p>
    <w:bookmarkEnd w:id="41"/>
    <w:bookmarkStart w:id="42" w:name="relative-entropy"/>
    <w:p>
      <w:pPr>
        <w:pStyle w:val="Heading2"/>
      </w:pPr>
      <w:r>
        <w:t xml:space="preserve">4.15 Relative Entropy</w:t>
      </w:r>
    </w:p>
    <w:p>
      <w:pPr>
        <w:pStyle w:val="FirstParagraph"/>
      </w:pPr>
      <w:r>
        <w:t xml:space="preserve">The Kullback–Leibler divergence between distributions (p(x)) and (q(x)) is</w:t>
      </w:r>
    </w:p>
    <w:p>
      <w:pPr>
        <w:pStyle w:val="BodyText"/>
      </w:pPr>
      <w:r>
        <w:t xml:space="preserve">[</w:t>
      </w:r>
      <w:r>
        <w:t xml:space="preserve"> </w:t>
      </w:r>
      <w:r>
        <w:t xml:space="preserve">D_{KL}(p|q)</w:t>
      </w:r>
      <w:r>
        <w:t xml:space="preserve"> </w:t>
      </w:r>
      <w:r>
        <w:t xml:space="preserve">=</w:t>
      </w:r>
      <w:r>
        <w:t xml:space="preserve"> </w:t>
      </w:r>
      <w:r>
        <w:t xml:space="preserve"> </w:t>
      </w:r>
      <w:r>
        <w:t xml:space="preserve">p(x)</w:t>
      </w:r>
      <w:r>
        <w:t xml:space="preserve"> </w:t>
      </w:r>
      <w:r>
        <w:t xml:space="preserve"> </w:t>
      </w:r>
      <w:r>
        <w:t xml:space="preserve">(</w:t>
      </w:r>
      <w:r>
        <w:t xml:space="preserve"> </w:t>
      </w:r>
      <w:r>
        <w:t xml:space="preserve"> </w:t>
      </w:r>
      <w:r>
        <w:t xml:space="preserve">{q(x)}</w:t>
      </w:r>
      <w:r>
        <w:t xml:space="preserve"> </w:t>
      </w:r>
      <w:r>
        <w:t xml:space="preserve">)</w:t>
      </w:r>
      <w:r>
        <w:t xml:space="preserve"> </w:t>
      </w:r>
      <w:r>
        <w:t xml:space="preserve">dx.</w:t>
      </w:r>
      <w:r>
        <w:t xml:space="preserve"> </w:t>
      </w:r>
      <w:r>
        <w:t xml:space="preserve">]</w:t>
      </w:r>
    </w:p>
    <w:p>
      <w:pPr>
        <w:pStyle w:val="BodyText"/>
      </w:pPr>
      <w:r>
        <w:t xml:space="preserve">Although not a true metric, the KL divergence measures informational distinguishability.</w:t>
      </w:r>
    </w:p>
    <w:p>
      <w:pPr>
        <w:pStyle w:val="BodyText"/>
      </w:pPr>
      <w:r>
        <w:t xml:space="preserve">Many information-geometric structures emerge from its local expansion.</w:t>
      </w:r>
    </w:p>
    <w:p>
      <w:r>
        <w:pict>
          <v:rect style="width:0;height:1.5pt" o:hralign="center" o:hrstd="t" o:hr="t"/>
        </w:pict>
      </w:r>
    </w:p>
    <w:bookmarkEnd w:id="42"/>
    <w:bookmarkStart w:id="43" w:name="fisher-information"/>
    <w:p>
      <w:pPr>
        <w:pStyle w:val="Heading2"/>
      </w:pPr>
      <w:r>
        <w:t xml:space="preserve">4.16 Fisher Information</w:t>
      </w:r>
    </w:p>
    <w:p>
      <w:pPr>
        <w:pStyle w:val="FirstParagraph"/>
      </w:pPr>
      <w:r>
        <w:t xml:space="preserve">Consider a parametric family</w:t>
      </w:r>
    </w:p>
    <w:p>
      <w:pPr>
        <w:pStyle w:val="BodyText"/>
      </w:pPr>
      <w:r>
        <w:t xml:space="preserve">[</w:t>
      </w:r>
      <w:r>
        <w:t xml:space="preserve"> </w:t>
      </w:r>
      <w:r>
        <w:t xml:space="preserve">p(x|</w:t>
      </w:r>
      <w:r>
        <w:t xml:space="preserve">).</w:t>
      </w:r>
      <w:r>
        <w:t xml:space="preserve"> </w:t>
      </w:r>
      <w:r>
        <w:t xml:space="preserve">]</w:t>
      </w:r>
    </w:p>
    <w:p>
      <w:pPr>
        <w:pStyle w:val="BodyText"/>
      </w:pPr>
      <w:r>
        <w:t xml:space="preserve">The Fisher information matrix is</w:t>
      </w:r>
    </w:p>
    <w:p>
      <w:pPr>
        <w:pStyle w:val="BodyText"/>
      </w:pPr>
      <w:r>
        <w:t xml:space="preserve">[</w:t>
      </w:r>
      <w:r>
        <w:t xml:space="preserve"> </w:t>
      </w:r>
      <w:r>
        <w:t xml:space="preserve">I_{ij}</w:t>
      </w:r>
      <w:r>
        <w:t xml:space="preserve"> </w:t>
      </w:r>
      <w:r>
        <w:t xml:space="preserve">=</w:t>
      </w:r>
      <w:r>
        <w:t xml:space="preserve"> </w:t>
      </w:r>
      <w:r>
        <w:t xml:space="preserve"> </w:t>
      </w:r>
      <w:r>
        <w:t xml:space="preserve">p(x|</w:t>
      </w:r>
      <w:r>
        <w:t xml:space="preserve">)</w:t>
      </w:r>
      <w:r>
        <w:t xml:space="preserve"> </w:t>
      </w:r>
      <w:r>
        <w:t xml:space="preserve">(</w:t>
      </w:r>
      <w:r>
        <w:t xml:space="preserve"> </w:t>
      </w:r>
      <w:r>
        <w:t xml:space="preserve"> </w:t>
      </w:r>
      <w:r>
        <w:t xml:space="preserve">)</w:t>
      </w:r>
      <w:r>
        <w:t xml:space="preserve"> </w:t>
      </w:r>
      <w:r>
        <w:t xml:space="preserve">(</w:t>
      </w:r>
      <w:r>
        <w:t xml:space="preserve"> </w:t>
      </w:r>
      <w:r>
        <w:t xml:space="preserve"> </w:t>
      </w:r>
      <w:r>
        <w:t xml:space="preserve">)</w:t>
      </w:r>
      <w:r>
        <w:t xml:space="preserve"> </w:t>
      </w:r>
      <w:r>
        <w:t xml:space="preserve">dx.</w:t>
      </w:r>
      <w:r>
        <w:t xml:space="preserve"> </w:t>
      </w:r>
      <w:r>
        <w:t xml:space="preserve">]</w:t>
      </w:r>
    </w:p>
    <w:p>
      <w:pPr>
        <w:pStyle w:val="BodyText"/>
      </w:pPr>
      <w:r>
        <w:t xml:space="preserve">The Fisher information measures the sensitivity of a distribution to parameter changes.</w:t>
      </w:r>
    </w:p>
    <w:p>
      <w:r>
        <w:pict>
          <v:rect style="width:0;height:1.5pt" o:hralign="center" o:hrstd="t" o:hr="t"/>
        </w:pict>
      </w:r>
    </w:p>
    <w:bookmarkEnd w:id="43"/>
    <w:bookmarkStart w:id="44" w:name="fisherrao-metric"/>
    <w:p>
      <w:pPr>
        <w:pStyle w:val="Heading2"/>
      </w:pPr>
      <w:r>
        <w:t xml:space="preserve">4.17 Fisher–Rao Metric</w:t>
      </w:r>
    </w:p>
    <w:p>
      <w:pPr>
        <w:pStyle w:val="FirstParagraph"/>
      </w:pPr>
      <w:r>
        <w:t xml:space="preserve">The Fisher–Rao metric is</w:t>
      </w:r>
    </w:p>
    <w:p>
      <w:pPr>
        <w:pStyle w:val="BodyText"/>
      </w:pPr>
      <w:r>
        <w:t xml:space="preserve">[</w:t>
      </w:r>
      <w:r>
        <w:t xml:space="preserve"> </w:t>
      </w:r>
      <w:r>
        <w:t xml:space="preserve">g_{ij}</w:t>
      </w:r>
      <w:r>
        <w:t xml:space="preserve"> </w:t>
      </w:r>
      <w:r>
        <w:t xml:space="preserve">=</w:t>
      </w:r>
      <w:r>
        <w:t xml:space="preserve"> </w:t>
      </w:r>
      <w:r>
        <w:t xml:space="preserve">I_{ij}.</w:t>
      </w:r>
      <w:r>
        <w:t xml:space="preserve"> </w:t>
      </w:r>
      <w:r>
        <w:t xml:space="preserve">]</w:t>
      </w:r>
    </w:p>
    <w:p>
      <w:pPr>
        <w:pStyle w:val="BodyText"/>
      </w:pPr>
      <w:r>
        <w:t xml:space="preserve">Explicitly,</w:t>
      </w:r>
    </w:p>
    <w:p>
      <w:pPr>
        <w:pStyle w:val="BodyText"/>
      </w:pPr>
      <w:r>
        <w:t xml:space="preserve">[</w:t>
      </w:r>
      <w:r>
        <w:t xml:space="preserve"> </w:t>
      </w:r>
      <w:r>
        <w:t xml:space="preserve">g_{ij}</w:t>
      </w:r>
      <w:r>
        <w:t xml:space="preserve"> </w:t>
      </w:r>
      <w:r>
        <w:t xml:space="preserve">=</w:t>
      </w:r>
      <w:r>
        <w:t xml:space="preserve"> </w:t>
      </w:r>
      <w:r>
        <w:t xml:space="preserve"> </w:t>
      </w:r>
      <w:r>
        <w:t xml:space="preserve">p(x|</w:t>
      </w:r>
      <w:r>
        <w:t xml:space="preserve">)</w:t>
      </w:r>
      <w:r>
        <w:t xml:space="preserve"> </w:t>
      </w:r>
      <w:r>
        <w:t xml:space="preserve"> </w:t>
      </w:r>
      <w:r>
        <w:t xml:space="preserve"> </w:t>
      </w:r>
      <w:r>
        <w:t xml:space="preserve">dx.</w:t>
      </w:r>
      <w:r>
        <w:t xml:space="preserve"> </w:t>
      </w:r>
      <w:r>
        <w:t xml:space="preserve">]</w:t>
      </w:r>
    </w:p>
    <w:p>
      <w:pPr>
        <w:pStyle w:val="BodyText"/>
      </w:pPr>
      <w:r>
        <w:t xml:space="preserve">This metric transforms the statistical parameter space into a Riemannian manifold.</w:t>
      </w:r>
    </w:p>
    <w:p>
      <w:pPr>
        <w:pStyle w:val="BodyText"/>
      </w:pPr>
      <w:r>
        <w:t xml:space="preserve">The Fisher–Rao sector forms the first informational sector of the Hybrid Manifold Architecture System.</w:t>
      </w:r>
    </w:p>
    <w:p>
      <w:r>
        <w:pict>
          <v:rect style="width:0;height:1.5pt" o:hralign="center" o:hrstd="t" o:hr="t"/>
        </w:pict>
      </w:r>
    </w:p>
    <w:bookmarkEnd w:id="44"/>
    <w:bookmarkStart w:id="45" w:name="fubinistudy-metric"/>
    <w:p>
      <w:pPr>
        <w:pStyle w:val="Heading2"/>
      </w:pPr>
      <w:r>
        <w:t xml:space="preserve">4.18 Fubini–Study Metric</w:t>
      </w:r>
    </w:p>
    <w:p>
      <w:pPr>
        <w:pStyle w:val="FirstParagraph"/>
      </w:pPr>
      <w:r>
        <w:t xml:space="preserve">Quantum mechanics possesses an analogous geometry.</w:t>
      </w:r>
    </w:p>
    <w:p>
      <w:pPr>
        <w:pStyle w:val="BodyText"/>
      </w:pPr>
      <w:r>
        <w:t xml:space="preserve">For normalized quantum states</w:t>
      </w:r>
    </w:p>
    <w:p>
      <w:pPr>
        <w:pStyle w:val="BodyText"/>
      </w:pPr>
      <w:r>
        <w:t xml:space="preserve">[</w:t>
      </w:r>
      <w:r>
        <w:t xml:space="preserve"> </w:t>
      </w:r>
      <w:r>
        <w:t xml:space="preserve">|</w:t>
      </w:r>
      <w:r>
        <w:t xml:space="preserve">,</w:t>
      </w:r>
      <w:r>
        <w:t xml:space="preserve"> </w:t>
      </w:r>
      <w:r>
        <w:t xml:space="preserve">]</w:t>
      </w:r>
    </w:p>
    <w:p>
      <w:pPr>
        <w:pStyle w:val="BodyText"/>
      </w:pPr>
      <w:r>
        <w:t xml:space="preserve">the Fubini–Study line element is</w:t>
      </w:r>
    </w:p>
    <w:p>
      <w:pPr>
        <w:pStyle w:val="BodyText"/>
      </w:pPr>
      <w:r>
        <w:t xml:space="preserve">[</w:t>
      </w:r>
      <w:r>
        <w:t xml:space="preserve"> </w:t>
      </w:r>
      <w:r>
        <w:t xml:space="preserve">ds_{FS}^2</w:t>
      </w:r>
      <w:r>
        <w:t xml:space="preserve"> </w:t>
      </w:r>
      <w:r>
        <w:t xml:space="preserve">=</w:t>
      </w:r>
      <w:r>
        <w:t xml:space="preserve"> </w:t>
      </w:r>
      <w:r>
        <w:t xml:space="preserve">4</w:t>
      </w:r>
      <w:r>
        <w:t xml:space="preserve"> </w:t>
      </w:r>
      <w:r>
        <w:t xml:space="preserve">(</w:t>
      </w:r>
      <w:r>
        <w:t xml:space="preserve"> </w:t>
      </w:r>
      <w:r>
        <w:t xml:space="preserve">d</w:t>
      </w:r>
      <w:r>
        <w:t xml:space="preserve">|d</w:t>
      </w:r>
    </w:p>
    <w:p>
      <w:pPr>
        <w:pStyle w:val="Compact"/>
        <w:numPr>
          <w:ilvl w:val="0"/>
          <w:numId w:val="1010"/>
        </w:numPr>
      </w:pPr>
      <w:r>
        <w:t xml:space="preserve">|</w:t>
      </w:r>
      <w:r>
        <w:t xml:space="preserve">|d</w:t>
      </w:r>
      <w:r>
        <w:t xml:space="preserve">|^2</w:t>
      </w:r>
      <w:r>
        <w:t xml:space="preserve"> </w:t>
      </w:r>
      <w:r>
        <w:t xml:space="preserve">).</w:t>
      </w:r>
      <w:r>
        <w:t xml:space="preserve"> </w:t>
      </w:r>
      <w:r>
        <w:t xml:space="preserve">]</w:t>
      </w:r>
    </w:p>
    <w:p>
      <w:pPr>
        <w:pStyle w:val="FirstParagraph"/>
      </w:pPr>
      <w:r>
        <w:t xml:space="preserve">This metric quantifies distinguishability between neighboring quantum states.</w:t>
      </w:r>
    </w:p>
    <w:p>
      <w:pPr>
        <w:pStyle w:val="BodyText"/>
      </w:pPr>
      <w:r>
        <w:t xml:space="preserve">The Fubini–Study sector forms the second informational sector of HMAS.</w:t>
      </w:r>
    </w:p>
    <w:p>
      <w:r>
        <w:pict>
          <v:rect style="width:0;height:1.5pt" o:hralign="center" o:hrstd="t" o:hr="t"/>
        </w:pict>
      </w:r>
    </w:p>
    <w:bookmarkEnd w:id="45"/>
    <w:bookmarkStart w:id="46" w:name="information-geometry-and-gravity"/>
    <w:p>
      <w:pPr>
        <w:pStyle w:val="Heading2"/>
      </w:pPr>
      <w:r>
        <w:t xml:space="preserve">4.19 Information Geometry and Gravity</w:t>
      </w:r>
    </w:p>
    <w:p>
      <w:pPr>
        <w:pStyle w:val="FirstParagraph"/>
      </w:pPr>
      <w:r>
        <w:t xml:space="preserve">The significance of information geometry lies in a simple observation.</w:t>
      </w:r>
    </w:p>
    <w:p>
      <w:pPr>
        <w:pStyle w:val="BodyText"/>
      </w:pPr>
      <w:r>
        <w:t xml:space="preserve">Information possesses geometry.</w:t>
      </w:r>
    </w:p>
    <w:p>
      <w:pPr>
        <w:pStyle w:val="BodyText"/>
      </w:pPr>
      <w:r>
        <w:t xml:space="preserve">General Relativity identifies gravity with geometry.</w:t>
      </w:r>
    </w:p>
    <w:p>
      <w:pPr>
        <w:pStyle w:val="BodyText"/>
      </w:pPr>
      <w:r>
        <w:t xml:space="preserve">Therefore,</w:t>
      </w:r>
    </w:p>
    <w:p>
      <w:pPr>
        <w:pStyle w:val="BodyText"/>
      </w:pPr>
      <w:r>
        <w:t xml:space="preserve">[</w:t>
      </w:r>
      <w:r>
        <w:t xml:space="preserve"> </w:t>
      </w:r>
      <w:r>
        <w:t xml:space="preserve"> </w:t>
      </w:r>
      <w:r>
        <w:t xml:space="preserve"> </w:t>
      </w:r>
      <w:r>
        <w:t xml:space="preserve"> </w:t>
      </w:r>
      <w:r>
        <w:t xml:space="preserve"> </w:t>
      </w:r>
      <w:r>
        <w:t xml:space="preserve">.</w:t>
      </w:r>
      <w:r>
        <w:t xml:space="preserve"> </w:t>
      </w:r>
      <w:r>
        <w:t xml:space="preserve">]</w:t>
      </w:r>
    </w:p>
    <w:p>
      <w:pPr>
        <w:pStyle w:val="BodyText"/>
      </w:pPr>
      <w:r>
        <w:t xml:space="preserve">This conceptual chain serves as one of the principal motivations for the Theory of Entropicity.</w:t>
      </w:r>
    </w:p>
    <w:p>
      <w:r>
        <w:pict>
          <v:rect style="width:0;height:1.5pt" o:hralign="center" o:hrstd="t" o:hr="t"/>
        </w:pict>
      </w:r>
    </w:p>
    <w:bookmarkEnd w:id="46"/>
    <w:bookmarkStart w:id="47" w:name="transition-to-the-hybrid-manifold"/>
    <w:p>
      <w:pPr>
        <w:pStyle w:val="Heading2"/>
      </w:pPr>
      <w:r>
        <w:t xml:space="preserve">4.20 Transition to the Hybrid Manifold</w:t>
      </w:r>
    </w:p>
    <w:p>
      <w:pPr>
        <w:pStyle w:val="FirstParagraph"/>
      </w:pPr>
      <w:r>
        <w:t xml:space="preserve">The preceding developments reveal three distinct but interconnected geometrical structures:</w:t>
      </w:r>
    </w:p>
    <w:p>
      <w:pPr>
        <w:pStyle w:val="BodyText"/>
      </w:pPr>
      <w:r>
        <w:t xml:space="preserve">[</w:t>
      </w:r>
      <w:r>
        <w:t xml:space="preserve"> </w:t>
      </w:r>
      <w:r>
        <w:t xml:space="preserve">,</w:t>
      </w:r>
      <w:r>
        <w:t xml:space="preserve"> </w:t>
      </w:r>
      <w:r>
        <w:t xml:space="preserve">]</w:t>
      </w:r>
    </w:p>
    <w:p>
      <w:pPr>
        <w:pStyle w:val="BodyText"/>
      </w:pPr>
      <w:r>
        <w:t xml:space="preserve">[</w:t>
      </w:r>
      <w:r>
        <w:t xml:space="preserve"> </w:t>
      </w:r>
      <w:r>
        <w:t xml:space="preserve">,</w:t>
      </w:r>
      <w:r>
        <w:t xml:space="preserve"> </w:t>
      </w:r>
      <w:r>
        <w:t xml:space="preserve">]</w:t>
      </w:r>
    </w:p>
    <w:p>
      <w:pPr>
        <w:pStyle w:val="BodyText"/>
      </w:pPr>
      <w:r>
        <w:t xml:space="preserve">[</w:t>
      </w:r>
      <w:r>
        <w:t xml:space="preserve"> </w:t>
      </w:r>
      <w:r>
        <w:t xml:space="preserve">.</w:t>
      </w:r>
      <w:r>
        <w:t xml:space="preserve"> </w:t>
      </w:r>
      <w:r>
        <w:t xml:space="preserve">]</w:t>
      </w:r>
    </w:p>
    <w:p>
      <w:pPr>
        <w:pStyle w:val="BodyText"/>
      </w:pPr>
      <w:r>
        <w:t xml:space="preserve">The next chapter introduces the Hybrid Manifold Architecture System (HMAS), which unifies these three geometries into a single mathematical framework and provides the foundation for the Obidi Convention and the Theory of Entropicity.</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118">
    <w:nsid w:val="0A998118"/>
    <w:multiLevelType w:val="multilevel"/>
    <w:lvl w:ilvl="0">
      <w:start w:val="18"/>
      <w:numFmt w:val="upperLetter"/>
      <w:lvlText w:val="%1."/>
      <w:lvlJc w:val="left"/>
      <w:pPr>
        <w:ind w:left="720" w:hanging="360"/>
      </w:pPr>
    </w:lvl>
    <w:lvl w:ilvl="1">
      <w:start w:val="18"/>
      <w:numFmt w:val="upperLetter"/>
      <w:lvlText w:val="%2."/>
      <w:lvlJc w:val="left"/>
      <w:pPr>
        <w:ind w:left="1440" w:hanging="360"/>
      </w:pPr>
    </w:lvl>
    <w:lvl w:ilvl="2">
      <w:start w:val="18"/>
      <w:numFmt w:val="upperLetter"/>
      <w:lvlText w:val="%3."/>
      <w:lvlJc w:val="left"/>
      <w:pPr>
        <w:ind w:left="2160" w:hanging="360"/>
      </w:pPr>
    </w:lvl>
    <w:lvl w:ilvl="3">
      <w:start w:val="18"/>
      <w:numFmt w:val="upperLetter"/>
      <w:lvlText w:val="%4."/>
      <w:lvlJc w:val="left"/>
      <w:pPr>
        <w:ind w:left="2880" w:hanging="360"/>
      </w:pPr>
    </w:lvl>
    <w:lvl w:ilvl="4">
      <w:start w:val="18"/>
      <w:numFmt w:val="upperLetter"/>
      <w:lvlText w:val="%5."/>
      <w:lvlJc w:val="left"/>
      <w:pPr>
        <w:ind w:left="3600" w:hanging="360"/>
      </w:pPr>
    </w:lvl>
    <w:lvl w:ilvl="5">
      <w:start w:val="18"/>
      <w:numFmt w:val="upperLetter"/>
      <w:lvlText w:val="%6."/>
      <w:lvlJc w:val="left"/>
      <w:pPr>
        <w:ind w:left="4320" w:hanging="360"/>
      </w:pPr>
    </w:lvl>
    <w:lvl w:ilvl="6">
      <w:start w:val="18"/>
      <w:numFmt w:val="upperLetter"/>
      <w:lvlText w:val="%7."/>
      <w:lvlJc w:val="left"/>
      <w:pPr>
        <w:ind w:left="5040" w:hanging="360"/>
      </w:pPr>
    </w:lvl>
    <w:lvl w:ilvl="7">
      <w:start w:val="18"/>
      <w:numFmt w:val="upperLetter"/>
      <w:lvlText w:val="%8."/>
      <w:lvlJc w:val="left"/>
      <w:pPr>
        <w:ind w:left="5760" w:hanging="360"/>
      </w:pPr>
    </w:lvl>
    <w:lvl w:ilvl="8">
      <w:start w:val="18"/>
      <w:numFmt w:val="upp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8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2026-06-13T05:18:25Z</dcterms:created>
  <dcterms:modified xsi:type="dcterms:W3CDTF">2026-06-13T05:18:25Z</dcterms:modified>
</cp:coreProperties>
</file>

<file path=docProps/custom.xml><?xml version="1.0" encoding="utf-8"?>
<Properties xmlns="http://schemas.openxmlformats.org/officeDocument/2006/custom-properties" xmlns:vt="http://schemas.openxmlformats.org/officeDocument/2006/docPropsVTypes"/>
</file>