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6"/>
    <w:p>
      <w:pPr>
        <w:pStyle w:val="Heading1"/>
      </w:pPr>
      <w:r>
        <w:t xml:space="preserve">Chapter 6</w:t>
      </w:r>
    </w:p>
    <w:bookmarkEnd w:id="20"/>
    <w:bookmarkStart w:id="22" w:name="the-obidi-convention"/>
    <w:p>
      <w:pPr>
        <w:pStyle w:val="Heading1"/>
      </w:pPr>
      <w:r>
        <w:t xml:space="preserve">The Obidi Convention</w:t>
      </w:r>
    </w:p>
    <w:bookmarkStart w:id="21" w:name="X215e3989735fa8bfa3a54e238e4b9dabe3d7967"/>
    <w:p>
      <w:pPr>
        <w:pStyle w:val="Heading2"/>
      </w:pPr>
      <w:r>
        <w:t xml:space="preserve">Hierarchical Tensor Structures and Sectoral Indexing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6.1 Introduction</w:t>
      </w:r>
    </w:p>
    <w:p>
      <w:pPr>
        <w:pStyle w:val="FirstParagraph"/>
      </w:pPr>
      <w:r>
        <w:t xml:space="preserve">The Hybrid Manifold Architecture System (HMAS) introduces a fundamentally new mathematical challenge.</w:t>
      </w:r>
    </w:p>
    <w:p>
      <w:pPr>
        <w:pStyle w:val="BodyText"/>
      </w:pPr>
      <w:r>
        <w:t xml:space="preserve">Classical tensor calculus was developed for geometric structures possessing a single metric and a single geometrical sector. In General Relativity, every tensor lives on one Lorentzian manifold and all index operations are performed relative to a single metric tensor.</w:t>
      </w:r>
    </w:p>
    <w:p>
      <w:pPr>
        <w:pStyle w:val="BodyText"/>
      </w:pPr>
      <w:r>
        <w:t xml:space="preserve">The Theory of Entropicity departs from this assumption.</w:t>
      </w:r>
    </w:p>
    <w:p>
      <w:pPr>
        <w:pStyle w:val="BodyText"/>
      </w:pPr>
      <w:r>
        <w:t xml:space="preserve">The Hybrid Manifold contains multiple interacting geometrical sectors: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FR,</w:t>
      </w:r>
      <w:r>
        <w:t xml:space="preserve"> </w:t>
      </w:r>
      <w:r>
        <w:t xml:space="preserve"> </w:t>
      </w:r>
      <w:r>
        <w:t xml:space="preserve">FS,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sector possesses its own metric structure, curvature tensors, and geometric dynamics.</w:t>
      </w:r>
    </w:p>
    <w:p>
      <w:pPr>
        <w:pStyle w:val="BodyText"/>
      </w:pPr>
      <w:r>
        <w:t xml:space="preserve">Consequently, a new indexing framework becomes necessary.</w:t>
      </w:r>
    </w:p>
    <w:p>
      <w:pPr>
        <w:pStyle w:val="BodyText"/>
      </w:pPr>
      <w:r>
        <w:t xml:space="preserve">The Obidi Convention provides this framework.</w:t>
      </w:r>
    </w:p>
    <w:p>
      <w:pPr>
        <w:pStyle w:val="BodyText"/>
      </w:pPr>
      <w:r>
        <w:t xml:space="preserve">Its purpose is to extend tensor notation so that multiple geometrical sectors may be treated simultaneously while preserving mathematical consistency.</w:t>
      </w:r>
    </w:p>
    <w:p>
      <w:pPr>
        <w:pStyle w:val="BodyText"/>
      </w:pPr>
      <w:r>
        <w:t xml:space="preserve">The Obidi Convention therefore constitutes the formal language of the Theory of Entropicity.</w:t>
      </w:r>
    </w:p>
    <w:p>
      <w:r>
        <w:pict>
          <v:rect style="width:0;height:1.5pt" o:hralign="center" o:hrstd="t" o:hr="t"/>
        </w:pict>
      </w:r>
    </w:p>
    <w:bookmarkEnd w:id="23"/>
    <w:bookmarkStart w:id="24" w:name="motivation"/>
    <w:p>
      <w:pPr>
        <w:pStyle w:val="Heading1"/>
      </w:pPr>
      <w:r>
        <w:t xml:space="preserve">6.2 Motivation</w:t>
      </w:r>
    </w:p>
    <w:p>
      <w:pPr>
        <w:pStyle w:val="FirstParagraph"/>
      </w:pPr>
      <w:r>
        <w:t xml:space="preserve">The necessity of the Obidi Convention may be understood through a simple example.</w:t>
      </w:r>
    </w:p>
    <w:p>
      <w:pPr>
        <w:pStyle w:val="BodyText"/>
      </w:pPr>
      <w:r>
        <w:t xml:space="preserve">Consider the metric decomposition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g^{(FR)}_{</w:t>
      </w:r>
      <w:r>
        <w:t xml:space="preserve">}</w:t>
      </w:r>
    </w:p>
    <w:p>
      <w:pPr>
        <w:numPr>
          <w:ilvl w:val="0"/>
          <w:numId w:val="1001"/>
        </w:numPr>
      </w:pPr>
      <w:r>
        <w:t xml:space="preserve">g^{(FS)}_{</w:t>
      </w:r>
      <w:r>
        <w:t xml:space="preserve">}</w:t>
      </w:r>
    </w:p>
    <w:p>
      <w:pPr>
        <w:numPr>
          <w:ilvl w:val="0"/>
          <w:numId w:val="1001"/>
        </w:numPr>
      </w:pP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Each term belongs to a different geometrical sector.</w:t>
      </w:r>
    </w:p>
    <w:p>
      <w:pPr>
        <w:pStyle w:val="BodyText"/>
      </w:pPr>
      <w:r>
        <w:t xml:space="preserve">Using ordinary tensor notation, there is no intrinsic mechanism for distinguishing these sectors once tensor manipulations become complicated.</w:t>
      </w:r>
    </w:p>
    <w:p>
      <w:pPr>
        <w:pStyle w:val="BodyText"/>
      </w:pPr>
      <w:r>
        <w:t xml:space="preserve">Questions immediately arise:</w:t>
      </w:r>
    </w:p>
    <w:p>
      <w:pPr>
        <w:pStyle w:val="Compact"/>
        <w:numPr>
          <w:ilvl w:val="0"/>
          <w:numId w:val="1002"/>
        </w:numPr>
      </w:pPr>
      <w:r>
        <w:t xml:space="preserve">Which metric is being used to raise an index?</w:t>
      </w:r>
    </w:p>
    <w:p>
      <w:pPr>
        <w:pStyle w:val="Compact"/>
        <w:numPr>
          <w:ilvl w:val="0"/>
          <w:numId w:val="1002"/>
        </w:numPr>
      </w:pPr>
      <w:r>
        <w:t xml:space="preserve">Which curvature tensor is being contracted?</w:t>
      </w:r>
    </w:p>
    <w:p>
      <w:pPr>
        <w:pStyle w:val="Compact"/>
        <w:numPr>
          <w:ilvl w:val="0"/>
          <w:numId w:val="1002"/>
        </w:numPr>
      </w:pPr>
      <w:r>
        <w:t xml:space="preserve">Which sector participates in a given variation?</w:t>
      </w:r>
    </w:p>
    <w:p>
      <w:pPr>
        <w:pStyle w:val="Compact"/>
        <w:numPr>
          <w:ilvl w:val="0"/>
          <w:numId w:val="1002"/>
        </w:numPr>
      </w:pPr>
      <w:r>
        <w:t xml:space="preserve">Which geometric contribution enters the action?</w:t>
      </w:r>
    </w:p>
    <w:p>
      <w:pPr>
        <w:pStyle w:val="FirstParagraph"/>
      </w:pPr>
      <w:r>
        <w:t xml:space="preserve">The Obidi Convention was developed to answer these questions systematically.</w:t>
      </w:r>
    </w:p>
    <w:p>
      <w:r>
        <w:pict>
          <v:rect style="width:0;height:1.5pt" o:hralign="center" o:hrstd="t" o:hr="t"/>
        </w:pict>
      </w:r>
    </w:p>
    <w:bookmarkEnd w:id="24"/>
    <w:bookmarkStart w:id="25" w:name="fundamental-principle"/>
    <w:p>
      <w:pPr>
        <w:pStyle w:val="Heading1"/>
      </w:pPr>
      <w:r>
        <w:t xml:space="preserve">6.3 Fundamental Principle</w:t>
      </w:r>
    </w:p>
    <w:p>
      <w:pPr>
        <w:pStyle w:val="FirstParagraph"/>
      </w:pPr>
      <w:r>
        <w:t xml:space="preserve">The fundamental principle of the Obidi Convention is:</w:t>
      </w:r>
    </w:p>
    <w:p>
      <w:pPr>
        <w:pStyle w:val="BlockText"/>
      </w:pPr>
      <w:r>
        <w:t xml:space="preserve">Every tensor possesses both a geometric coordinate identity and a sectoral identity.</w:t>
      </w:r>
    </w:p>
    <w:p>
      <w:pPr>
        <w:pStyle w:val="FirstParagraph"/>
      </w:pPr>
      <w:r>
        <w:t xml:space="preserve">The geometric identity specifies position within a manifold.</w:t>
      </w:r>
    </w:p>
    <w:p>
      <w:pPr>
        <w:pStyle w:val="BodyText"/>
      </w:pPr>
      <w:r>
        <w:t xml:space="preserve">The sectoral identity specifies membership within a particular geometric sector.</w:t>
      </w:r>
    </w:p>
    <w:p>
      <w:pPr>
        <w:pStyle w:val="BodyText"/>
      </w:pPr>
      <w:r>
        <w:t xml:space="preserve">Consequently every tensor index becomes hierarchical.</w:t>
      </w:r>
    </w:p>
    <w:p>
      <w:r>
        <w:pict>
          <v:rect style="width:0;height:1.5pt" o:hralign="center" o:hrstd="t" o:hr="t"/>
        </w:pict>
      </w:r>
    </w:p>
    <w:bookmarkEnd w:id="25"/>
    <w:bookmarkStart w:id="27" w:name="primary-indices"/>
    <w:p>
      <w:pPr>
        <w:pStyle w:val="Heading1"/>
      </w:pPr>
      <w:r>
        <w:t xml:space="preserve">6.4 Primary Indices</w:t>
      </w:r>
    </w:p>
    <w:bookmarkStart w:id="26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primary index is an ordinary tensor index describing coordinates on the underlying manifold.</w:t>
      </w:r>
    </w:p>
    <w:p>
      <w:pPr>
        <w:pStyle w:val="BodyText"/>
      </w:pPr>
      <w:r>
        <w:t xml:space="preserve">These indices are denoted by Greek letters: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,</w:t>
      </w:r>
      <w:r>
        <w:t xml:space="preserve">,</w:t>
      </w:r>
      <w:r>
        <w:t xml:space="preserve">,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0,1,2,3.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primary index retains exactly the same interpretation as in conventional differential geometry.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V^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a contravariant vector,</w:t>
      </w:r>
    </w:p>
    <w:p>
      <w:pPr>
        <w:pStyle w:val="BodyText"/>
      </w:pPr>
      <w:r>
        <w:t xml:space="preserve">while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a rank-two covariant tensor.</w:t>
      </w:r>
    </w:p>
    <w:p>
      <w:pPr>
        <w:pStyle w:val="BodyText"/>
      </w:pPr>
      <w:r>
        <w:t xml:space="preserve">The introduction of the Obidi Convention does not alter the meaning of primary indices.</w:t>
      </w:r>
    </w:p>
    <w:p>
      <w:pPr>
        <w:pStyle w:val="BodyText"/>
      </w:pPr>
      <w:r>
        <w:t xml:space="preserve">It supplements them.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condary-indices"/>
    <w:p>
      <w:pPr>
        <w:pStyle w:val="Heading1"/>
      </w:pPr>
      <w:r>
        <w:t xml:space="preserve">6.5 Secondary Indices</w:t>
      </w:r>
    </w:p>
    <w:bookmarkStart w:id="28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secondary index identifies the sector to which a tensor belongs.</w:t>
      </w:r>
    </w:p>
    <w:p>
      <w:pPr>
        <w:pStyle w:val="BodyText"/>
      </w:pPr>
      <w:r>
        <w:t xml:space="preserve">The secondary index is called the Obidi Index.</w:t>
      </w:r>
    </w:p>
    <w:p>
      <w:pPr>
        <w:pStyle w:val="BodyText"/>
      </w:pPr>
      <w:r>
        <w:t xml:space="preserve">It is denoted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admissible values are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J</w:t>
      </w:r>
      <w:r>
        <w:t xml:space="preserve"> </w:t>
      </w:r>
      <w:r>
        <w:t xml:space="preserve"> </w:t>
      </w:r>
      <w:r>
        <w:t xml:space="preserve">{</w:t>
      </w:r>
      <w:r>
        <w:t xml:space="preserve"> </w:t>
      </w:r>
      <w:r>
        <w:t xml:space="preserve">FR,</w:t>
      </w:r>
      <w:r>
        <w:t xml:space="preserve"> </w:t>
      </w:r>
      <w:r>
        <w:t xml:space="preserve">FS,</w:t>
      </w:r>
      <w:r>
        <w:t xml:space="preserve"> </w:t>
      </w:r>
      <w:r>
        <w:t xml:space="preserve">L</w:t>
      </w:r>
      <w:r>
        <w:t xml:space="preserve"> 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Explicitly,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FS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secondary index therefore specifies the geometric origin of a tensor.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efinition-of-the-obidi-index"/>
    <w:p>
      <w:pPr>
        <w:pStyle w:val="Heading1"/>
      </w:pPr>
      <w:r>
        <w:t xml:space="preserve">6.6 Definition of the Obidi Index</w:t>
      </w:r>
    </w:p>
    <w:bookmarkStart w:id="30" w:name="formal-definition"/>
    <w:p>
      <w:pPr>
        <w:pStyle w:val="Heading2"/>
      </w:pPr>
      <w:r>
        <w:t xml:space="preserve">Formal Definition</w:t>
      </w:r>
    </w:p>
    <w:p>
      <w:pPr>
        <w:pStyle w:val="FirstParagraph"/>
      </w:pPr>
      <w:r>
        <w:t xml:space="preserve">The Obidi Index is the secondary hierarchical index attached to every tensor in HMAS.</w:t>
      </w:r>
    </w:p>
    <w:p>
      <w:pPr>
        <w:pStyle w:val="BodyText"/>
      </w:pPr>
      <w:r>
        <w:t xml:space="preserve">A tensor carrying an Obidi Index belongs to a specific sector.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T_{(</w:t>
      </w:r>
      <w:r>
        <w:t xml:space="preserve">)FR}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Fisher–Rao component of a vector.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T_{(</w:t>
      </w:r>
      <w:r>
        <w:t xml:space="preserve">)FS}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Fubini–Study component,</w:t>
      </w:r>
    </w:p>
    <w:p>
      <w:pPr>
        <w:pStyle w:val="BodyText"/>
      </w:pPr>
      <w:r>
        <w:t xml:space="preserve">while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T_{(</w:t>
      </w:r>
      <w:r>
        <w:t xml:space="preserve">)L}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the Lorentzian component.</w:t>
      </w:r>
    </w:p>
    <w:p>
      <w:pPr>
        <w:pStyle w:val="BodyText"/>
      </w:pPr>
      <w:r>
        <w:t xml:space="preserve">The Obidi Index therefore functions as a sectoral coordinate.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xiom-i"/>
    <w:p>
      <w:pPr>
        <w:pStyle w:val="Heading1"/>
      </w:pPr>
      <w:r>
        <w:t xml:space="preserve">6.7 Axiom I</w:t>
      </w:r>
    </w:p>
    <w:bookmarkEnd w:id="32"/>
    <w:bookmarkStart w:id="33" w:name="principle-of-sectoral-identity"/>
    <w:p>
      <w:pPr>
        <w:pStyle w:val="Heading1"/>
      </w:pPr>
      <w:r>
        <w:t xml:space="preserve">Principle of Sectoral Identity</w:t>
      </w:r>
    </w:p>
    <w:p>
      <w:pPr>
        <w:pStyle w:val="FirstParagraph"/>
      </w:pPr>
      <w:r>
        <w:t xml:space="preserve">Every tensor belongs to exactly one sector before any addition operation is performed.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 </w:t>
      </w:r>
      <w:r>
        <w:t xml:space="preserve">FR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FS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 tensor is simultaneously a member of multiple sectors.</w:t>
      </w:r>
    </w:p>
    <w:p>
      <w:pPr>
        <w:pStyle w:val="BodyText"/>
      </w:pPr>
      <w:r>
        <w:t xml:space="preserve">Sectoral combinations arise only through the Obidi Addition Rule.</w:t>
      </w:r>
    </w:p>
    <w:p>
      <w:r>
        <w:pict>
          <v:rect style="width:0;height:1.5pt" o:hralign="center" o:hrstd="t" o:hr="t"/>
        </w:pict>
      </w:r>
    </w:p>
    <w:bookmarkEnd w:id="33"/>
    <w:bookmarkStart w:id="37" w:name="the-obidi-bracket-rule"/>
    <w:p>
      <w:pPr>
        <w:pStyle w:val="Heading1"/>
      </w:pPr>
      <w:r>
        <w:t xml:space="preserve">6.8 The Obidi Bracket Rule</w:t>
      </w:r>
    </w:p>
    <w:bookmarkStart w:id="34" w:name="motivation-1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A tensor now carries two types of indices.</w:t>
      </w:r>
    </w:p>
    <w:p>
      <w:pPr>
        <w:pStyle w:val="BodyText"/>
      </w:pPr>
      <w:r>
        <w:t xml:space="preserve">To avoid ambiguity, a standardized notation is required.</w:t>
      </w:r>
    </w:p>
    <w:p>
      <w:pPr>
        <w:pStyle w:val="BodyText"/>
      </w:pPr>
      <w:r>
        <w:t xml:space="preserve">The Obidi Bracket Rule provides this notation.</w:t>
      </w:r>
    </w:p>
    <w:p>
      <w:r>
        <w:pict>
          <v:rect style="width:0;height:1.5pt" o:hralign="center" o:hrstd="t" o:hr="t"/>
        </w:pict>
      </w:r>
    </w:p>
    <w:bookmarkEnd w:id="34"/>
    <w:bookmarkStart w:id="35" w:name="formal-statement"/>
    <w:p>
      <w:pPr>
        <w:pStyle w:val="Heading2"/>
      </w:pPr>
      <w:r>
        <w:t xml:space="preserve">Formal Statement</w:t>
      </w:r>
    </w:p>
    <w:p>
      <w:pPr>
        <w:pStyle w:val="FirstParagraph"/>
      </w:pPr>
      <w:r>
        <w:t xml:space="preserve">Whenever a primary index carries a secondary index, the primary index shall be enclosed within brackets.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T_{(</w:t>
      </w:r>
      <w:r>
        <w:t xml:space="preserve">)J},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V^{(</w:t>
      </w:r>
      <w:r>
        <w:t xml:space="preserve">)J},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)J},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brackets visually indicate that the sectoral label belongs to the indexed quantity.</w:t>
      </w:r>
    </w:p>
    <w:p>
      <w:r>
        <w:pict>
          <v:rect style="width:0;height:1.5pt" o:hralign="center" o:hrstd="t" o:hr="t"/>
        </w:pict>
      </w:r>
    </w:p>
    <w:bookmarkEnd w:id="35"/>
    <w:bookmarkStart w:id="36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notation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T_{(</w:t>
      </w:r>
      <w:r>
        <w:t xml:space="preserve">)FR}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means:</w:t>
      </w:r>
    </w:p>
    <w:p>
      <w:pPr>
        <w:pStyle w:val="BodyText"/>
      </w:pPr>
      <w:r>
        <w:t xml:space="preserve">“the component of tensor (T) associated with coordinate index (</w:t>
      </w:r>
      <w:r>
        <w:t xml:space="preserve">) in the Fisher–Rao sector.”</w:t>
      </w:r>
    </w:p>
    <w:p>
      <w:pPr>
        <w:pStyle w:val="BodyText"/>
      </w:pPr>
      <w:r>
        <w:t xml:space="preserve">Likewise,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g_{(</w:t>
      </w:r>
      <w:r>
        <w:t xml:space="preserve">)L}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means:</w:t>
      </w:r>
    </w:p>
    <w:p>
      <w:pPr>
        <w:pStyle w:val="BodyText"/>
      </w:pPr>
      <w:r>
        <w:t xml:space="preserve">“the metric tensor in the Lorentzian sector.”</w:t>
      </w:r>
    </w:p>
    <w:p>
      <w:pPr>
        <w:pStyle w:val="BodyText"/>
      </w:pPr>
      <w:r>
        <w:t xml:space="preserve">This notation eliminates ambiguity throughout the theory.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xiom-ii"/>
    <w:p>
      <w:pPr>
        <w:pStyle w:val="Heading1"/>
      </w:pPr>
      <w:r>
        <w:t xml:space="preserve">6.9 Axiom II</w:t>
      </w:r>
    </w:p>
    <w:bookmarkEnd w:id="38"/>
    <w:bookmarkStart w:id="39" w:name="principle-of-hierarchical-indexing"/>
    <w:p>
      <w:pPr>
        <w:pStyle w:val="Heading1"/>
      </w:pPr>
      <w:r>
        <w:t xml:space="preserve">Principle of Hierarchical Indexing</w:t>
      </w:r>
    </w:p>
    <w:p>
      <w:pPr>
        <w:pStyle w:val="FirstParagraph"/>
      </w:pPr>
      <w:r>
        <w:t xml:space="preserve">Every tensor in HMAS possesses a two-level indexing structure: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,</w:t>
      </w:r>
      <w:r>
        <w:t xml:space="preserve"> 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,J).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primary index determines geometric coordinates.</w:t>
      </w:r>
    </w:p>
    <w:p>
      <w:pPr>
        <w:pStyle w:val="BodyText"/>
      </w:pPr>
      <w:r>
        <w:t xml:space="preserve">The secondary index determines sectoral membership.</w:t>
      </w:r>
    </w:p>
    <w:p>
      <w:r>
        <w:pict>
          <v:rect style="width:0;height:1.5pt" o:hralign="center" o:hrstd="t" o:hr="t"/>
        </w:pict>
      </w:r>
    </w:p>
    <w:bookmarkEnd w:id="39"/>
    <w:bookmarkStart w:id="40" w:name="sectoral-tensor-decomposition"/>
    <w:p>
      <w:pPr>
        <w:pStyle w:val="Heading1"/>
      </w:pPr>
      <w:r>
        <w:t xml:space="preserve">6.10 Sectoral Tensor Decomposition</w:t>
      </w:r>
    </w:p>
    <w:p>
      <w:pPr>
        <w:pStyle w:val="FirstParagraph"/>
      </w:pPr>
      <w:r>
        <w:t xml:space="preserve">The Obidi Convention permits every physical tensor to be decomposed into sectoral components.</w:t>
      </w:r>
    </w:p>
    <w:p>
      <w:pPr>
        <w:pStyle w:val="BodyText"/>
      </w:pPr>
      <w:r>
        <w:t xml:space="preserve">For a vector,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</w:t>
      </w:r>
      <w:r>
        <w:t xml:space="preserve"> </w:t>
      </w:r>
      <w:r>
        <w:t xml:space="preserve">=</w:t>
      </w:r>
      <w:r>
        <w:t xml:space="preserve"> </w:t>
      </w:r>
      <w:r>
        <w:t xml:space="preserve">T_{(</w:t>
      </w:r>
      <w:r>
        <w:t xml:space="preserve">)FR}</w:t>
      </w:r>
    </w:p>
    <w:p>
      <w:pPr>
        <w:numPr>
          <w:ilvl w:val="0"/>
          <w:numId w:val="1003"/>
        </w:numPr>
      </w:pPr>
      <w:r>
        <w:t xml:space="preserve">T_{(</w:t>
      </w:r>
      <w:r>
        <w:t xml:space="preserve">)FS}</w:t>
      </w:r>
    </w:p>
    <w:p>
      <w:pPr>
        <w:numPr>
          <w:ilvl w:val="0"/>
          <w:numId w:val="1003"/>
        </w:numPr>
      </w:pPr>
      <w:r>
        <w:t xml:space="preserve">T_{(</w:t>
      </w:r>
      <w:r>
        <w:t xml:space="preserve">)L}.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For a rank-two tensor,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T_{(</w:t>
      </w:r>
      <w:r>
        <w:t xml:space="preserve">)FR}</w:t>
      </w:r>
    </w:p>
    <w:p>
      <w:pPr>
        <w:numPr>
          <w:ilvl w:val="0"/>
          <w:numId w:val="1004"/>
        </w:numPr>
      </w:pPr>
      <w:r>
        <w:t xml:space="preserve">T_{(</w:t>
      </w:r>
      <w:r>
        <w:t xml:space="preserve">)FS}</w:t>
      </w:r>
    </w:p>
    <w:p>
      <w:pPr>
        <w:numPr>
          <w:ilvl w:val="0"/>
          <w:numId w:val="1004"/>
        </w:numPr>
      </w:pPr>
      <w:r>
        <w:t xml:space="preserve">T_{(</w:t>
      </w:r>
      <w:r>
        <w:t xml:space="preserve">)L}.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For the metric,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g_{(</w:t>
      </w:r>
      <w:r>
        <w:t xml:space="preserve">)FR}</w:t>
      </w:r>
    </w:p>
    <w:p>
      <w:pPr>
        <w:numPr>
          <w:ilvl w:val="0"/>
          <w:numId w:val="1005"/>
        </w:numPr>
      </w:pPr>
      <w:r>
        <w:t xml:space="preserve">g_{(</w:t>
      </w:r>
      <w:r>
        <w:t xml:space="preserve">)FS}</w:t>
      </w:r>
    </w:p>
    <w:p>
      <w:pPr>
        <w:numPr>
          <w:ilvl w:val="0"/>
          <w:numId w:val="1005"/>
        </w:numPr>
      </w:pPr>
      <w:r>
        <w:t xml:space="preserve">g_{(</w:t>
      </w:r>
      <w:r>
        <w:t xml:space="preserve">)L}.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decomposition provides the foundation for all subsequent calculations.</w:t>
      </w:r>
    </w:p>
    <w:p>
      <w:r>
        <w:pict>
          <v:rect style="width:0;height:1.5pt" o:hralign="center" o:hrstd="t" o:hr="t"/>
        </w:pict>
      </w:r>
    </w:p>
    <w:bookmarkEnd w:id="40"/>
    <w:bookmarkStart w:id="41" w:name="axiom-iii"/>
    <w:p>
      <w:pPr>
        <w:pStyle w:val="Heading1"/>
      </w:pPr>
      <w:r>
        <w:t xml:space="preserve">6.11 Axiom III</w:t>
      </w:r>
    </w:p>
    <w:bookmarkEnd w:id="41"/>
    <w:bookmarkStart w:id="42" w:name="principle-of-sectoral-decomposition"/>
    <w:p>
      <w:pPr>
        <w:pStyle w:val="Heading1"/>
      </w:pPr>
      <w:r>
        <w:t xml:space="preserve">Principle of Sectoral Decomposition</w:t>
      </w:r>
    </w:p>
    <w:p>
      <w:pPr>
        <w:pStyle w:val="FirstParagraph"/>
      </w:pPr>
      <w:r>
        <w:t xml:space="preserve">Every observable tensor may be expressed as the sum of its sectoral components.</w:t>
      </w:r>
    </w:p>
    <w:p>
      <w:pPr>
        <w:pStyle w:val="BodyText"/>
      </w:pPr>
      <w:r>
        <w:t xml:space="preserve">Formally,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t xml:space="preserve">_J</w:t>
      </w:r>
      <w:r>
        <w:t xml:space="preserve"> </w:t>
      </w:r>
      <w:r>
        <w:t xml:space="preserve">T^{(J)}.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principle underlies the Obidi Addition Rule.</w:t>
      </w:r>
    </w:p>
    <w:p>
      <w:r>
        <w:pict>
          <v:rect style="width:0;height:1.5pt" o:hralign="center" o:hrstd="t" o:hr="t"/>
        </w:pict>
      </w:r>
    </w:p>
    <w:bookmarkEnd w:id="42"/>
    <w:bookmarkStart w:id="45" w:name="obidi-orthogonality-principle"/>
    <w:p>
      <w:pPr>
        <w:pStyle w:val="Heading1"/>
      </w:pPr>
      <w:r>
        <w:t xml:space="preserve">6.12 Obidi Orthogonality Principle</w:t>
      </w:r>
    </w:p>
    <w:p>
      <w:pPr>
        <w:pStyle w:val="FirstParagraph"/>
      </w:pPr>
      <w:r>
        <w:t xml:space="preserve">One of the most important features of the Obidi Convention is sectoral orthogonality.</w:t>
      </w:r>
    </w:p>
    <w:p>
      <w:pPr>
        <w:pStyle w:val="BodyText"/>
      </w:pPr>
      <w:r>
        <w:t xml:space="preserve">Different sectors are regarded as geometrically distinct.</w:t>
      </w:r>
    </w:p>
    <w:p>
      <w:pPr>
        <w:pStyle w:val="BodyText"/>
      </w:pPr>
      <w:r>
        <w:t xml:space="preserve">Consequently they do not contract directly.</w:t>
      </w:r>
    </w:p>
    <w:p>
      <w:r>
        <w:pict>
          <v:rect style="width:0;height:1.5pt" o:hralign="center" o:hrstd="t" o:hr="t"/>
        </w:pict>
      </w:r>
    </w:p>
    <w:bookmarkStart w:id="43" w:name="formal-statement-1"/>
    <w:p>
      <w:pPr>
        <w:pStyle w:val="Heading2"/>
      </w:pPr>
      <w:r>
        <w:t xml:space="preserve">Formal Statement</w:t>
      </w:r>
    </w:p>
    <w:p>
      <w:pPr>
        <w:pStyle w:val="FirstParagraph"/>
      </w:pPr>
      <w:r>
        <w:t xml:space="preserve">Let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belong to sectors (J) and (K).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=</w:t>
      </w:r>
      <w:r>
        <w:t xml:space="preserve"> </w:t>
      </w:r>
      <w:r>
        <w:t xml:space="preserve">0,</w:t>
      </w:r>
      <w:r>
        <w:t xml:space="preserve"> </w:t>
      </w:r>
      <w:r>
        <w:t xml:space="preserve"> </w:t>
      </w:r>
      <w:r>
        <w:t xml:space="preserve">J</w:t>
      </w:r>
      <w:r>
        <w:t xml:space="preserve">K.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called Obidi Orthogonality.</w:t>
      </w:r>
    </w:p>
    <w:p>
      <w:r>
        <w:pict>
          <v:rect style="width:0;height:1.5pt" o:hralign="center" o:hrstd="t" o:hr="t"/>
        </w:pict>
      </w:r>
    </w:p>
    <w:bookmarkEnd w:id="43"/>
    <w:bookmarkStart w:id="44" w:name="interpretation-1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Fisher–Rao sector does not directly contract with the Fubini–Study sector.</w:t>
      </w:r>
    </w:p>
    <w:p>
      <w:pPr>
        <w:pStyle w:val="BodyText"/>
      </w:pPr>
      <w:r>
        <w:t xml:space="preserve">The Fubini–Study sector does not directly contract with the Lorentzian sector.</w:t>
      </w:r>
    </w:p>
    <w:p>
      <w:pPr>
        <w:pStyle w:val="BodyText"/>
      </w:pPr>
      <w:r>
        <w:t xml:space="preserve">The Lorentzian sector does not directly contract with the Fisher–Rao sector.</w:t>
      </w:r>
    </w:p>
    <w:p>
      <w:pPr>
        <w:pStyle w:val="BodyText"/>
      </w:pPr>
      <w:r>
        <w:t xml:space="preserve">Only matching sectors participate in contractions.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xiom-iv"/>
    <w:p>
      <w:pPr>
        <w:pStyle w:val="Heading1"/>
      </w:pPr>
      <w:r>
        <w:t xml:space="preserve">6.13 Axiom IV</w:t>
      </w:r>
    </w:p>
    <w:bookmarkEnd w:id="46"/>
    <w:bookmarkStart w:id="47" w:name="principle-of-sectoral-orthogonality"/>
    <w:p>
      <w:pPr>
        <w:pStyle w:val="Heading1"/>
      </w:pPr>
      <w:r>
        <w:t xml:space="preserve">Principle of Sectoral Orthogonality</w:t>
      </w:r>
    </w:p>
    <w:p>
      <w:pPr>
        <w:pStyle w:val="FirstParagraph"/>
      </w:pPr>
      <w:r>
        <w:t xml:space="preserve">Distinct sectors are orthogonal under contraction.</w:t>
      </w:r>
    </w:p>
    <w:p>
      <w:pPr>
        <w:pStyle w:val="BodyText"/>
      </w:pPr>
      <w:r>
        <w:t xml:space="preserve">Formally,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</w:t>
      </w:r>
      <w:r>
        <w:t xml:space="preserve"> </w:t>
      </w:r>
      <w:r>
        <w:t xml:space="preserve"> </w:t>
      </w:r>
      <w:r>
        <w:t xml:space="preserve">FS,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FR</w:t>
      </w:r>
      <w:r>
        <w:t xml:space="preserve"> </w:t>
      </w:r>
      <w:r>
        <w:t xml:space="preserve"> </w:t>
      </w:r>
      <w:r>
        <w:t xml:space="preserve">L,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FS</w:t>
      </w:r>
      <w:r>
        <w:t xml:space="preserve"> </w:t>
      </w:r>
      <w:r>
        <w:t xml:space="preserve"> </w:t>
      </w:r>
      <w:r>
        <w:t xml:space="preserve">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principle preserves mathematical consistency across HMAS.</w:t>
      </w:r>
    </w:p>
    <w:p>
      <w:r>
        <w:pict>
          <v:rect style="width:0;height:1.5pt" o:hralign="center" o:hrstd="t" o:hr="t"/>
        </w:pict>
      </w:r>
    </w:p>
    <w:bookmarkEnd w:id="47"/>
    <w:bookmarkStart w:id="50" w:name="einsteinobidi-summation-convention"/>
    <w:p>
      <w:pPr>
        <w:pStyle w:val="Heading1"/>
      </w:pPr>
      <w:r>
        <w:t xml:space="preserve">6.14 Einstein–Obidi Summation Convention</w:t>
      </w:r>
    </w:p>
    <w:p>
      <w:pPr>
        <w:pStyle w:val="FirstParagraph"/>
      </w:pPr>
      <w:r>
        <w:t xml:space="preserve">The introduction of hierarchical indices requires a corresponding extension of Einstein summation.</w:t>
      </w:r>
    </w:p>
    <w:p>
      <w:r>
        <w:pict>
          <v:rect style="width:0;height:1.5pt" o:hralign="center" o:hrstd="t" o:hr="t"/>
        </w:pict>
      </w:r>
    </w:p>
    <w:bookmarkStart w:id="48" w:name="standard-einstein-summation"/>
    <w:p>
      <w:pPr>
        <w:pStyle w:val="Heading2"/>
      </w:pPr>
      <w:r>
        <w:t xml:space="preserve">Standard Einstein Summation</w:t>
      </w:r>
    </w:p>
    <w:p>
      <w:pPr>
        <w:pStyle w:val="FirstParagraph"/>
      </w:pPr>
      <w:r>
        <w:t xml:space="preserve">In conventional tensor calculus,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</w:t>
      </w:r>
      <w:r>
        <w:t xml:space="preserve">B_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}^{3}</w:t>
      </w:r>
      <w:r>
        <w:rPr>
          <w:i/>
          <w:iCs/>
        </w:rPr>
        <w:t xml:space="preserve"> </w:t>
      </w:r>
      <w:r>
        <w:rPr>
          <w:i/>
          <w:iCs/>
        </w:rPr>
        <w:t xml:space="preserve">A^</w:t>
      </w:r>
      <w:r>
        <w:rPr>
          <w:i/>
          <w:iCs/>
        </w:rPr>
        <w:t xml:space="preserve">B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repeated index implies summation.</w:t>
      </w:r>
    </w:p>
    <w:p>
      <w:r>
        <w:pict>
          <v:rect style="width:0;height:1.5pt" o:hralign="center" o:hrstd="t" o:hr="t"/>
        </w:pict>
      </w:r>
    </w:p>
    <w:bookmarkEnd w:id="48"/>
    <w:bookmarkStart w:id="49" w:name="obidi-generalization"/>
    <w:p>
      <w:pPr>
        <w:pStyle w:val="Heading2"/>
      </w:pPr>
      <w:r>
        <w:t xml:space="preserve">Obidi Generalization</w:t>
      </w:r>
    </w:p>
    <w:p>
      <w:pPr>
        <w:pStyle w:val="FirstParagraph"/>
      </w:pPr>
      <w:r>
        <w:t xml:space="preserve">In HMAS, summation occurs only when both:</w:t>
      </w:r>
    </w:p>
    <w:p>
      <w:pPr>
        <w:pStyle w:val="Compact"/>
        <w:numPr>
          <w:ilvl w:val="0"/>
          <w:numId w:val="1006"/>
        </w:numPr>
      </w:pPr>
      <w:r>
        <w:t xml:space="preserve">Primary indices match.</w:t>
      </w:r>
    </w:p>
    <w:p>
      <w:pPr>
        <w:pStyle w:val="Compact"/>
        <w:numPr>
          <w:ilvl w:val="0"/>
          <w:numId w:val="1006"/>
        </w:numPr>
      </w:pPr>
      <w:r>
        <w:t xml:space="preserve">Secondary indices match.</w:t>
      </w:r>
    </w:p>
    <w:p>
      <w:pPr>
        <w:pStyle w:val="FirstParagraph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</w:t>
      </w:r>
      <w:r>
        <w:t xml:space="preserve">)J}</w:t>
      </w:r>
      <w:r>
        <w:t xml:space="preserve"> </w:t>
      </w:r>
      <w:r>
        <w:t xml:space="preserve">B_{(</w:t>
      </w:r>
      <w:r>
        <w:t xml:space="preserve">)J}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}^{3}</w:t>
      </w:r>
      <w:r>
        <w:rPr>
          <w:i/>
          <w:iCs/>
        </w:rPr>
        <w:t xml:space="preserve"> </w:t>
      </w:r>
      <w:r>
        <w:rPr>
          <w:i/>
          <w:iCs/>
        </w:rPr>
        <w:t xml:space="preserve">A^{(</w:t>
      </w:r>
      <w:r>
        <w:rPr>
          <w:i/>
          <w:iCs/>
        </w:rPr>
        <w:t xml:space="preserve">)J}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contraction is valid.</w:t>
      </w:r>
    </w:p>
    <w:p>
      <w:pPr>
        <w:pStyle w:val="BodyText"/>
      </w:pPr>
      <w:r>
        <w:t xml:space="preserve">However,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</w:t>
      </w:r>
      <w:r>
        <w:t xml:space="preserve">)FR}</w:t>
      </w:r>
      <w:r>
        <w:t xml:space="preserve"> </w:t>
      </w:r>
      <w:r>
        <w:t xml:space="preserve">B_{(</w:t>
      </w:r>
      <w:r>
        <w:t xml:space="preserve">)FS}</w:t>
      </w:r>
      <w:r>
        <w:t xml:space="preserve"> </w:t>
      </w:r>
      <w:r>
        <w:t xml:space="preserve">=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mismatch in sectoral labels prevents contraction.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xiom-v"/>
    <w:p>
      <w:pPr>
        <w:pStyle w:val="Heading1"/>
      </w:pPr>
      <w:r>
        <w:t xml:space="preserve">6.15 Axiom V</w:t>
      </w:r>
    </w:p>
    <w:bookmarkEnd w:id="51"/>
    <w:bookmarkStart w:id="52" w:name="einsteinobidi-summation-principle"/>
    <w:p>
      <w:pPr>
        <w:pStyle w:val="Heading1"/>
      </w:pPr>
      <w:r>
        <w:t xml:space="preserve">Einstein–Obidi Summation Principle</w:t>
      </w:r>
    </w:p>
    <w:p>
      <w:pPr>
        <w:pStyle w:val="FirstParagraph"/>
      </w:pPr>
      <w:r>
        <w:t xml:space="preserve">A repeated index pair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,J)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summed only when both indices coincide.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</w:t>
      </w:r>
      <w:r>
        <w:t xml:space="preserve">)J}</w:t>
      </w:r>
      <w:r>
        <w:t xml:space="preserve"> </w:t>
      </w:r>
      <w:r>
        <w:t xml:space="preserve">B_{(</w:t>
      </w:r>
      <w:r>
        <w:t xml:space="preserve">)K}</w:t>
      </w:r>
      <w:r>
        <w:t xml:space="preserve"> </w:t>
      </w:r>
      <w:r>
        <w:t xml:space="preserve">=</w:t>
      </w:r>
      <w:r>
        <w:t xml:space="preserve"> </w:t>
      </w:r>
      <w:r>
        <w:t xml:space="preserve">^J_K</w:t>
      </w:r>
      <w:r>
        <w:t xml:space="preserve"> </w:t>
      </w:r>
      <w:r>
        <w:t xml:space="preserve">A^{(</w:t>
      </w:r>
      <w:r>
        <w:t xml:space="preserve">)J}</w:t>
      </w:r>
      <w:r>
        <w:t xml:space="preserve"> </w:t>
      </w:r>
      <w:r>
        <w:t xml:space="preserve">B_{(</w:t>
      </w:r>
      <w:r>
        <w:t xml:space="preserve">)J}.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Kronecker delta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^J_K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enforces sectoral matching.</w:t>
      </w:r>
    </w:p>
    <w:p>
      <w:r>
        <w:pict>
          <v:rect style="width:0;height:1.5pt" o:hralign="center" o:hrstd="t" o:hr="t"/>
        </w:pict>
      </w:r>
    </w:p>
    <w:bookmarkEnd w:id="52"/>
    <w:bookmarkStart w:id="53" w:name="sectoral-kronecker-delta"/>
    <w:p>
      <w:pPr>
        <w:pStyle w:val="Heading1"/>
      </w:pPr>
      <w:r>
        <w:t xml:space="preserve">6.16 Sectoral Kronecker Delta</w:t>
      </w:r>
    </w:p>
    <w:p>
      <w:pPr>
        <w:pStyle w:val="FirstParagraph"/>
      </w:pPr>
      <w:r>
        <w:t xml:space="preserve">To formalize orthogonality, introduce the sectoral Kronecker delta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^J_K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This object functions analogously to the ordinary Kronecker delta but acts on sector labels.</w:t>
      </w:r>
    </w:p>
    <w:p>
      <w:pPr>
        <w:pStyle w:val="BodyText"/>
      </w:pPr>
      <w:r>
        <w:t xml:space="preserve">The orthogonality relation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)K}</w:t>
      </w:r>
      <w:r>
        <w:t xml:space="preserve"> </w:t>
      </w:r>
      <w:r>
        <w:t xml:space="preserve">=</w:t>
      </w:r>
      <w:r>
        <w:t xml:space="preserve"> </w:t>
      </w:r>
      <w:r>
        <w:t xml:space="preserve">^J_K</w:t>
      </w:r>
      <w:r>
        <w:t xml:space="preserve"> </w:t>
      </w:r>
      <w:r>
        <w:t xml:space="preserve">T^{(</w:t>
      </w:r>
      <w:r>
        <w:t xml:space="preserve">)J}</w:t>
      </w:r>
      <w:r>
        <w:t xml:space="preserve"> </w:t>
      </w:r>
      <w:r>
        <w:t xml:space="preserve">S_{(</w:t>
      </w:r>
      <w:r>
        <w:t xml:space="preserve">)J}.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3"/>
    <w:bookmarkStart w:id="54" w:name="sectoral-metric-tensors"/>
    <w:p>
      <w:pPr>
        <w:pStyle w:val="Heading1"/>
      </w:pPr>
      <w:r>
        <w:t xml:space="preserve">6.17 Sectoral Metric Tensors</w:t>
      </w:r>
    </w:p>
    <w:p>
      <w:pPr>
        <w:pStyle w:val="FirstParagraph"/>
      </w:pPr>
      <w:r>
        <w:t xml:space="preserve">Each sector possesses its own metric.</w:t>
      </w:r>
    </w:p>
    <w:p>
      <w:pPr>
        <w:pStyle w:val="BodyText"/>
      </w:pPr>
      <w:r>
        <w:t xml:space="preserve">These are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g^{(FS)}_{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Indices may only be raised and lowered within their own sectors.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V_{(</w:t>
      </w:r>
      <w:r>
        <w:t xml:space="preserve">)FR}</w:t>
      </w:r>
      <w:r>
        <w:t xml:space="preserve"> </w:t>
      </w:r>
      <w:r>
        <w:t xml:space="preserve">=</w:t>
      </w:r>
      <w:r>
        <w:t xml:space="preserve"> </w:t>
      </w:r>
      <w:r>
        <w:t xml:space="preserve">g^{(FR)}_{</w:t>
      </w:r>
      <w:r>
        <w:t xml:space="preserve">}</w:t>
      </w:r>
      <w:r>
        <w:t xml:space="preserve"> </w:t>
      </w:r>
      <w:r>
        <w:t xml:space="preserve">V^{(</w:t>
      </w:r>
      <w:r>
        <w:t xml:space="preserve">)FR}.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Cross-sector index operations are forbidden.</w:t>
      </w:r>
    </w:p>
    <w:p>
      <w:r>
        <w:pict>
          <v:rect style="width:0;height:1.5pt" o:hralign="center" o:hrstd="t" o:hr="t"/>
        </w:pict>
      </w:r>
    </w:p>
    <w:bookmarkEnd w:id="54"/>
    <w:bookmarkStart w:id="55" w:name="sectoral-curvature-objects"/>
    <w:p>
      <w:pPr>
        <w:pStyle w:val="Heading1"/>
      </w:pPr>
      <w:r>
        <w:t xml:space="preserve">6.18 Sectoral Curvature Objects</w:t>
      </w:r>
    </w:p>
    <w:p>
      <w:pPr>
        <w:pStyle w:val="FirstParagraph"/>
      </w:pPr>
      <w:r>
        <w:t xml:space="preserve">Each sector possesses its own curvature hierarchy: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</w:t>
      </w:r>
      <w:r>
        <w:t xml:space="preserve">}_{;;;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R^{(J)}_{</w:t>
      </w:r>
      <w:r>
        <w:t xml:space="preserve">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R^{(J)},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G^{(J)}_{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These quantities are computed independently within each sector.</w:t>
      </w:r>
    </w:p>
    <w:p>
      <w:pPr>
        <w:pStyle w:val="BodyText"/>
      </w:pPr>
      <w:r>
        <w:t xml:space="preserve">No mixed-sector curvature tensors are assumed at the level of the basic Obidi Convention.</w:t>
      </w:r>
    </w:p>
    <w:p>
      <w:r>
        <w:pict>
          <v:rect style="width:0;height:1.5pt" o:hralign="center" o:hrstd="t" o:hr="t"/>
        </w:pict>
      </w:r>
    </w:p>
    <w:bookmarkEnd w:id="55"/>
    <w:bookmarkStart w:id="56" w:name="conceptual-significance"/>
    <w:p>
      <w:pPr>
        <w:pStyle w:val="Heading1"/>
      </w:pPr>
      <w:r>
        <w:t xml:space="preserve">6.19 Conceptual Significance</w:t>
      </w:r>
    </w:p>
    <w:p>
      <w:pPr>
        <w:pStyle w:val="FirstParagraph"/>
      </w:pPr>
      <w:r>
        <w:t xml:space="preserve">The Obidi Convention accomplishes more than notational organization.</w:t>
      </w:r>
    </w:p>
    <w:p>
      <w:pPr>
        <w:pStyle w:val="BodyText"/>
      </w:pPr>
      <w:r>
        <w:t xml:space="preserve">It provides a rigorous mathematical language capable of representing:</w:t>
      </w:r>
    </w:p>
    <w:p>
      <w:pPr>
        <w:pStyle w:val="Compact"/>
        <w:numPr>
          <w:ilvl w:val="0"/>
          <w:numId w:val="1007"/>
        </w:numPr>
      </w:pPr>
      <w:r>
        <w:t xml:space="preserve">classical information geometry,</w:t>
      </w:r>
    </w:p>
    <w:p>
      <w:pPr>
        <w:pStyle w:val="Compact"/>
        <w:numPr>
          <w:ilvl w:val="0"/>
          <w:numId w:val="1007"/>
        </w:numPr>
      </w:pPr>
      <w:r>
        <w:t xml:space="preserve">quantum information geometry,</w:t>
      </w:r>
    </w:p>
    <w:p>
      <w:pPr>
        <w:pStyle w:val="Compact"/>
        <w:numPr>
          <w:ilvl w:val="0"/>
          <w:numId w:val="1007"/>
        </w:numPr>
      </w:pPr>
      <w:r>
        <w:t xml:space="preserve">spacetime geometry,</w:t>
      </w:r>
    </w:p>
    <w:p>
      <w:pPr>
        <w:pStyle w:val="FirstParagraph"/>
      </w:pPr>
      <w:r>
        <w:t xml:space="preserve">within a single tensor framework.</w:t>
      </w:r>
    </w:p>
    <w:p>
      <w:pPr>
        <w:pStyle w:val="BodyText"/>
      </w:pPr>
      <w:r>
        <w:t xml:space="preserve">This achievement is essential for the construction of the Local Obidi Action.</w:t>
      </w:r>
    </w:p>
    <w:p>
      <w:pPr>
        <w:pStyle w:val="BodyText"/>
      </w:pPr>
      <w:r>
        <w:t xml:space="preserve">Without hierarchical indexing, the theory would lack a consistent mathematical foundation.</w:t>
      </w:r>
    </w:p>
    <w:p>
      <w:r>
        <w:pict>
          <v:rect style="width:0;height:1.5pt" o:hralign="center" o:hrstd="t" o:hr="t"/>
        </w:pict>
      </w:r>
    </w:p>
    <w:bookmarkEnd w:id="56"/>
    <w:bookmarkStart w:id="57" w:name="transition-to-obidi-calculus"/>
    <w:p>
      <w:pPr>
        <w:pStyle w:val="Heading1"/>
      </w:pPr>
      <w:r>
        <w:t xml:space="preserve">6.20 Transition to Obidi Calculus</w:t>
      </w:r>
    </w:p>
    <w:p>
      <w:pPr>
        <w:pStyle w:val="FirstParagraph"/>
      </w:pPr>
      <w:r>
        <w:t xml:space="preserve">Having established the indexing framework, the next step is to define the algebra governing these objects.</w:t>
      </w:r>
    </w:p>
    <w:p>
      <w:pPr>
        <w:pStyle w:val="BodyText"/>
      </w:pPr>
      <w:r>
        <w:t xml:space="preserve">The following chapter introduces Obidi Calculus, which specifies:</w:t>
      </w:r>
    </w:p>
    <w:p>
      <w:pPr>
        <w:pStyle w:val="Compact"/>
        <w:numPr>
          <w:ilvl w:val="0"/>
          <w:numId w:val="1008"/>
        </w:numPr>
      </w:pPr>
      <w:r>
        <w:t xml:space="preserve">Addition Rules,</w:t>
      </w:r>
    </w:p>
    <w:p>
      <w:pPr>
        <w:pStyle w:val="Compact"/>
        <w:numPr>
          <w:ilvl w:val="0"/>
          <w:numId w:val="1008"/>
        </w:numPr>
      </w:pPr>
      <w:r>
        <w:t xml:space="preserve">Multiplication Rules,</w:t>
      </w:r>
    </w:p>
    <w:p>
      <w:pPr>
        <w:pStyle w:val="Compact"/>
        <w:numPr>
          <w:ilvl w:val="0"/>
          <w:numId w:val="1008"/>
        </w:numPr>
      </w:pPr>
      <w:r>
        <w:t xml:space="preserve">Contraction Rules,</w:t>
      </w:r>
    </w:p>
    <w:p>
      <w:pPr>
        <w:pStyle w:val="Compact"/>
        <w:numPr>
          <w:ilvl w:val="0"/>
          <w:numId w:val="1008"/>
        </w:numPr>
      </w:pPr>
      <w:r>
        <w:t xml:space="preserve">Sectoral Products,</w:t>
      </w:r>
    </w:p>
    <w:p>
      <w:pPr>
        <w:pStyle w:val="Compact"/>
        <w:numPr>
          <w:ilvl w:val="0"/>
          <w:numId w:val="1008"/>
        </w:numPr>
      </w:pPr>
      <w:r>
        <w:t xml:space="preserve">Determinant Factorization,</w:t>
      </w:r>
    </w:p>
    <w:p>
      <w:pPr>
        <w:pStyle w:val="Compact"/>
        <w:numPr>
          <w:ilvl w:val="0"/>
          <w:numId w:val="1008"/>
        </w:numPr>
      </w:pPr>
      <w:r>
        <w:t xml:space="preserve">Partition Function Factorization,</w:t>
      </w:r>
    </w:p>
    <w:p>
      <w:pPr>
        <w:pStyle w:val="FirstParagraph"/>
      </w:pPr>
      <w:r>
        <w:t xml:space="preserve">and the mathematical operations required for constructing the Local Obidi Action and the Obidi Field Equations.</w:t>
      </w:r>
    </w:p>
    <w:p>
      <w:pPr>
        <w:pStyle w:val="BodyText"/>
      </w:pPr>
      <w:r>
        <w:t xml:space="preserve">The Obidi Convention provides the language.</w:t>
      </w:r>
    </w:p>
    <w:p>
      <w:pPr>
        <w:pStyle w:val="BodyText"/>
      </w:pPr>
      <w:r>
        <w:t xml:space="preserve">Obidi Calculus provides the grammar.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2026-06-13T05:21:19Z</dcterms:created>
  <dcterms:modified xsi:type="dcterms:W3CDTF">2026-06-13T05:21:19Z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