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fa098cb9d0da71024cdb2dfabe7ac6e58466778"/>
    <w:p>
      <w:pPr>
        <w:pStyle w:val="Heading1"/>
      </w:pPr>
      <w:r>
        <w:t xml:space="preserve">Understanding the Mathematics of Letter III and the Theory of Entropicity</w:t>
      </w:r>
    </w:p>
    <w:bookmarkStart w:id="23" w:name="what-the-whole-program-is-trying-to-do"/>
    <w:p>
      <w:pPr>
        <w:pStyle w:val="Heading2"/>
      </w:pPr>
      <w:r>
        <w:t xml:space="preserve">What the whole program is trying to do</w:t>
      </w:r>
    </w:p>
    <w:p>
      <w:pPr>
        <w:pStyle w:val="FirstParagraph"/>
      </w:pPr>
      <w:r>
        <w:t xml:space="preserve">The fastest way to understand Letter III is to separate it into three layers. The first layer is</w:t>
      </w:r>
      <w:r>
        <w:t xml:space="preserve"> </w:t>
      </w:r>
      <w:r>
        <w:rPr>
          <w:b/>
          <w:bCs/>
        </w:rPr>
        <w:t xml:space="preserve">standard mathematics</w:t>
      </w:r>
      <w:r>
        <w:t xml:space="preserve">: manifolds, tangent spaces, tensors, Fisher–Rao geometry, Fubini–Study geometry, Kullback–Leibler divergence, quantum relative entropy, and the Bianchi identity. The second layer is</w:t>
      </w:r>
      <w:r>
        <w:t xml:space="preserve"> </w:t>
      </w:r>
      <w:r>
        <w:rPr>
          <w:b/>
          <w:bCs/>
        </w:rPr>
        <w:t xml:space="preserve">standard physics</w:t>
      </w:r>
      <w:r>
        <w:t xml:space="preserve">: the Einstein–Hilbert action, curvature, geodesics, and the stress–energy tensor. The third layer is</w:t>
      </w:r>
      <w:r>
        <w:t xml:space="preserve"> </w:t>
      </w:r>
      <w:r>
        <w:rPr>
          <w:b/>
          <w:bCs/>
        </w:rPr>
        <w:t xml:space="preserve">ToE-specific structure</w:t>
      </w:r>
      <w:r>
        <w:t xml:space="preserve">: the Obidi transformation, the Obidi metric, the Obidi Curvature Invariant, the Hybrid Metric–Affine Space, the irreversible/reversible split of the entropic action, and the proposal that spacetime and matter are both coarse-grained forms of information. Letter III explicitly lays out this program as a staged emergence from information geometry to effective gravity.</w:t>
      </w:r>
      <w:r>
        <w:t xml:space="preserve"> </w:t>
      </w:r>
      <w:hyperlink r:id="rId21">
        <w:r>
          <w:rPr>
            <w:rStyle w:val="Hyperlink"/>
          </w:rPr>
          <w:t xml:space="preserve">[1]</w:t>
        </w:r>
      </w:hyperlink>
      <w:r>
        <w:t xml:space="preserve"> </w:t>
      </w:r>
      <w:r>
        <w:t xml:space="preserve">fileciteturn0file0</w:t>
      </w:r>
    </w:p>
    <w:p>
      <w:pPr>
        <w:pStyle w:val="BodyText"/>
      </w:pPr>
      <w:r>
        <w:t xml:space="preserve">A very short slogan is this:</w:t>
      </w:r>
    </w:p>
    <w:p>
      <w:pPr>
        <w:pStyle w:val="BodyText"/>
      </w:pPr>
      <m:oMathPara>
        <m:oMathParaPr>
          <m:jc m:val="center"/>
        </m:oMathParaPr>
        <m:oMath>
          <m:r>
            <m:rPr>
              <m:nor/>
              <m:sty m:val="p"/>
            </m:rPr>
            <m:t>probability geometry</m:t>
          </m:r>
          <m:r>
            <m:t> </m:t>
          </m:r>
          <m:r>
            <m:rPr>
              <m:sty m:val="p"/>
            </m:rPr>
            <m:t>→</m:t>
          </m:r>
          <m:r>
            <m:t> </m:t>
          </m:r>
          <m:r>
            <m:rPr>
              <m:nor/>
              <m:sty m:val="p"/>
            </m:rPr>
            <m:t>quantum geometry</m:t>
          </m:r>
          <m:r>
            <m:t> </m:t>
          </m:r>
          <m:r>
            <m:rPr>
              <m:sty m:val="p"/>
            </m:rPr>
            <m:t>→</m:t>
          </m:r>
          <m:r>
            <m:t> </m:t>
          </m:r>
          <m:r>
            <m:rPr>
              <m:nor/>
              <m:sty m:val="p"/>
            </m:rPr>
            <m:t>Lorentzian spacetime geometry</m:t>
          </m:r>
          <m:r>
            <m:t> </m:t>
          </m:r>
          <m:r>
            <m:rPr>
              <m:sty m:val="p"/>
            </m:rPr>
            <m:t>→</m:t>
          </m:r>
          <m:r>
            <m:t> </m:t>
          </m:r>
          <m:r>
            <m:rPr>
              <m:nor/>
              <m:sty m:val="p"/>
            </m:rPr>
            <m:t>Einstein gravity</m:t>
          </m:r>
          <m:r>
            <m:rPr>
              <m:sty m:val="p"/>
            </m:rPr>
            <m:t>.</m:t>
          </m:r>
        </m:oMath>
      </m:oMathPara>
    </w:p>
    <w:p>
      <w:pPr>
        <w:pStyle w:val="FirstParagraph"/>
      </w:pPr>
      <w:r>
        <w:t xml:space="preserve">In standard information geometry, the “distance” between nearby probability distributions is measured by the Fisher–Rao metric, and the mismatch between two full probability models is measured by divergences such as the Kullback–Leibler divergence. In quantum theory, the analogous geometry for pure states is the Fubini–Study metric, and for mixed states one uses quantum Fisher/Bures-type structures and quantum relative entropy. Letter III proposes that these are not just useful statistical tools but the deep pre-geometric objects from which physical spacetime is constructed. That is a bold and nonstandard claim, and it is important to treat it as a</w:t>
      </w:r>
      <w:r>
        <w:t xml:space="preserve"> </w:t>
      </w:r>
      <w:r>
        <w:rPr>
          <w:b/>
          <w:bCs/>
        </w:rPr>
        <w:t xml:space="preserve">theory proposal</w:t>
      </w:r>
      <w:r>
        <w:t xml:space="preserve"> </w:t>
      </w:r>
      <w:r>
        <w:t xml:space="preserve">rather than a settled textbook theorem.</w:t>
      </w:r>
      <w:r>
        <w:t xml:space="preserve"> </w:t>
      </w:r>
      <w:hyperlink r:id="rId21">
        <w:r>
          <w:rPr>
            <w:rStyle w:val="Hyperlink"/>
          </w:rPr>
          <w:t xml:space="preserve">[2]</w:t>
        </w:r>
      </w:hyperlink>
      <w:r>
        <w:t xml:space="preserve"> </w:t>
      </w:r>
      <w:r>
        <w:t xml:space="preserve">fileciteturn0file0</w:t>
      </w:r>
    </w:p>
    <w:p>
      <w:pPr>
        <w:pStyle w:val="BodyText"/>
      </w:pPr>
      <w:r>
        <w:t xml:space="preserve">For a first-year high school student, the simplest intuitive picture is this. Imagine that reality is not built from “solid little things” first, but from patterns of distinguishability: what can be told apart from what, how strongly, and with what cost in entropy. If those patterns are very smooth, they look like a curved geometric space. If one direction in that geometry is singled out by entropy flow, that direction can behave like</w:t>
      </w:r>
      <w:r>
        <w:t xml:space="preserve"> </w:t>
      </w:r>
      <w:r>
        <w:rPr>
          <w:b/>
          <w:bCs/>
        </w:rPr>
        <w:t xml:space="preserve">time</w:t>
      </w:r>
      <w:r>
        <w:t xml:space="preserve">. If concentrated information clusters move and interact inside that emergent geometry, they can appear to us as</w:t>
      </w:r>
      <w:r>
        <w:t xml:space="preserve"> </w:t>
      </w:r>
      <w:r>
        <w:rPr>
          <w:b/>
          <w:bCs/>
        </w:rPr>
        <w:t xml:space="preserve">matter, radiation, pressure, and stress</w:t>
      </w:r>
      <w:r>
        <w:t xml:space="preserve">. That is the central intuition behind ToE.</w:t>
      </w:r>
      <w:r>
        <w:t xml:space="preserve"> </w:t>
      </w:r>
      <w:hyperlink r:id="rId22">
        <w:r>
          <w:rPr>
            <w:rStyle w:val="Hyperlink"/>
          </w:rPr>
          <w:t xml:space="preserve">[3]</w:t>
        </w:r>
      </w:hyperlink>
      <w:r>
        <w:t xml:space="preserve"> </w:t>
      </w:r>
      <w:r>
        <w:t xml:space="preserve">fileciteturn0file0</w:t>
      </w:r>
    </w:p>
    <w:bookmarkEnd w:id="23"/>
    <w:bookmarkStart w:id="27" w:name="the-geometry-words-you-need-first"/>
    <w:p>
      <w:pPr>
        <w:pStyle w:val="Heading2"/>
      </w:pPr>
      <w:r>
        <w:t xml:space="preserve">The geometry words you need first</w:t>
      </w:r>
    </w:p>
    <w:p>
      <w:pPr>
        <w:pStyle w:val="FirstParagraph"/>
      </w:pPr>
      <w:r>
        <w:t xml:space="preserve">A</w:t>
      </w:r>
      <w:r>
        <w:t xml:space="preserve"> </w:t>
      </w:r>
      <w:r>
        <w:rPr>
          <w:b/>
          <w:bCs/>
        </w:rPr>
        <w:t xml:space="preserve">manifold</w:t>
      </w:r>
      <w:r>
        <w:t xml:space="preserve"> </w:t>
      </w:r>
      <w:r>
        <w:t xml:space="preserve">is a space that may be curved globally but looks flat up close. The surface of Earth is the classic example: from far away it is round, but from where you stand it looks almost like a flat sheet. In math, a manifold is the natural stage on which calculus can be done. A</w:t>
      </w:r>
      <w:r>
        <w:t xml:space="preserve"> </w:t>
      </w:r>
      <w:r>
        <w:rPr>
          <w:b/>
          <w:bCs/>
        </w:rPr>
        <w:t xml:space="preserve">tangent space</w:t>
      </w:r>
      <w:r>
        <w:t xml:space="preserve"> </w:t>
      </w:r>
      <m:oMath>
        <m:sSub>
          <m:e>
            <m:r>
              <m:t>T</m:t>
            </m:r>
          </m:e>
          <m:sub>
            <m:r>
              <m:t>p</m:t>
            </m:r>
          </m:sub>
        </m:sSub>
        <m:r>
          <m:t>M</m:t>
        </m:r>
      </m:oMath>
      <w:r>
        <w:t xml:space="preserve"> </w:t>
      </w:r>
      <w:r>
        <w:t xml:space="preserve">at a point</w:t>
      </w:r>
      <w:r>
        <w:t xml:space="preserve"> </w:t>
      </w:r>
      <m:oMath>
        <m:r>
          <m:t>p</m:t>
        </m:r>
      </m:oMath>
      <w:r>
        <w:t xml:space="preserve"> </w:t>
      </w:r>
      <w:r>
        <w:t xml:space="preserve">is the set of all possible tiny directions you could move from</w:t>
      </w:r>
      <w:r>
        <w:t xml:space="preserve"> </w:t>
      </w:r>
      <m:oMath>
        <m:r>
          <m:t>p</m:t>
        </m:r>
      </m:oMath>
      <w:r>
        <w:t xml:space="preserve">. A</w:t>
      </w:r>
      <w:r>
        <w:t xml:space="preserve"> </w:t>
      </w:r>
      <w:r>
        <w:rPr>
          <w:b/>
          <w:bCs/>
        </w:rPr>
        <w:t xml:space="preserve">cotangent space</w:t>
      </w:r>
      <w:r>
        <w:t xml:space="preserve"> </w:t>
      </w:r>
      <m:oMath>
        <m:sSubSup>
          <m:e>
            <m:r>
              <m:t>T</m:t>
            </m:r>
          </m:e>
          <m:sub>
            <m:r>
              <m:t>p</m:t>
            </m:r>
          </m:sub>
          <m:sup>
            <m:r>
              <m:rPr>
                <m:sty m:val="p"/>
              </m:rPr>
              <m:t>*</m:t>
            </m:r>
          </m:sup>
        </m:sSubSup>
        <m:r>
          <m:t>M</m:t>
        </m:r>
      </m:oMath>
      <w:r>
        <w:t xml:space="preserve"> </w:t>
      </w:r>
      <w:r>
        <w:t xml:space="preserve">is the dual space: it consists of all linear measuring rules that take one tangent direction and return one number. If a vector is an arrow, a covector is a ruler. The total collection of all tangent spaces is the</w:t>
      </w:r>
      <w:r>
        <w:t xml:space="preserve"> </w:t>
      </w:r>
      <w:r>
        <w:rPr>
          <w:b/>
          <w:bCs/>
        </w:rPr>
        <w:t xml:space="preserve">tangent bundle</w:t>
      </w:r>
      <w:r>
        <w:t xml:space="preserve"> </w:t>
      </w:r>
      <m:oMath>
        <m:r>
          <m:t>T</m:t>
        </m:r>
        <m:r>
          <m:t>M</m:t>
        </m:r>
      </m:oMath>
      <w:r>
        <w:t xml:space="preserve">, and the total collection of all cotangent spaces is the</w:t>
      </w:r>
      <w:r>
        <w:t xml:space="preserve"> </w:t>
      </w:r>
      <w:r>
        <w:rPr>
          <w:b/>
          <w:bCs/>
        </w:rPr>
        <w:t xml:space="preserve">cotangent bundle</w:t>
      </w:r>
      <w:r>
        <w:t xml:space="preserve"> </w:t>
      </w:r>
      <m:oMath>
        <m:sSup>
          <m:e>
            <m:r>
              <m:t>T</m:t>
            </m:r>
          </m:e>
          <m:sup>
            <m:r>
              <m:rPr>
                <m:sty m:val="p"/>
              </m:rPr>
              <m:t>*</m:t>
            </m:r>
          </m:sup>
        </m:sSup>
        <m:r>
          <m:t>M</m:t>
        </m:r>
      </m:oMath>
      <w:r>
        <w:t xml:space="preserve">. These are examples of</w:t>
      </w:r>
      <w:r>
        <w:t xml:space="preserve"> </w:t>
      </w:r>
      <w:r>
        <w:rPr>
          <w:b/>
          <w:bCs/>
        </w:rPr>
        <w:t xml:space="preserve">vector bundles</w:t>
      </w:r>
      <w:r>
        <w:t xml:space="preserve">, and bundles more generally are spaces that locally look like “base space</w:t>
      </w:r>
      <w:r>
        <w:t xml:space="preserve"> </w:t>
      </w:r>
      <m:oMath>
        <m:r>
          <m:rPr>
            <m:sty m:val="p"/>
          </m:rPr>
          <m:t>×</m:t>
        </m:r>
      </m:oMath>
      <w:r>
        <w:t xml:space="preserve"> </w:t>
      </w:r>
      <w:r>
        <w:t xml:space="preserve">fiber.”</w:t>
      </w:r>
      <w:r>
        <w:t xml:space="preserve"> </w:t>
      </w:r>
      <w:hyperlink r:id="rId24">
        <w:r>
          <w:rPr>
            <w:rStyle w:val="Hyperlink"/>
          </w:rPr>
          <w:t xml:space="preserve">[4]</w:t>
        </w:r>
      </w:hyperlink>
    </w:p>
    <w:p>
      <w:pPr>
        <w:pStyle w:val="BodyText"/>
      </w:pPr>
      <w:r>
        <w:t xml:space="preserve">You can write those bundles schematically as</w:t>
      </w:r>
    </w:p>
    <w:p>
      <w:pPr>
        <w:pStyle w:val="BodyText"/>
      </w:pPr>
      <m:oMathPara>
        <m:oMathParaPr>
          <m:jc m:val="center"/>
        </m:oMathParaPr>
        <m:oMath>
          <m:r>
            <m:t>T</m:t>
          </m:r>
          <m:r>
            <m:t>M</m:t>
          </m:r>
          <m:r>
            <m:rPr>
              <m:sty m:val="p"/>
            </m:rPr>
            <m:t>=</m:t>
          </m:r>
          <m:limLow>
            <m:e>
              <m:r>
                <m:rPr>
                  <m:sty m:val="p"/>
                </m:rPr>
                <m:t>⨆</m:t>
              </m:r>
            </m:e>
            <m:lim>
              <m:r>
                <m:t>p</m:t>
              </m:r>
              <m:r>
                <m:rPr>
                  <m:sty m:val="p"/>
                </m:rPr>
                <m:t>∈</m:t>
              </m:r>
              <m:r>
                <m:t>M</m:t>
              </m:r>
            </m:lim>
          </m:limLow>
          <m:sSub>
            <m:e>
              <m:r>
                <m:t>T</m:t>
              </m:r>
            </m:e>
            <m:sub>
              <m:r>
                <m:t>p</m:t>
              </m:r>
            </m:sub>
          </m:sSub>
          <m:r>
            <m:t>M</m:t>
          </m:r>
          <m:r>
            <m:rPr>
              <m:sty m:val="p"/>
            </m:rPr>
            <m:t>,</m:t>
          </m:r>
          <m:r>
            <m:t>  </m:t>
          </m:r>
          <m:sSup>
            <m:e>
              <m:r>
                <m:t>T</m:t>
              </m:r>
            </m:e>
            <m:sup>
              <m:r>
                <m:rPr>
                  <m:sty m:val="p"/>
                </m:rPr>
                <m:t>*</m:t>
              </m:r>
            </m:sup>
          </m:sSup>
          <m:r>
            <m:t>M</m:t>
          </m:r>
          <m:r>
            <m:rPr>
              <m:sty m:val="p"/>
            </m:rPr>
            <m:t>=</m:t>
          </m:r>
          <m:limLow>
            <m:e>
              <m:r>
                <m:rPr>
                  <m:sty m:val="p"/>
                </m:rPr>
                <m:t>⨆</m:t>
              </m:r>
            </m:e>
            <m:lim>
              <m:r>
                <m:t>p</m:t>
              </m:r>
              <m:r>
                <m:rPr>
                  <m:sty m:val="p"/>
                </m:rPr>
                <m:t>∈</m:t>
              </m:r>
              <m:r>
                <m:t>M</m:t>
              </m:r>
            </m:lim>
          </m:limLow>
          <m:sSubSup>
            <m:e>
              <m:r>
                <m:t>T</m:t>
              </m:r>
            </m:e>
            <m:sub>
              <m:r>
                <m:t>p</m:t>
              </m:r>
            </m:sub>
            <m:sup>
              <m:r>
                <m:rPr>
                  <m:sty m:val="p"/>
                </m:rPr>
                <m:t>*</m:t>
              </m:r>
            </m:sup>
          </m:sSubSup>
          <m:r>
            <m:t>M</m:t>
          </m:r>
          <m:r>
            <m:rPr>
              <m:sty m:val="p"/>
            </m:rPr>
            <m:t>.</m:t>
          </m:r>
        </m:oMath>
      </m:oMathPara>
    </w:p>
    <w:p>
      <w:pPr>
        <w:pStyle w:val="FirstParagraph"/>
      </w:pPr>
      <w:r>
        <w:t xml:space="preserve">The symbol</w:t>
      </w:r>
      <w:r>
        <w:t xml:space="preserve"> </w:t>
      </w:r>
      <m:oMath>
        <m:r>
          <m:rPr>
            <m:sty m:val="p"/>
          </m:rPr>
          <m:t>⨆</m:t>
        </m:r>
      </m:oMath>
      <w:r>
        <w:t xml:space="preserve"> </w:t>
      </w:r>
      <w:r>
        <w:t xml:space="preserve">means “put all of them together, but keep track of which point they belong to.” A</w:t>
      </w:r>
      <w:r>
        <w:t xml:space="preserve"> </w:t>
      </w:r>
      <w:r>
        <w:rPr>
          <w:b/>
          <w:bCs/>
        </w:rPr>
        <w:t xml:space="preserve">fiber</w:t>
      </w:r>
      <w:r>
        <w:t xml:space="preserve"> </w:t>
      </w:r>
      <w:r>
        <w:t xml:space="preserve">is the little space sitting above each point. For the tangent bundle, the fiber above</w:t>
      </w:r>
      <w:r>
        <w:t xml:space="preserve"> </w:t>
      </w:r>
      <m:oMath>
        <m:r>
          <m:t>p</m:t>
        </m:r>
      </m:oMath>
      <w:r>
        <w:t xml:space="preserve"> </w:t>
      </w:r>
      <w:r>
        <w:t xml:space="preserve">is</w:t>
      </w:r>
      <w:r>
        <w:t xml:space="preserve"> </w:t>
      </w:r>
      <m:oMath>
        <m:sSub>
          <m:e>
            <m:r>
              <m:t>T</m:t>
            </m:r>
          </m:e>
          <m:sub>
            <m:r>
              <m:t>p</m:t>
            </m:r>
          </m:sub>
        </m:sSub>
        <m:r>
          <m:t>M</m:t>
        </m:r>
      </m:oMath>
      <w:r>
        <w:t xml:space="preserve">. For ToE, this “fiber picture” matters because Letter III wants ordinary spacetime to be the visible</w:t>
      </w:r>
      <w:r>
        <w:t xml:space="preserve"> </w:t>
      </w:r>
      <w:r>
        <w:rPr>
          <w:b/>
          <w:bCs/>
        </w:rPr>
        <w:t xml:space="preserve">base</w:t>
      </w:r>
      <w:r>
        <w:t xml:space="preserve">, while hidden information or entropic microstructure can live in additional fibers that later get coarse-grained away.</w:t>
      </w:r>
      <w:r>
        <w:t xml:space="preserve"> </w:t>
      </w:r>
      <w:hyperlink r:id="rId24">
        <w:r>
          <w:rPr>
            <w:rStyle w:val="Hyperlink"/>
          </w:rPr>
          <w:t xml:space="preserve">[5]</w:t>
        </w:r>
      </w:hyperlink>
      <w:r>
        <w:t xml:space="preserve"> </w:t>
      </w:r>
      <w:r>
        <w:t xml:space="preserve">fileciteturn0file0</w:t>
      </w:r>
    </w:p>
    <w:p>
      <w:pPr>
        <w:pStyle w:val="BodyText"/>
      </w:pPr>
      <w:r>
        <w:t xml:space="preserve">A</w:t>
      </w:r>
      <w:r>
        <w:t xml:space="preserve"> </w:t>
      </w:r>
      <w:r>
        <w:rPr>
          <w:b/>
          <w:bCs/>
        </w:rPr>
        <w:t xml:space="preserve">scalar</w:t>
      </w:r>
      <w:r>
        <w:t xml:space="preserve"> </w:t>
      </w:r>
      <w:r>
        <w:t xml:space="preserve">is just one number at each point, like temperature</w:t>
      </w:r>
      <w:r>
        <w:t xml:space="preserve"> </w:t>
      </w:r>
      <m:oMath>
        <m:r>
          <m:t>T</m:t>
        </m:r>
        <m:d>
          <m:dPr>
            <m:begChr m:val="("/>
            <m:sepChr m:val=""/>
            <m:endChr m:val=")"/>
            <m:grow/>
          </m:dPr>
          <m:e>
            <m:r>
              <m:t>x</m:t>
            </m:r>
          </m:e>
        </m:d>
      </m:oMath>
      <w:r>
        <w:t xml:space="preserve"> </w:t>
      </w:r>
      <w:r>
        <w:t xml:space="preserve">or entropy density</w:t>
      </w:r>
      <w:r>
        <w:t xml:space="preserve"> </w:t>
      </w:r>
      <m:oMath>
        <m:r>
          <m:t>S</m:t>
        </m:r>
        <m:d>
          <m:dPr>
            <m:begChr m:val="("/>
            <m:sepChr m:val=""/>
            <m:endChr m:val=")"/>
            <m:grow/>
          </m:dPr>
          <m:e>
            <m:r>
              <m:t>x</m:t>
            </m:r>
          </m:e>
        </m:d>
      </m:oMath>
      <w:r>
        <w:t xml:space="preserve">. A</w:t>
      </w:r>
      <w:r>
        <w:t xml:space="preserve"> </w:t>
      </w:r>
      <w:r>
        <w:rPr>
          <w:b/>
          <w:bCs/>
        </w:rPr>
        <w:t xml:space="preserve">vector</w:t>
      </w:r>
      <w:r>
        <w:t xml:space="preserve"> </w:t>
      </w:r>
      <w:r>
        <w:t xml:space="preserve">is a directional quantity, like a velocity field</w:t>
      </w:r>
      <w:r>
        <w:t xml:space="preserve"> </w:t>
      </w:r>
      <m:oMath>
        <m:sSup>
          <m:e>
            <m:r>
              <m:t>v</m:t>
            </m:r>
          </m:e>
          <m:sup>
            <m:r>
              <m:t>μ</m:t>
            </m:r>
          </m:sup>
        </m:sSup>
        <m:d>
          <m:dPr>
            <m:begChr m:val="("/>
            <m:sepChr m:val=""/>
            <m:endChr m:val=")"/>
            <m:grow/>
          </m:dPr>
          <m:e>
            <m:r>
              <m:t>x</m:t>
            </m:r>
          </m:e>
        </m:d>
      </m:oMath>
      <w:r>
        <w:t xml:space="preserve">. A</w:t>
      </w:r>
      <w:r>
        <w:t xml:space="preserve"> </w:t>
      </w:r>
      <w:r>
        <w:rPr>
          <w:b/>
          <w:bCs/>
        </w:rPr>
        <w:t xml:space="preserve">covector</w:t>
      </w:r>
      <w:r>
        <w:t xml:space="preserve"> </w:t>
      </w:r>
      <w:r>
        <w:t xml:space="preserve">or</w:t>
      </w:r>
      <w:r>
        <w:t xml:space="preserve"> </w:t>
      </w:r>
      <w:r>
        <w:rPr>
          <w:b/>
          <w:bCs/>
        </w:rPr>
        <w:t xml:space="preserve">one-form</w:t>
      </w:r>
      <w:r>
        <w:t xml:space="preserve"> </w:t>
      </w:r>
      <w:r>
        <w:t xml:space="preserve">is something like</w:t>
      </w:r>
      <w:r>
        <w:t xml:space="preserve"> </w:t>
      </w:r>
      <m:oMath>
        <m:r>
          <m:t>d</m:t>
        </m:r>
        <m:r>
          <m:t>S</m:t>
        </m:r>
      </m:oMath>
      <w:r>
        <w:t xml:space="preserve">, which tells you how fast entropy changes in each direction. A</w:t>
      </w:r>
      <w:r>
        <w:t xml:space="preserve"> </w:t>
      </w:r>
      <w:r>
        <w:rPr>
          <w:b/>
          <w:bCs/>
        </w:rPr>
        <w:t xml:space="preserve">tensor</w:t>
      </w:r>
      <w:r>
        <w:t xml:space="preserve"> </w:t>
      </w:r>
      <w:r>
        <w:t xml:space="preserve">is a multilinear machine. A rank-2 tensor takes two vectors or covectors and returns a number. Important rank-2 tensors include the metric</w:t>
      </w:r>
      <w:r>
        <w:t xml:space="preserve"> </w:t>
      </w:r>
      <m:oMath>
        <m:sSub>
          <m:e>
            <m:r>
              <m:t>g</m:t>
            </m:r>
          </m:e>
          <m:sub>
            <m:r>
              <m:t>μ</m:t>
            </m:r>
            <m:r>
              <m:t>ν</m:t>
            </m:r>
          </m:sub>
        </m:sSub>
      </m:oMath>
      <w:r>
        <w:t xml:space="preserve">, the covariance matrix in statistics, and the stress–energy tensor</w:t>
      </w:r>
      <w:r>
        <w:t xml:space="preserve"> </w:t>
      </w:r>
      <m:oMath>
        <m:sSub>
          <m:e>
            <m:r>
              <m:t>T</m:t>
            </m:r>
          </m:e>
          <m:sub>
            <m:r>
              <m:t>μ</m:t>
            </m:r>
            <m:r>
              <m:t>ν</m:t>
            </m:r>
          </m:sub>
        </m:sSub>
      </m:oMath>
      <w:r>
        <w:t xml:space="preserve"> </w:t>
      </w:r>
      <w:r>
        <w:t xml:space="preserve">in relativity. If you remember only one thing, remember this:</w:t>
      </w:r>
      <w:r>
        <w:t xml:space="preserve"> </w:t>
      </w:r>
      <w:r>
        <w:rPr>
          <w:b/>
          <w:bCs/>
        </w:rPr>
        <w:t xml:space="preserve">the metric measures</w:t>
      </w:r>
      <w:r>
        <w:t xml:space="preserve">,</w:t>
      </w:r>
      <w:r>
        <w:t xml:space="preserve"> </w:t>
      </w:r>
      <w:r>
        <w:rPr>
          <w:b/>
          <w:bCs/>
        </w:rPr>
        <w:t xml:space="preserve">the connection compares</w:t>
      </w:r>
      <w:r>
        <w:t xml:space="preserve">, and</w:t>
      </w:r>
      <w:r>
        <w:t xml:space="preserve"> </w:t>
      </w:r>
      <w:r>
        <w:rPr>
          <w:b/>
          <w:bCs/>
        </w:rPr>
        <w:t xml:space="preserve">the curvature tells you whether going around a loop changes things</w:t>
      </w:r>
      <w:r>
        <w:t xml:space="preserve">.</w:t>
      </w:r>
      <w:r>
        <w:t xml:space="preserve"> </w:t>
      </w:r>
      <w:hyperlink r:id="rId25">
        <w:r>
          <w:rPr>
            <w:rStyle w:val="Hyperlink"/>
          </w:rPr>
          <w:t xml:space="preserve">[6]</w:t>
        </w:r>
      </w:hyperlink>
    </w:p>
    <w:p>
      <w:pPr>
        <w:pStyle w:val="BodyText"/>
      </w:pPr>
      <w:r>
        <w:t xml:space="preserve">The</w:t>
      </w:r>
      <w:r>
        <w:t xml:space="preserve"> </w:t>
      </w:r>
      <w:r>
        <w:rPr>
          <w:b/>
          <w:bCs/>
        </w:rPr>
        <w:t xml:space="preserve">gradient</w:t>
      </w:r>
      <w:r>
        <w:t xml:space="preserve"> </w:t>
      </w:r>
      <w:r>
        <w:t xml:space="preserve">needs one careful remark because students often meet it in two slightly different disguises. The most primitive object is the differential</w:t>
      </w:r>
    </w:p>
    <w:p>
      <w:pPr>
        <w:pStyle w:val="BodyText"/>
      </w:pPr>
      <m:oMathPara>
        <m:oMathParaPr>
          <m:jc m:val="center"/>
        </m:oMathParaPr>
        <m:oMath>
          <m:r>
            <m:t>d</m:t>
          </m:r>
          <m:r>
            <m:t>S</m:t>
          </m:r>
          <m:r>
            <m:rPr>
              <m:sty m:val="p"/>
            </m:rPr>
            <m:t>=</m:t>
          </m:r>
          <m:sSub>
            <m:e>
              <m:r>
                <m:rPr>
                  <m:sty m:val="p"/>
                </m:rPr>
                <m:t>∂</m:t>
              </m:r>
            </m:e>
            <m:sub>
              <m:r>
                <m:t>μ</m:t>
              </m:r>
            </m:sub>
          </m:sSub>
          <m:r>
            <m:t>S</m:t>
          </m:r>
          <m:r>
            <m:t> </m:t>
          </m:r>
          <m:r>
            <m:t>d</m:t>
          </m:r>
          <m:sSup>
            <m:e>
              <m:r>
                <m:t>x</m:t>
              </m:r>
            </m:e>
            <m:sup>
              <m:r>
                <m:t>μ</m:t>
              </m:r>
            </m:sup>
          </m:sSup>
          <m:r>
            <m:rPr>
              <m:sty m:val="p"/>
            </m:rPr>
            <m:t>,</m:t>
          </m:r>
        </m:oMath>
      </m:oMathPara>
    </w:p>
    <w:p>
      <w:pPr>
        <w:pStyle w:val="FirstParagraph"/>
      </w:pPr>
      <w:r>
        <w:t xml:space="preserve">which is a covector. Once a metric exists, you can raise the index and turn it into a vector:</w:t>
      </w:r>
    </w:p>
    <w:p>
      <w:pPr>
        <w:pStyle w:val="BodyText"/>
      </w:pPr>
      <m:oMathPara>
        <m:oMathParaPr>
          <m:jc m:val="center"/>
        </m:oMathParaPr>
        <m:oMath>
          <m:sSup>
            <m:e>
              <m:d>
                <m:dPr>
                  <m:begChr m:val="("/>
                  <m:sepChr m:val=""/>
                  <m:endChr m:val=")"/>
                  <m:grow/>
                </m:dPr>
                <m:e>
                  <m:r>
                    <m:rPr>
                      <m:sty m:val="p"/>
                    </m:rPr>
                    <m:t>∇</m:t>
                  </m:r>
                  <m:r>
                    <m:t>S</m:t>
                  </m:r>
                </m:e>
              </m:d>
            </m:e>
            <m:sup>
              <m:r>
                <m:t>μ</m:t>
              </m:r>
            </m:sup>
          </m:sSup>
          <m:r>
            <m:rPr>
              <m:sty m:val="p"/>
            </m:rPr>
            <m:t>=</m:t>
          </m:r>
          <m:sSup>
            <m:e>
              <m:r>
                <m:t>g</m:t>
              </m:r>
            </m:e>
            <m:sup>
              <m:r>
                <m:t>μ</m:t>
              </m:r>
              <m:r>
                <m:t>ν</m:t>
              </m:r>
            </m:sup>
          </m:sSup>
          <m:sSub>
            <m:e>
              <m:r>
                <m:rPr>
                  <m:sty m:val="p"/>
                </m:rPr>
                <m:t>∂</m:t>
              </m:r>
            </m:e>
            <m:sub>
              <m:r>
                <m:t>ν</m:t>
              </m:r>
            </m:sub>
          </m:sSub>
          <m:r>
            <m:t>S</m:t>
          </m:r>
          <m:r>
            <m:rPr>
              <m:sty m:val="p"/>
            </m:rPr>
            <m:t>.</m:t>
          </m:r>
        </m:oMath>
      </m:oMathPara>
    </w:p>
    <w:p>
      <w:pPr>
        <w:pStyle w:val="FirstParagraph"/>
      </w:pPr>
      <w:r>
        <w:t xml:space="preserve">So in curved geometry, “the gradient” is first a covector and only becomes a vector after the metric is used. This matters in Letter III because the Obidi transformation uses an entropy-gradient direction to build a timelike axis.</w:t>
      </w:r>
      <w:r>
        <w:t xml:space="preserve"> </w:t>
      </w:r>
      <w:hyperlink r:id="rId25">
        <w:r>
          <w:rPr>
            <w:rStyle w:val="Hyperlink"/>
          </w:rPr>
          <w:t xml:space="preserve">[7]</w:t>
        </w:r>
      </w:hyperlink>
      <w:r>
        <w:t xml:space="preserve"> </w:t>
      </w:r>
      <w:r>
        <w:t xml:space="preserve">fileciteturn0file0</w:t>
      </w:r>
    </w:p>
    <w:p>
      <w:pPr>
        <w:pStyle w:val="BodyText"/>
      </w:pPr>
      <w:r>
        <w:t xml:space="preserve">A</w:t>
      </w:r>
      <w:r>
        <w:t xml:space="preserve"> </w:t>
      </w:r>
      <w:r>
        <w:rPr>
          <w:b/>
          <w:bCs/>
        </w:rPr>
        <w:t xml:space="preserve">pullback</w:t>
      </w:r>
      <w:r>
        <w:t xml:space="preserve"> </w:t>
      </w:r>
      <w:r>
        <w:t xml:space="preserve">and a</w:t>
      </w:r>
      <w:r>
        <w:t xml:space="preserve"> </w:t>
      </w:r>
      <w:r>
        <w:rPr>
          <w:b/>
          <w:bCs/>
        </w:rPr>
        <w:t xml:space="preserve">pushforward</w:t>
      </w:r>
      <w:r>
        <w:t xml:space="preserve"> </w:t>
      </w:r>
      <w:r>
        <w:t xml:space="preserve">tell you how geometry moves along a map. If</w:t>
      </w:r>
      <w:r>
        <w:t xml:space="preserve"> </w:t>
      </w:r>
      <m:oMath>
        <m:r>
          <m:t>ϕ</m:t>
        </m:r>
        <m:r>
          <m:rPr>
            <m:sty m:val="p"/>
          </m:rPr>
          <m:t>:</m:t>
        </m:r>
        <m:r>
          <m:t>M</m:t>
        </m:r>
        <m:r>
          <m:rPr>
            <m:sty m:val="p"/>
          </m:rPr>
          <m:t>→</m:t>
        </m:r>
        <m:r>
          <m:t>N</m:t>
        </m:r>
      </m:oMath>
      <w:r>
        <w:t xml:space="preserve"> </w:t>
      </w:r>
      <w:r>
        <w:t xml:space="preserve">is a smooth map, then the pushforward</w:t>
      </w:r>
      <w:r>
        <w:t xml:space="preserve"> </w:t>
      </w:r>
      <m:oMath>
        <m:r>
          <m:t>d</m:t>
        </m:r>
        <m:sSub>
          <m:e>
            <m:r>
              <m:t>ϕ</m:t>
            </m:r>
          </m:e>
          <m:sub>
            <m:r>
              <m:t>x</m:t>
            </m:r>
          </m:sub>
        </m:sSub>
        <m:r>
          <m:rPr>
            <m:sty m:val="p"/>
          </m:rPr>
          <m:t>:</m:t>
        </m:r>
        <m:sSub>
          <m:e>
            <m:r>
              <m:t>T</m:t>
            </m:r>
          </m:e>
          <m:sub>
            <m:r>
              <m:t>x</m:t>
            </m:r>
          </m:sub>
        </m:sSub>
        <m:r>
          <m:t>M</m:t>
        </m:r>
        <m:r>
          <m:rPr>
            <m:sty m:val="p"/>
          </m:rPr>
          <m:t>→</m:t>
        </m:r>
        <m:sSub>
          <m:e>
            <m:r>
              <m:t>T</m:t>
            </m:r>
          </m:e>
          <m:sub>
            <m:r>
              <m:t>ϕ</m:t>
            </m:r>
            <m:d>
              <m:dPr>
                <m:begChr m:val="("/>
                <m:sepChr m:val=""/>
                <m:endChr m:val=")"/>
                <m:grow/>
              </m:dPr>
              <m:e>
                <m:r>
                  <m:t>x</m:t>
                </m:r>
              </m:e>
            </m:d>
          </m:sub>
        </m:sSub>
        <m:r>
          <m:t>N</m:t>
        </m:r>
      </m:oMath>
      <w:r>
        <w:t xml:space="preserve"> </w:t>
      </w:r>
      <w:r>
        <w:t xml:space="preserve">sends arrows on</w:t>
      </w:r>
      <w:r>
        <w:t xml:space="preserve"> </w:t>
      </w:r>
      <m:oMath>
        <m:r>
          <m:t>M</m:t>
        </m:r>
      </m:oMath>
      <w:r>
        <w:t xml:space="preserve"> </w:t>
      </w:r>
      <w:r>
        <w:t xml:space="preserve">to arrows on</w:t>
      </w:r>
      <w:r>
        <w:t xml:space="preserve"> </w:t>
      </w:r>
      <m:oMath>
        <m:r>
          <m:t>N</m:t>
        </m:r>
      </m:oMath>
      <w:r>
        <w:t xml:space="preserve">. The pullback does the opposite kind of job for covectors and tensors. If</w:t>
      </w:r>
      <w:r>
        <w:t xml:space="preserve"> </w:t>
      </w:r>
      <m:oMath>
        <m:sSub>
          <m:e>
            <m:r>
              <m:t>H</m:t>
            </m:r>
          </m:e>
          <m:sub>
            <m:r>
              <m:t>A</m:t>
            </m:r>
            <m:r>
              <m:t>B</m:t>
            </m:r>
          </m:sub>
        </m:sSub>
      </m:oMath>
      <w:r>
        <w:t xml:space="preserve"> </w:t>
      </w:r>
      <w:r>
        <w:t xml:space="preserve">is a metric on an “information manifold”</w:t>
      </w:r>
      <w:r>
        <w:t xml:space="preserve"> </w:t>
      </w:r>
      <m:oMath>
        <m:r>
          <m:rPr>
            <m:sty m:val="p"/>
            <m:scr m:val="script"/>
          </m:rPr>
          <m:t>I</m:t>
        </m:r>
      </m:oMath>
      <w:r>
        <w:t xml:space="preserve">, then an emergent spacetime metric on</w:t>
      </w:r>
      <w:r>
        <w:t xml:space="preserve"> </w:t>
      </w:r>
      <m:oMath>
        <m:r>
          <m:t>M</m:t>
        </m:r>
      </m:oMath>
      <w:r>
        <w:t xml:space="preserve"> </w:t>
      </w:r>
      <w:r>
        <w:t xml:space="preserve">can be written as a pullback:</w:t>
      </w:r>
    </w:p>
    <w:p>
      <w:pPr>
        <w:pStyle w:val="BodyText"/>
      </w:pPr>
      <m:oMathPara>
        <m:oMathParaPr>
          <m:jc m:val="center"/>
        </m:oMathParaPr>
        <m:oMath>
          <m:sSub>
            <m:e>
              <m:r>
                <m:t>g</m:t>
              </m:r>
            </m:e>
            <m:sub>
              <m:r>
                <m:t>μ</m:t>
              </m:r>
              <m:r>
                <m:t>ν</m:t>
              </m:r>
            </m:sub>
          </m:sSub>
          <m:d>
            <m:dPr>
              <m:begChr m:val="("/>
              <m:sepChr m:val=""/>
              <m:endChr m:val=")"/>
              <m:grow/>
            </m:dPr>
            <m:e>
              <m:r>
                <m:t>x</m:t>
              </m:r>
            </m:e>
          </m:d>
          <m:r>
            <m:rPr>
              <m:sty m:val="p"/>
            </m:rPr>
            <m:t>=</m:t>
          </m:r>
          <m:sSub>
            <m:e>
              <m:r>
                <m:rPr>
                  <m:sty m:val="p"/>
                </m:rPr>
                <m:t>∂</m:t>
              </m:r>
            </m:e>
            <m:sub>
              <m:r>
                <m:t>μ</m:t>
              </m:r>
            </m:sub>
          </m:sSub>
          <m:sSup>
            <m:e>
              <m:r>
                <m:t>ϕ</m:t>
              </m:r>
            </m:e>
            <m:sup>
              <m:r>
                <m:t>A</m:t>
              </m:r>
            </m:sup>
          </m:sSup>
          <m:d>
            <m:dPr>
              <m:begChr m:val="("/>
              <m:sepChr m:val=""/>
              <m:endChr m:val=")"/>
              <m:grow/>
            </m:dPr>
            <m:e>
              <m:r>
                <m:t>x</m:t>
              </m:r>
            </m:e>
          </m:d>
          <m:r>
            <m:t> </m:t>
          </m:r>
          <m:sSub>
            <m:e>
              <m:r>
                <m:rPr>
                  <m:sty m:val="p"/>
                </m:rPr>
                <m:t>∂</m:t>
              </m:r>
            </m:e>
            <m:sub>
              <m:r>
                <m:t>ν</m:t>
              </m:r>
            </m:sub>
          </m:sSub>
          <m:sSup>
            <m:e>
              <m:r>
                <m:t>ϕ</m:t>
              </m:r>
            </m:e>
            <m:sup>
              <m:r>
                <m:t>B</m:t>
              </m:r>
            </m:sup>
          </m:sSup>
          <m:d>
            <m:dPr>
              <m:begChr m:val="("/>
              <m:sepChr m:val=""/>
              <m:endChr m:val=")"/>
              <m:grow/>
            </m:dPr>
            <m:e>
              <m:r>
                <m:t>x</m:t>
              </m:r>
            </m:e>
          </m:d>
          <m:r>
            <m:t> </m:t>
          </m:r>
          <m:sSub>
            <m:e>
              <m:r>
                <m:t>H</m:t>
              </m:r>
            </m:e>
            <m:sub>
              <m:r>
                <m:t>A</m:t>
              </m:r>
              <m:r>
                <m:t>B</m:t>
              </m:r>
            </m:sub>
          </m:sSub>
          <m:d>
            <m:dPr>
              <m:begChr m:val="("/>
              <m:sepChr m:val=""/>
              <m:endChr m:val=")"/>
              <m:grow/>
            </m:dPr>
            <m:e>
              <m:r>
                <m:t>ϕ</m:t>
              </m:r>
              <m:d>
                <m:dPr>
                  <m:begChr m:val="("/>
                  <m:sepChr m:val=""/>
                  <m:endChr m:val=")"/>
                  <m:grow/>
                </m:dPr>
                <m:e>
                  <m:r>
                    <m:t>x</m:t>
                  </m:r>
                </m:e>
              </m:d>
            </m:e>
          </m:d>
          <m:r>
            <m:rPr>
              <m:sty m:val="p"/>
            </m:rPr>
            <m:t>.</m:t>
          </m:r>
        </m:oMath>
      </m:oMathPara>
    </w:p>
    <w:p>
      <w:pPr>
        <w:pStyle w:val="FirstParagraph"/>
      </w:pPr>
      <w:r>
        <w:t xml:space="preserve">This one formula captures a huge amount of the spirit of Letter III: spacetime geometry is not primitive, but inherited from a deeper information geometry.</w:t>
      </w:r>
      <w:r>
        <w:t xml:space="preserve"> </w:t>
      </w:r>
      <w:hyperlink r:id="rId25">
        <w:r>
          <w:rPr>
            <w:rStyle w:val="Hyperlink"/>
          </w:rPr>
          <w:t xml:space="preserve">[7]</w:t>
        </w:r>
      </w:hyperlink>
      <w:r>
        <w:t xml:space="preserve"> </w:t>
      </w:r>
      <w:r>
        <w:t xml:space="preserve">fileciteturn0file0</w:t>
      </w:r>
    </w:p>
    <w:p>
      <w:pPr>
        <w:pStyle w:val="BodyText"/>
      </w:pPr>
      <w:r>
        <w:t xml:space="preserve">A</w:t>
      </w:r>
      <w:r>
        <w:t xml:space="preserve"> </w:t>
      </w:r>
      <w:r>
        <w:rPr>
          <w:b/>
          <w:bCs/>
        </w:rPr>
        <w:t xml:space="preserve">fiber integral</w:t>
      </w:r>
      <w:r>
        <w:t xml:space="preserve"> </w:t>
      </w:r>
      <w:r>
        <w:t xml:space="preserve">is the mathematical version of “average over hidden details.” If</w:t>
      </w:r>
      <w:r>
        <w:t xml:space="preserve"> </w:t>
      </w:r>
      <m:oMath>
        <m:r>
          <m:t>π</m:t>
        </m:r>
        <m:r>
          <m:rPr>
            <m:sty m:val="p"/>
          </m:rPr>
          <m:t>:</m:t>
        </m:r>
        <m:r>
          <m:t>E</m:t>
        </m:r>
        <m:r>
          <m:rPr>
            <m:sty m:val="p"/>
          </m:rPr>
          <m:t>→</m:t>
        </m:r>
        <m:r>
          <m:t>B</m:t>
        </m:r>
      </m:oMath>
      <w:r>
        <w:t xml:space="preserve"> </w:t>
      </w:r>
      <w:r>
        <w:t xml:space="preserve">is a bundle and each fiber</w:t>
      </w:r>
      <w:r>
        <w:t xml:space="preserve"> </w:t>
      </w:r>
      <m:oMath>
        <m:sSub>
          <m:e>
            <m:r>
              <m:t>F</m:t>
            </m:r>
          </m:e>
          <m:sub>
            <m:r>
              <m:t>b</m:t>
            </m:r>
          </m:sub>
        </m:sSub>
        <m:r>
          <m:rPr>
            <m:sty m:val="p"/>
          </m:rPr>
          <m:t>=</m:t>
        </m:r>
        <m:sSup>
          <m:e>
            <m:r>
              <m:t>π</m:t>
            </m:r>
          </m:e>
          <m:sup>
            <m:r>
              <m:rPr>
                <m:sty m:val="p"/>
              </m:rPr>
              <m:t>−</m:t>
            </m:r>
            <m:r>
              <m:t>1</m:t>
            </m:r>
          </m:sup>
        </m:sSup>
        <m:d>
          <m:dPr>
            <m:begChr m:val="("/>
            <m:sepChr m:val=""/>
            <m:endChr m:val=")"/>
            <m:grow/>
          </m:dPr>
          <m:e>
            <m:r>
              <m:t>b</m:t>
            </m:r>
          </m:e>
        </m:d>
      </m:oMath>
      <w:r>
        <w:t xml:space="preserve"> </w:t>
      </w:r>
      <w:r>
        <w:t xml:space="preserve">carries hidden variables, then an effective field on the base can be obtained by integrating over the fiber:</w:t>
      </w:r>
    </w:p>
    <w:p>
      <w:pPr>
        <w:pStyle w:val="BodyText"/>
      </w:pPr>
      <m:oMathPara>
        <m:oMathParaPr>
          <m:jc m:val="center"/>
        </m:oMathParaPr>
        <m:oMath>
          <m:sSub>
            <m:e>
              <m:r>
                <m:t>f</m:t>
              </m:r>
            </m:e>
            <m:sub>
              <m:r>
                <m:rPr>
                  <m:sty m:val="p"/>
                </m:rPr>
                <m:t>e</m:t>
              </m:r>
              <m:r>
                <m:rPr>
                  <m:sty m:val="p"/>
                </m:rPr>
                <m:t>f</m:t>
              </m:r>
              <m:r>
                <m:rPr>
                  <m:sty m:val="p"/>
                </m:rPr>
                <m:t>f</m:t>
              </m:r>
            </m:sub>
          </m:sSub>
          <m:d>
            <m:dPr>
              <m:begChr m:val="("/>
              <m:sepChr m:val=""/>
              <m:endChr m:val=")"/>
              <m:grow/>
            </m:dPr>
            <m:e>
              <m:r>
                <m:t>b</m:t>
              </m:r>
            </m:e>
          </m:d>
          <m:r>
            <m:rPr>
              <m:sty m:val="p"/>
            </m:rPr>
            <m:t>=</m:t>
          </m:r>
          <m:nary>
            <m:naryPr>
              <m:chr m:val="∫"/>
              <m:limLoc m:val="subSup"/>
              <m:subHide m:val="off"/>
              <m:supHide m:val="on"/>
            </m:naryPr>
            <m:sub>
              <m:sSub>
                <m:e>
                  <m:r>
                    <m:t>F</m:t>
                  </m:r>
                </m:e>
                <m:sub>
                  <m:r>
                    <m:t>b</m:t>
                  </m:r>
                </m:sub>
              </m:sSub>
            </m:sub>
            <m:sup>
              <m:r>
                <m:t>​</m:t>
              </m:r>
            </m:sup>
            <m:e>
              <m:r>
                <m:t>f</m:t>
              </m:r>
            </m:e>
          </m:nary>
          <m:d>
            <m:dPr>
              <m:begChr m:val="("/>
              <m:sepChr m:val=""/>
              <m:endChr m:val=")"/>
              <m:grow/>
            </m:dPr>
            <m:e>
              <m:r>
                <m:t>b</m:t>
              </m:r>
              <m:r>
                <m:rPr>
                  <m:sty m:val="p"/>
                </m:rPr>
                <m:t>,</m:t>
              </m:r>
              <m:r>
                <m:t>y</m:t>
              </m:r>
            </m:e>
          </m:d>
          <m:r>
            <m:t> </m:t>
          </m:r>
          <m:r>
            <m:t>d</m:t>
          </m:r>
          <m:sSub>
            <m:e>
              <m:r>
                <m:t>μ</m:t>
              </m:r>
            </m:e>
            <m:sub>
              <m:sSub>
                <m:e>
                  <m:r>
                    <m:t>F</m:t>
                  </m:r>
                </m:e>
                <m:sub>
                  <m:r>
                    <m:t>b</m:t>
                  </m:r>
                </m:sub>
              </m:sSub>
            </m:sub>
          </m:sSub>
          <m:d>
            <m:dPr>
              <m:begChr m:val="("/>
              <m:sepChr m:val=""/>
              <m:endChr m:val=")"/>
              <m:grow/>
            </m:dPr>
            <m:e>
              <m:r>
                <m:t>y</m:t>
              </m:r>
            </m:e>
          </m:d>
          <m:r>
            <m:rPr>
              <m:sty m:val="p"/>
            </m:rPr>
            <m:t>.</m:t>
          </m:r>
        </m:oMath>
      </m:oMathPara>
    </w:p>
    <w:p>
      <w:pPr>
        <w:pStyle w:val="FirstParagraph"/>
      </w:pPr>
      <w:r>
        <w:t xml:space="preserve">Physically, this is how coarse-graining works. You do not track every microscopic degree of freedom; you integrate them out. In ToE language, this is exactly the kind of move needed to go from a deep information manifold to effective four-dimensional physics.</w:t>
      </w:r>
      <w:r>
        <w:t xml:space="preserve"> </w:t>
      </w:r>
      <w:hyperlink r:id="rId25">
        <w:r>
          <w:rPr>
            <w:rStyle w:val="Hyperlink"/>
          </w:rPr>
          <w:t xml:space="preserve">[7]</w:t>
        </w:r>
      </w:hyperlink>
      <w:r>
        <w:t xml:space="preserve"> </w:t>
      </w:r>
      <w:r>
        <w:t xml:space="preserve">fileciteturn0file0</w:t>
      </w:r>
    </w:p>
    <w:p>
      <w:pPr>
        <w:pStyle w:val="BodyText"/>
      </w:pPr>
      <w:r>
        <w:t xml:space="preserve">The language of</w:t>
      </w:r>
      <w:r>
        <w:t xml:space="preserve"> </w:t>
      </w:r>
      <w:r>
        <w:rPr>
          <w:b/>
          <w:bCs/>
        </w:rPr>
        <w:t xml:space="preserve">moments</w:t>
      </w:r>
      <w:r>
        <w:t xml:space="preserve"> </w:t>
      </w:r>
      <w:r>
        <w:t xml:space="preserve">is also essential. If</w:t>
      </w:r>
      <w:r>
        <w:t xml:space="preserve"> </w:t>
      </w:r>
      <m:oMath>
        <m:r>
          <m:t>p</m:t>
        </m:r>
        <m:d>
          <m:dPr>
            <m:begChr m:val="("/>
            <m:sepChr m:val=""/>
            <m:endChr m:val=")"/>
            <m:grow/>
          </m:dPr>
          <m:e>
            <m:r>
              <m:t>x</m:t>
            </m:r>
          </m:e>
        </m:d>
      </m:oMath>
      <w:r>
        <w:t xml:space="preserve"> </w:t>
      </w:r>
      <w:r>
        <w:t xml:space="preserve">is a probability density, then</w:t>
      </w:r>
    </w:p>
    <w:p>
      <w:pPr>
        <w:pStyle w:val="BodyText"/>
      </w:pPr>
      <m:oMathPara>
        <m:oMathParaPr>
          <m:jc m:val="center"/>
        </m:oMathParaPr>
        <m:oMath>
          <m:r>
            <m:rPr>
              <m:sty m:val="p"/>
            </m:rPr>
            <m:t>∫</m:t>
          </m:r>
          <m:r>
            <m:t>p</m:t>
          </m:r>
          <m:d>
            <m:dPr>
              <m:begChr m:val="("/>
              <m:sepChr m:val=""/>
              <m:endChr m:val=")"/>
              <m:grow/>
            </m:dPr>
            <m:e>
              <m:r>
                <m:t>x</m:t>
              </m:r>
            </m:e>
          </m:d>
          <m:r>
            <m:t> </m:t>
          </m:r>
          <m:r>
            <m:t>d</m:t>
          </m:r>
          <m:r>
            <m:t>x</m:t>
          </m:r>
          <m:r>
            <m:rPr>
              <m:sty m:val="p"/>
            </m:rPr>
            <m:t>=</m:t>
          </m:r>
          <m:r>
            <m:t>1</m:t>
          </m:r>
        </m:oMath>
      </m:oMathPara>
    </w:p>
    <w:p>
      <w:pPr>
        <w:pStyle w:val="FirstParagraph"/>
      </w:pPr>
      <w:r>
        <w:t xml:space="preserve">is the</w:t>
      </w:r>
      <w:r>
        <w:t xml:space="preserve"> </w:t>
      </w:r>
      <w:r>
        <w:rPr>
          <w:b/>
          <w:bCs/>
        </w:rPr>
        <w:t xml:space="preserve">zeroth moment</w:t>
      </w:r>
      <w:r>
        <w:t xml:space="preserve"> </w:t>
      </w:r>
      <w:r>
        <w:t xml:space="preserve">and says total probability is normalized. The</w:t>
      </w:r>
      <w:r>
        <w:t xml:space="preserve"> </w:t>
      </w:r>
      <w:r>
        <w:rPr>
          <w:b/>
          <w:bCs/>
        </w:rPr>
        <w:t xml:space="preserve">first moment</w:t>
      </w:r>
    </w:p>
    <w:p>
      <w:pPr>
        <w:pStyle w:val="BodyText"/>
      </w:pPr>
      <m:oMathPara>
        <m:oMathParaPr>
          <m:jc m:val="center"/>
        </m:oMathParaPr>
        <m:oMath>
          <m:r>
            <m:t>μ</m:t>
          </m:r>
          <m:r>
            <m:rPr>
              <m:sty m:val="p"/>
            </m:rPr>
            <m:t>=</m:t>
          </m:r>
          <m:r>
            <m:rPr>
              <m:sty m:val="p"/>
            </m:rPr>
            <m:t>∫</m:t>
          </m:r>
          <m:r>
            <m:t>x</m:t>
          </m:r>
          <m:r>
            <m:t> </m:t>
          </m:r>
          <m:r>
            <m:t>p</m:t>
          </m:r>
          <m:d>
            <m:dPr>
              <m:begChr m:val="("/>
              <m:sepChr m:val=""/>
              <m:endChr m:val=")"/>
              <m:grow/>
            </m:dPr>
            <m:e>
              <m:r>
                <m:t>x</m:t>
              </m:r>
            </m:e>
          </m:d>
          <m:r>
            <m:t> </m:t>
          </m:r>
          <m:r>
            <m:t>d</m:t>
          </m:r>
          <m:r>
            <m:t>x</m:t>
          </m:r>
        </m:oMath>
      </m:oMathPara>
    </w:p>
    <w:p>
      <w:pPr>
        <w:pStyle w:val="FirstParagraph"/>
      </w:pPr>
      <w:r>
        <w:t xml:space="preserve">is the mean or center. The</w:t>
      </w:r>
      <w:r>
        <w:t xml:space="preserve"> </w:t>
      </w:r>
      <w:r>
        <w:rPr>
          <w:b/>
          <w:bCs/>
        </w:rPr>
        <w:t xml:space="preserve">second moment</w:t>
      </w:r>
    </w:p>
    <w:p>
      <w:pPr>
        <w:pStyle w:val="BodyText"/>
      </w:pPr>
      <m:oMathPara>
        <m:oMathParaPr>
          <m:jc m:val="center"/>
        </m:oMathParaPr>
        <m:oMath>
          <m:sSub>
            <m:e>
              <m:r>
                <m:t>M</m:t>
              </m:r>
            </m:e>
            <m:sub>
              <m:r>
                <m:t>2</m:t>
              </m:r>
            </m:sub>
          </m:sSub>
          <m:r>
            <m:rPr>
              <m:sty m:val="p"/>
            </m:rPr>
            <m:t>=</m:t>
          </m:r>
          <m:r>
            <m:rPr>
              <m:sty m:val="p"/>
            </m:rPr>
            <m:t>∫</m:t>
          </m:r>
          <m:sSup>
            <m:e>
              <m:r>
                <m:t>x</m:t>
              </m:r>
            </m:e>
            <m:sup>
              <m:r>
                <m:t>2</m:t>
              </m:r>
            </m:sup>
          </m:sSup>
          <m:r>
            <m:t>p</m:t>
          </m:r>
          <m:d>
            <m:dPr>
              <m:begChr m:val="("/>
              <m:sepChr m:val=""/>
              <m:endChr m:val=")"/>
              <m:grow/>
            </m:dPr>
            <m:e>
              <m:r>
                <m:t>x</m:t>
              </m:r>
            </m:e>
          </m:d>
          <m:r>
            <m:t> </m:t>
          </m:r>
          <m:r>
            <m:t>d</m:t>
          </m:r>
          <m:r>
            <m:t>x</m:t>
          </m:r>
          <m:r>
            <m:rPr>
              <m:sty m:val="p"/>
            </m:rPr>
            <m:t>,</m:t>
          </m:r>
          <m:r>
            <m:t>  </m:t>
          </m:r>
          <m:sSup>
            <m:e>
              <m:r>
                <m:t>σ</m:t>
              </m:r>
            </m:e>
            <m:sup>
              <m:r>
                <m:t>2</m:t>
              </m:r>
            </m:sup>
          </m:sSup>
          <m:r>
            <m:rPr>
              <m:sty m:val="p"/>
            </m:rPr>
            <m:t>=</m:t>
          </m:r>
          <m:r>
            <m:rPr>
              <m:sty m:val="p"/>
            </m:rPr>
            <m:t>∫</m:t>
          </m:r>
          <m:sSup>
            <m:e>
              <m:d>
                <m:dPr>
                  <m:begChr m:val="("/>
                  <m:sepChr m:val=""/>
                  <m:endChr m:val=")"/>
                  <m:grow/>
                </m:dPr>
                <m:e>
                  <m:r>
                    <m:t>x</m:t>
                  </m:r>
                  <m:r>
                    <m:rPr>
                      <m:sty m:val="p"/>
                    </m:rPr>
                    <m:t>−</m:t>
                  </m:r>
                  <m:r>
                    <m:t>μ</m:t>
                  </m:r>
                </m:e>
              </m:d>
            </m:e>
            <m:sup>
              <m:r>
                <m:t>2</m:t>
              </m:r>
            </m:sup>
          </m:sSup>
          <m:r>
            <m:t>p</m:t>
          </m:r>
          <m:d>
            <m:dPr>
              <m:begChr m:val="("/>
              <m:sepChr m:val=""/>
              <m:endChr m:val=")"/>
              <m:grow/>
            </m:dPr>
            <m:e>
              <m:r>
                <m:t>x</m:t>
              </m:r>
            </m:e>
          </m:d>
          <m:r>
            <m:t> </m:t>
          </m:r>
          <m:r>
            <m:t>d</m:t>
          </m:r>
          <m:r>
            <m:t>x</m:t>
          </m:r>
        </m:oMath>
      </m:oMathPara>
    </w:p>
    <w:p>
      <w:pPr>
        <w:pStyle w:val="FirstParagraph"/>
      </w:pPr>
      <w:r>
        <w:t xml:space="preserve">measures spread or variance. The</w:t>
      </w:r>
      <w:r>
        <w:t xml:space="preserve"> </w:t>
      </w:r>
      <w:r>
        <w:rPr>
          <w:b/>
          <w:bCs/>
        </w:rPr>
        <w:t xml:space="preserve">third moment</w:t>
      </w:r>
      <w:r>
        <w:t xml:space="preserve"> </w:t>
      </w:r>
      <w:r>
        <w:t xml:space="preserve">measures asymmetry or skewness. Why does this matter? Because many physical tensors are really moment objects. In kinetic theory and radiation theory, stress–energy and radiation tensors are moments of a distribution function. So your intuition that mass, pressure, radiation, and stress are “organized information” is mathematically sound in spirit: they are coarse-grained moment-patterns of underlying distributions.</w:t>
      </w:r>
      <w:r>
        <w:t xml:space="preserve"> </w:t>
      </w:r>
      <w:hyperlink r:id="rId26">
        <w:r>
          <w:rPr>
            <w:rStyle w:val="Hyperlink"/>
          </w:rPr>
          <w:t xml:space="preserve">[8]</w:t>
        </w:r>
      </w:hyperlink>
    </w:p>
    <w:bookmarkEnd w:id="27"/>
    <w:bookmarkStart w:id="31" w:name="the-information-geometry-engine"/>
    <w:p>
      <w:pPr>
        <w:pStyle w:val="Heading2"/>
      </w:pPr>
      <w:r>
        <w:t xml:space="preserve">The information-geometry engine</w:t>
      </w:r>
    </w:p>
    <w:p>
      <w:pPr>
        <w:pStyle w:val="FirstParagraph"/>
      </w:pPr>
      <w:r>
        <w:t xml:space="preserve">Now we come to the heart of information geometry. A</w:t>
      </w:r>
      <w:r>
        <w:t xml:space="preserve"> </w:t>
      </w:r>
      <w:r>
        <w:rPr>
          <w:b/>
          <w:bCs/>
        </w:rPr>
        <w:t xml:space="preserve">statistical manifold</w:t>
      </w:r>
      <w:r>
        <w:t xml:space="preserve"> </w:t>
      </w:r>
      <w:r>
        <w:t xml:space="preserve">is a family of probability distributions</w:t>
      </w:r>
      <w:r>
        <w:t xml:space="preserve"> </w:t>
      </w:r>
      <m:oMath>
        <m:r>
          <m:t>p</m:t>
        </m:r>
        <m:d>
          <m:dPr>
            <m:begChr m:val="("/>
            <m:sepChr m:val=""/>
            <m:endChr m:val=")"/>
            <m:grow/>
          </m:dPr>
          <m:e>
            <m:r>
              <m:t>x</m:t>
            </m:r>
            <m:r>
              <m:rPr>
                <m:sty m:val="p"/>
              </m:rPr>
              <m:t>∣</m:t>
            </m:r>
            <m:r>
              <m:t>θ</m:t>
            </m:r>
          </m:e>
        </m:d>
      </m:oMath>
      <w:r>
        <w:t xml:space="preserve">, where the parameters</w:t>
      </w:r>
      <w:r>
        <w:t xml:space="preserve"> </w:t>
      </w:r>
      <m:oMath>
        <m:r>
          <m:t>θ</m:t>
        </m:r>
        <m:r>
          <m:rPr>
            <m:sty m:val="p"/>
          </m:rPr>
          <m:t>=</m:t>
        </m:r>
        <m:d>
          <m:dPr>
            <m:begChr m:val="("/>
            <m:sepChr m:val=""/>
            <m:endChr m:val=")"/>
            <m:grow/>
          </m:dPr>
          <m:e>
            <m:sSup>
              <m:e>
                <m:r>
                  <m:t>θ</m:t>
                </m:r>
              </m:e>
              <m:sup>
                <m:r>
                  <m:t>1</m:t>
                </m:r>
              </m:sup>
            </m:sSup>
            <m:r>
              <m:rPr>
                <m:sty m:val="p"/>
              </m:rPr>
              <m:t>,</m:t>
            </m:r>
            <m:r>
              <m:rPr>
                <m:sty m:val="p"/>
              </m:rPr>
              <m:t>…</m:t>
            </m:r>
            <m:r>
              <m:rPr>
                <m:sty m:val="p"/>
              </m:rPr>
              <m:t>,</m:t>
            </m:r>
            <m:sSup>
              <m:e>
                <m:r>
                  <m:t>θ</m:t>
                </m:r>
              </m:e>
              <m:sup>
                <m:r>
                  <m:t>n</m:t>
                </m:r>
              </m:sup>
            </m:sSup>
          </m:e>
        </m:d>
      </m:oMath>
      <w:r>
        <w:t xml:space="preserve"> </w:t>
      </w:r>
      <w:r>
        <w:t xml:space="preserve">act like coordinates on a geometric space. The central metric on this space is the</w:t>
      </w:r>
      <w:r>
        <w:t xml:space="preserve"> </w:t>
      </w:r>
      <w:r>
        <w:rPr>
          <w:b/>
          <w:bCs/>
        </w:rPr>
        <w:t xml:space="preserve">Fisher–Rao metric</w:t>
      </w:r>
      <w:r>
        <w:t xml:space="preserve">:</w:t>
      </w:r>
    </w:p>
    <w:p>
      <w:pPr>
        <w:pStyle w:val="BodyText"/>
      </w:pPr>
      <m:oMathPara>
        <m:oMathParaPr>
          <m:jc m:val="center"/>
        </m:oMathParaPr>
        <m:oMath>
          <m:sSub>
            <m:e>
              <m:r>
                <m:t>g</m:t>
              </m:r>
            </m:e>
            <m:sub>
              <m:r>
                <m:t>i</m:t>
              </m:r>
              <m:r>
                <m:t>j</m:t>
              </m:r>
            </m:sub>
          </m:sSub>
          <m:d>
            <m:dPr>
              <m:begChr m:val="("/>
              <m:sepChr m:val=""/>
              <m:endChr m:val=")"/>
              <m:grow/>
            </m:dPr>
            <m:e>
              <m:r>
                <m:t>θ</m:t>
              </m:r>
            </m:e>
          </m:d>
          <m:r>
            <m:rPr>
              <m:sty m:val="p"/>
            </m:rPr>
            <m:t>=</m:t>
          </m:r>
          <m:sSub>
            <m:e>
              <m:r>
                <m:rPr>
                  <m:sty m:val="p"/>
                  <m:scr m:val="double-struck"/>
                </m:rPr>
                <m:t>E</m:t>
              </m:r>
            </m:e>
            <m:sub>
              <m:r>
                <m:t>θ</m:t>
              </m:r>
            </m:sub>
          </m:sSub>
          <m:r>
            <m:t>​</m:t>
          </m:r>
          <m:d>
            <m:dPr>
              <m:begChr m:val="["/>
              <m:sepChr m:val=""/>
              <m:endChr m:val="]"/>
              <m:grow/>
            </m:dPr>
            <m:e>
              <m:sSub>
                <m:e>
                  <m:r>
                    <m:rPr>
                      <m:sty m:val="p"/>
                    </m:rPr>
                    <m:t>∂</m:t>
                  </m:r>
                </m:e>
                <m:sub>
                  <m:r>
                    <m:t>i</m:t>
                  </m:r>
                </m:sub>
              </m:sSub>
              <m:r>
                <m:rPr>
                  <m:sty m:val="p"/>
                </m:rPr>
                <m:t>log</m:t>
              </m:r>
              <m:r>
                <m:t>p</m:t>
              </m:r>
              <m:d>
                <m:dPr>
                  <m:begChr m:val="("/>
                  <m:sepChr m:val=""/>
                  <m:endChr m:val=")"/>
                  <m:grow/>
                </m:dPr>
                <m:e>
                  <m:r>
                    <m:t>X</m:t>
                  </m:r>
                  <m:r>
                    <m:rPr>
                      <m:sty m:val="p"/>
                    </m:rPr>
                    <m:t>∣</m:t>
                  </m:r>
                  <m:r>
                    <m:t>θ</m:t>
                  </m:r>
                </m:e>
              </m:d>
              <m:r>
                <m:t> </m:t>
              </m:r>
              <m:sSub>
                <m:e>
                  <m:r>
                    <m:rPr>
                      <m:sty m:val="p"/>
                    </m:rPr>
                    <m:t>∂</m:t>
                  </m:r>
                </m:e>
                <m:sub>
                  <m:r>
                    <m:t>j</m:t>
                  </m:r>
                </m:sub>
              </m:sSub>
              <m:r>
                <m:rPr>
                  <m:sty m:val="p"/>
                </m:rPr>
                <m:t>log</m:t>
              </m:r>
              <m:r>
                <m:t>p</m:t>
              </m:r>
              <m:d>
                <m:dPr>
                  <m:begChr m:val="("/>
                  <m:sepChr m:val=""/>
                  <m:endChr m:val=")"/>
                  <m:grow/>
                </m:dPr>
                <m:e>
                  <m:r>
                    <m:t>X</m:t>
                  </m:r>
                  <m:r>
                    <m:rPr>
                      <m:sty m:val="p"/>
                    </m:rPr>
                    <m:t>∣</m:t>
                  </m:r>
                  <m:r>
                    <m:t>θ</m:t>
                  </m:r>
                </m:e>
              </m:d>
            </m:e>
          </m:d>
          <m:r>
            <m:rPr>
              <m:sty m:val="p"/>
            </m:rPr>
            <m:t>.</m:t>
          </m:r>
        </m:oMath>
      </m:oMathPara>
    </w:p>
    <w:p>
      <w:pPr>
        <w:pStyle w:val="FirstParagraph"/>
      </w:pPr>
      <w:r>
        <w:t xml:space="preserve">You can also write it, under regularity assumptions, as minus the expected Hessian of the log-likelihood. The physical meaning is simple: it measures how easy it is to distinguish two nearby probability models. If a tiny parameter change causes a big change in the distribution, the Fisher metric is large. If the distribution barely changes, the metric is small. This links geometry directly to distinguishability and to the Cramér–Rao bound in statistics.</w:t>
      </w:r>
      <w:r>
        <w:t xml:space="preserve"> </w:t>
      </w:r>
      <w:hyperlink r:id="rId21">
        <w:r>
          <w:rPr>
            <w:rStyle w:val="Hyperlink"/>
          </w:rPr>
          <w:t xml:space="preserve">[9]</w:t>
        </w:r>
      </w:hyperlink>
    </w:p>
    <w:p>
      <w:pPr>
        <w:pStyle w:val="BodyText"/>
      </w:pPr>
      <w:r>
        <w:t xml:space="preserve">A very concrete example is a biased coin with probability</w:t>
      </w:r>
      <w:r>
        <w:t xml:space="preserve"> </w:t>
      </w:r>
      <m:oMath>
        <m:r>
          <m:t>q</m:t>
        </m:r>
      </m:oMath>
      <w:r>
        <w:t xml:space="preserve"> </w:t>
      </w:r>
      <w:r>
        <w:t xml:space="preserve">of heads. The distribution is</w:t>
      </w:r>
    </w:p>
    <w:p>
      <w:pPr>
        <w:pStyle w:val="BodyText"/>
      </w:pPr>
      <m:oMathPara>
        <m:oMathParaPr>
          <m:jc m:val="center"/>
        </m:oMathParaPr>
        <m:oMath>
          <m:r>
            <m:t>p</m:t>
          </m:r>
          <m:d>
            <m:dPr>
              <m:begChr m:val="("/>
              <m:sepChr m:val=""/>
              <m:endChr m:val=")"/>
              <m:grow/>
            </m:dPr>
            <m:e>
              <m:r>
                <m:t>x</m:t>
              </m:r>
              <m:r>
                <m:rPr>
                  <m:sty m:val="p"/>
                </m:rPr>
                <m:t>∣</m:t>
              </m:r>
              <m:r>
                <m:t>q</m:t>
              </m:r>
            </m:e>
          </m:d>
          <m:r>
            <m:rPr>
              <m:sty m:val="p"/>
            </m:rPr>
            <m:t>=</m:t>
          </m:r>
          <m:sSup>
            <m:e>
              <m:r>
                <m:t>q</m:t>
              </m:r>
            </m:e>
            <m:sup>
              <m:r>
                <m:t>x</m:t>
              </m:r>
            </m:sup>
          </m:sSup>
          <m:sSup>
            <m:e>
              <m:d>
                <m:dPr>
                  <m:begChr m:val="("/>
                  <m:sepChr m:val=""/>
                  <m:endChr m:val=")"/>
                  <m:grow/>
                </m:dPr>
                <m:e>
                  <m:r>
                    <m:t>1</m:t>
                  </m:r>
                  <m:r>
                    <m:rPr>
                      <m:sty m:val="p"/>
                    </m:rPr>
                    <m:t>−</m:t>
                  </m:r>
                  <m:r>
                    <m:t>q</m:t>
                  </m:r>
                </m:e>
              </m:d>
            </m:e>
            <m:sup>
              <m:r>
                <m:t>1</m:t>
              </m:r>
              <m:r>
                <m:rPr>
                  <m:sty m:val="p"/>
                </m:rPr>
                <m:t>−</m:t>
              </m:r>
              <m:r>
                <m:t>x</m:t>
              </m:r>
            </m:sup>
          </m:sSup>
          <m:r>
            <m:rPr>
              <m:sty m:val="p"/>
            </m:rPr>
            <m:t>,</m:t>
          </m:r>
          <m:r>
            <m:t>  </m:t>
          </m:r>
          <m:r>
            <m:t>x</m:t>
          </m:r>
          <m:r>
            <m:rPr>
              <m:sty m:val="p"/>
            </m:rPr>
            <m:t>∈</m:t>
          </m:r>
          <m:r>
            <m:rPr>
              <m:sty m:val="p"/>
            </m:rPr>
            <m:t>{</m:t>
          </m:r>
          <m:r>
            <m:t>0</m:t>
          </m:r>
          <m:r>
            <m:rPr>
              <m:sty m:val="p"/>
            </m:rPr>
            <m:t>,</m:t>
          </m:r>
          <m:r>
            <m:t>1</m:t>
          </m:r>
          <m:r>
            <m:rPr>
              <m:sty m:val="p"/>
            </m:rPr>
            <m:t>}</m:t>
          </m:r>
          <m:r>
            <m:rPr>
              <m:sty m:val="p"/>
            </m:rPr>
            <m:t>.</m:t>
          </m:r>
        </m:oMath>
      </m:oMathPara>
    </w:p>
    <w:p>
      <w:pPr>
        <w:pStyle w:val="FirstParagraph"/>
      </w:pPr>
      <w:r>
        <w:t xml:space="preserve">Its log-likelihood is</w:t>
      </w:r>
    </w:p>
    <w:p>
      <w:pPr>
        <w:pStyle w:val="BodyText"/>
      </w:pPr>
      <m:oMathPara>
        <m:oMathParaPr>
          <m:jc m:val="center"/>
        </m:oMathParaPr>
        <m:oMath>
          <m:r>
            <m:rPr>
              <m:sty m:val="p"/>
            </m:rPr>
            <m:t>ℓ</m:t>
          </m:r>
          <m:r>
            <m:rPr>
              <m:sty m:val="p"/>
            </m:rPr>
            <m:t>=</m:t>
          </m:r>
          <m:r>
            <m:t>x</m:t>
          </m:r>
          <m:r>
            <m:rPr>
              <m:sty m:val="p"/>
            </m:rPr>
            <m:t>ln</m:t>
          </m:r>
          <m:r>
            <m:t>q</m:t>
          </m:r>
          <m:r>
            <m:rPr>
              <m:sty m:val="p"/>
            </m:rPr>
            <m:t>+</m:t>
          </m:r>
          <m:d>
            <m:dPr>
              <m:begChr m:val="("/>
              <m:sepChr m:val=""/>
              <m:endChr m:val=")"/>
              <m:grow/>
            </m:dPr>
            <m:e>
              <m:r>
                <m:t>1</m:t>
              </m:r>
              <m:r>
                <m:rPr>
                  <m:sty m:val="p"/>
                </m:rPr>
                <m:t>−</m:t>
              </m:r>
              <m:r>
                <m:t>x</m:t>
              </m:r>
            </m:e>
          </m:d>
          <m:r>
            <m:rPr>
              <m:sty m:val="p"/>
            </m:rPr>
            <m:t>ln</m:t>
          </m:r>
          <m:d>
            <m:dPr>
              <m:begChr m:val="("/>
              <m:sepChr m:val=""/>
              <m:endChr m:val=")"/>
              <m:grow/>
            </m:dPr>
            <m:e>
              <m:r>
                <m:t>1</m:t>
              </m:r>
              <m:r>
                <m:rPr>
                  <m:sty m:val="p"/>
                </m:rPr>
                <m:t>−</m:t>
              </m:r>
              <m:r>
                <m:t>q</m:t>
              </m:r>
            </m:e>
          </m:d>
          <m:r>
            <m:rPr>
              <m:sty m:val="p"/>
            </m:rPr>
            <m:t>,</m:t>
          </m:r>
        </m:oMath>
      </m:oMathPara>
    </w:p>
    <w:p>
      <w:pPr>
        <w:pStyle w:val="FirstParagraph"/>
      </w:pPr>
      <w:r>
        <w:t xml:space="preserve">so</w:t>
      </w:r>
    </w:p>
    <w:p>
      <w:pPr>
        <w:pStyle w:val="BodyText"/>
      </w:pPr>
      <m:oMathPara>
        <m:oMathParaPr>
          <m:jc m:val="center"/>
        </m:oMathParaPr>
        <m:oMath>
          <m:sSub>
            <m:e>
              <m:r>
                <m:rPr>
                  <m:sty m:val="p"/>
                </m:rPr>
                <m:t>∂</m:t>
              </m:r>
            </m:e>
            <m:sub>
              <m:r>
                <m:t>q</m:t>
              </m:r>
            </m:sub>
          </m:sSub>
          <m:r>
            <m:rPr>
              <m:sty m:val="p"/>
            </m:rPr>
            <m:t>ℓ</m:t>
          </m:r>
          <m:r>
            <m:rPr>
              <m:sty m:val="p"/>
            </m:rPr>
            <m:t>=</m:t>
          </m:r>
          <m:f>
            <m:fPr>
              <m:type m:val="bar"/>
            </m:fPr>
            <m:num>
              <m:r>
                <m:t>x</m:t>
              </m:r>
            </m:num>
            <m:den>
              <m:r>
                <m:t>q</m:t>
              </m:r>
            </m:den>
          </m:f>
          <m:r>
            <m:rPr>
              <m:sty m:val="p"/>
            </m:rPr>
            <m:t>−</m:t>
          </m:r>
          <m:f>
            <m:fPr>
              <m:type m:val="bar"/>
            </m:fPr>
            <m:num>
              <m:r>
                <m:t>1</m:t>
              </m:r>
              <m:r>
                <m:rPr>
                  <m:sty m:val="p"/>
                </m:rPr>
                <m:t>−</m:t>
              </m:r>
              <m:r>
                <m:t>x</m:t>
              </m:r>
            </m:num>
            <m:den>
              <m:r>
                <m:t>1</m:t>
              </m:r>
              <m:r>
                <m:rPr>
                  <m:sty m:val="p"/>
                </m:rPr>
                <m:t>−</m:t>
              </m:r>
              <m:r>
                <m:t>q</m:t>
              </m:r>
            </m:den>
          </m:f>
          <m:r>
            <m:rPr>
              <m:sty m:val="p"/>
            </m:rPr>
            <m:t>.</m:t>
          </m:r>
        </m:oMath>
      </m:oMathPara>
    </w:p>
    <w:p>
      <w:pPr>
        <w:pStyle w:val="FirstParagraph"/>
      </w:pPr>
      <w:r>
        <w:t xml:space="preserve">Taking the expectation gives</w:t>
      </w:r>
    </w:p>
    <w:p>
      <w:pPr>
        <w:pStyle w:val="BodyText"/>
      </w:pPr>
      <m:oMathPara>
        <m:oMathParaPr>
          <m:jc m:val="center"/>
        </m:oMathParaPr>
        <m:oMath>
          <m:r>
            <m:t>g</m:t>
          </m:r>
          <m:d>
            <m:dPr>
              <m:begChr m:val="("/>
              <m:sepChr m:val=""/>
              <m:endChr m:val=")"/>
              <m:grow/>
            </m:dPr>
            <m:e>
              <m:r>
                <m:t>q</m:t>
              </m:r>
            </m:e>
          </m:d>
          <m:r>
            <m:rPr>
              <m:sty m:val="p"/>
            </m:rPr>
            <m:t>=</m:t>
          </m:r>
          <m:r>
            <m:rPr>
              <m:sty m:val="p"/>
              <m:scr m:val="double-struck"/>
            </m:rPr>
            <m:t>E</m:t>
          </m:r>
          <m:d>
            <m:dPr>
              <m:begChr m:val="["/>
              <m:sepChr m:val=""/>
              <m:endChr m:val="]"/>
              <m:grow/>
            </m:dPr>
            <m:e>
              <m:sSup>
                <m:e>
                  <m:d>
                    <m:dPr>
                      <m:begChr m:val="("/>
                      <m:sepChr m:val=""/>
                      <m:endChr m:val=")"/>
                      <m:grow/>
                    </m:dPr>
                    <m:e>
                      <m:sSub>
                        <m:e>
                          <m:r>
                            <m:rPr>
                              <m:sty m:val="p"/>
                            </m:rPr>
                            <m:t>∂</m:t>
                          </m:r>
                        </m:e>
                        <m:sub>
                          <m:r>
                            <m:t>q</m:t>
                          </m:r>
                        </m:sub>
                      </m:sSub>
                      <m:r>
                        <m:rPr>
                          <m:sty m:val="p"/>
                        </m:rPr>
                        <m:t>ℓ</m:t>
                      </m:r>
                    </m:e>
                  </m:d>
                </m:e>
                <m:sup>
                  <m:r>
                    <m:t>2</m:t>
                  </m:r>
                </m:sup>
              </m:sSup>
            </m:e>
          </m:d>
          <m:r>
            <m:rPr>
              <m:sty m:val="p"/>
            </m:rPr>
            <m:t>=</m:t>
          </m:r>
          <m:f>
            <m:fPr>
              <m:type m:val="bar"/>
            </m:fPr>
            <m:num>
              <m:r>
                <m:t>1</m:t>
              </m:r>
            </m:num>
            <m:den>
              <m:r>
                <m:t>q</m:t>
              </m:r>
              <m:d>
                <m:dPr>
                  <m:begChr m:val="("/>
                  <m:sepChr m:val=""/>
                  <m:endChr m:val=")"/>
                  <m:grow/>
                </m:dPr>
                <m:e>
                  <m:r>
                    <m:t>1</m:t>
                  </m:r>
                  <m:r>
                    <m:rPr>
                      <m:sty m:val="p"/>
                    </m:rPr>
                    <m:t>−</m:t>
                  </m:r>
                  <m:r>
                    <m:t>q</m:t>
                  </m:r>
                </m:e>
              </m:d>
            </m:den>
          </m:f>
          <m:r>
            <m:rPr>
              <m:sty m:val="p"/>
            </m:rPr>
            <m:t>.</m:t>
          </m:r>
        </m:oMath>
      </m:oMathPara>
    </w:p>
    <w:p>
      <w:pPr>
        <w:pStyle w:val="FirstParagraph"/>
      </w:pPr>
      <w:r>
        <w:t xml:space="preserve">This is a wonderful formula for intuition. Near</w:t>
      </w:r>
      <w:r>
        <w:t xml:space="preserve"> </w:t>
      </w:r>
      <m:oMath>
        <m:r>
          <m:t>q</m:t>
        </m:r>
        <m:r>
          <m:rPr>
            <m:sty m:val="p"/>
          </m:rPr>
          <m:t>=</m:t>
        </m:r>
        <m:r>
          <m:t>1</m:t>
        </m:r>
        <m:r>
          <m:rPr>
            <m:sty m:val="p"/>
          </m:rPr>
          <m:t>/</m:t>
        </m:r>
        <m:r>
          <m:t>2</m:t>
        </m:r>
      </m:oMath>
      <w:r>
        <w:t xml:space="preserve">, changing</w:t>
      </w:r>
      <w:r>
        <w:t xml:space="preserve"> </w:t>
      </w:r>
      <m:oMath>
        <m:r>
          <m:t>q</m:t>
        </m:r>
      </m:oMath>
      <w:r>
        <w:t xml:space="preserve"> </w:t>
      </w:r>
      <w:r>
        <w:t xml:space="preserve">a little changes the model moderately. But near</w:t>
      </w:r>
      <w:r>
        <w:t xml:space="preserve"> </w:t>
      </w:r>
      <m:oMath>
        <m:r>
          <m:t>q</m:t>
        </m:r>
        <m:r>
          <m:rPr>
            <m:sty m:val="p"/>
          </m:rPr>
          <m:t>=</m:t>
        </m:r>
        <m:r>
          <m:t>0</m:t>
        </m:r>
      </m:oMath>
      <w:r>
        <w:t xml:space="preserve"> </w:t>
      </w:r>
      <w:r>
        <w:t xml:space="preserve">or</w:t>
      </w:r>
      <w:r>
        <w:t xml:space="preserve"> </w:t>
      </w:r>
      <m:oMath>
        <m:r>
          <m:t>q</m:t>
        </m:r>
        <m:r>
          <m:rPr>
            <m:sty m:val="p"/>
          </m:rPr>
          <m:t>=</m:t>
        </m:r>
        <m:r>
          <m:t>1</m:t>
        </m:r>
      </m:oMath>
      <w:r>
        <w:t xml:space="preserve">, the same tiny change matters much more because the coin is almost locked into one behavior. So the geometric “sensitivity” blows up near the edges. That is what the Fisher metric is telling you.</w:t>
      </w:r>
      <w:r>
        <w:t xml:space="preserve"> </w:t>
      </w:r>
      <w:hyperlink r:id="rId21">
        <w:r>
          <w:rPr>
            <w:rStyle w:val="Hyperlink"/>
          </w:rPr>
          <w:t xml:space="preserve">[10]</w:t>
        </w:r>
      </w:hyperlink>
    </w:p>
    <w:p>
      <w:pPr>
        <w:pStyle w:val="BodyText"/>
      </w:pPr>
      <w:r>
        <w:t xml:space="preserve">The main divergence behind classical information geometry is the</w:t>
      </w:r>
      <w:r>
        <w:t xml:space="preserve"> </w:t>
      </w:r>
      <w:r>
        <w:rPr>
          <w:b/>
          <w:bCs/>
        </w:rPr>
        <w:t xml:space="preserve">Kullback–Leibler divergence</w:t>
      </w:r>
      <w:r>
        <w:t xml:space="preserve">:</w:t>
      </w:r>
    </w:p>
    <w:p>
      <w:pPr>
        <w:pStyle w:val="BodyText"/>
      </w:pPr>
      <m:oMathPara>
        <m:oMathParaPr>
          <m:jc m:val="center"/>
        </m:oMathParaPr>
        <m:oMath>
          <m:sSub>
            <m:e>
              <m:r>
                <m:t>D</m:t>
              </m:r>
            </m:e>
            <m:sub>
              <m:r>
                <m:rPr>
                  <m:sty m:val="p"/>
                </m:rPr>
                <m:t>K</m:t>
              </m:r>
              <m:r>
                <m:rPr>
                  <m:sty m:val="p"/>
                </m:rPr>
                <m:t>L</m:t>
              </m:r>
            </m:sub>
          </m:sSub>
          <m:d>
            <m:dPr>
              <m:begChr m:val="("/>
              <m:sepChr m:val=""/>
              <m:endChr m:val=")"/>
              <m:grow/>
            </m:dPr>
            <m:e>
              <m:r>
                <m:t>p</m:t>
              </m:r>
              <m:r>
                <m:rPr>
                  <m:sty m:val="p"/>
                </m:rPr>
                <m:t>∥</m:t>
              </m:r>
              <m:r>
                <m:t>q</m:t>
              </m:r>
            </m:e>
          </m:d>
          <m:r>
            <m:rPr>
              <m:sty m:val="p"/>
            </m:rPr>
            <m:t>=</m:t>
          </m:r>
          <m:r>
            <m:rPr>
              <m:sty m:val="p"/>
            </m:rPr>
            <m:t>∫</m:t>
          </m:r>
          <m:r>
            <m:t>p</m:t>
          </m:r>
          <m:d>
            <m:dPr>
              <m:begChr m:val="("/>
              <m:sepChr m:val=""/>
              <m:endChr m:val=")"/>
              <m:grow/>
            </m:dPr>
            <m:e>
              <m:r>
                <m:t>x</m:t>
              </m:r>
            </m:e>
          </m:d>
          <m:r>
            <m:rPr>
              <m:sty m:val="p"/>
            </m:rPr>
            <m:t>log</m:t>
          </m:r>
          <m:r>
            <m:t>​</m:t>
          </m:r>
          <m:f>
            <m:fPr>
              <m:type m:val="bar"/>
            </m:fPr>
            <m:num>
              <m:r>
                <m:t>p</m:t>
              </m:r>
              <m:d>
                <m:dPr>
                  <m:begChr m:val="("/>
                  <m:sepChr m:val=""/>
                  <m:endChr m:val=")"/>
                  <m:grow/>
                </m:dPr>
                <m:e>
                  <m:r>
                    <m:t>x</m:t>
                  </m:r>
                </m:e>
              </m:d>
            </m:num>
            <m:den>
              <m:r>
                <m:t>q</m:t>
              </m:r>
              <m:d>
                <m:dPr>
                  <m:begChr m:val="("/>
                  <m:sepChr m:val=""/>
                  <m:endChr m:val=")"/>
                  <m:grow/>
                </m:dPr>
                <m:e>
                  <m:r>
                    <m:t>x</m:t>
                  </m:r>
                </m:e>
              </m:d>
            </m:den>
          </m:f>
          <m:r>
            <m:t> </m:t>
          </m:r>
          <m:r>
            <m:t>d</m:t>
          </m:r>
          <m:r>
            <m:t>x</m:t>
          </m:r>
        </m:oMath>
      </m:oMathPara>
    </w:p>
    <w:p>
      <w:pPr>
        <w:pStyle w:val="FirstParagraph"/>
      </w:pPr>
      <w:r>
        <w:t xml:space="preserve">or, in the discrete case,</w:t>
      </w:r>
    </w:p>
    <w:p>
      <w:pPr>
        <w:pStyle w:val="BodyText"/>
      </w:pPr>
      <m:oMathPara>
        <m:oMathParaPr>
          <m:jc m:val="center"/>
        </m:oMathParaPr>
        <m:oMath>
          <m:sSub>
            <m:e>
              <m:r>
                <m:t>D</m:t>
              </m:r>
            </m:e>
            <m:sub>
              <m:r>
                <m:rPr>
                  <m:sty m:val="p"/>
                </m:rPr>
                <m:t>K</m:t>
              </m:r>
              <m:r>
                <m:rPr>
                  <m:sty m:val="p"/>
                </m:rPr>
                <m:t>L</m:t>
              </m:r>
            </m:sub>
          </m:sSub>
          <m:d>
            <m:dPr>
              <m:begChr m:val="("/>
              <m:sepChr m:val=""/>
              <m:endChr m:val=")"/>
              <m:grow/>
            </m:dPr>
            <m:e>
              <m:r>
                <m:t>P</m:t>
              </m:r>
              <m:r>
                <m:rPr>
                  <m:sty m:val="p"/>
                </m:rPr>
                <m:t>∥</m:t>
              </m:r>
              <m:r>
                <m:t>Q</m:t>
              </m:r>
            </m:e>
          </m:d>
          <m:r>
            <m:rPr>
              <m:sty m:val="p"/>
            </m:rPr>
            <m:t>=</m:t>
          </m:r>
          <m:nary>
            <m:naryPr>
              <m:chr m:val="∑"/>
              <m:limLoc m:val="undOvr"/>
              <m:subHide m:val="off"/>
              <m:supHide m:val="on"/>
            </m:naryPr>
            <m:sub>
              <m:r>
                <m:t>i</m:t>
              </m:r>
            </m:sub>
            <m:sup>
              <m:r>
                <m:t>​</m:t>
              </m:r>
            </m:sup>
            <m:e>
              <m:sSub>
                <m:e>
                  <m:r>
                    <m:t>p</m:t>
                  </m:r>
                </m:e>
                <m:sub>
                  <m:r>
                    <m:t>i</m:t>
                  </m:r>
                </m:sub>
              </m:sSub>
            </m:e>
          </m:nary>
          <m:r>
            <m:rPr>
              <m:sty m:val="p"/>
            </m:rPr>
            <m:t>log</m:t>
          </m:r>
          <m:r>
            <m:t>​</m:t>
          </m:r>
          <m:f>
            <m:fPr>
              <m:type m:val="bar"/>
            </m:fPr>
            <m:num>
              <m:sSub>
                <m:e>
                  <m:r>
                    <m:t>p</m:t>
                  </m:r>
                </m:e>
                <m:sub>
                  <m:r>
                    <m:t>i</m:t>
                  </m:r>
                </m:sub>
              </m:sSub>
            </m:num>
            <m:den>
              <m:sSub>
                <m:e>
                  <m:r>
                    <m:t>q</m:t>
                  </m:r>
                </m:e>
                <m:sub>
                  <m:r>
                    <m:t>i</m:t>
                  </m:r>
                </m:sub>
              </m:sSub>
            </m:den>
          </m:f>
          <m:r>
            <m:rPr>
              <m:sty m:val="p"/>
            </m:rPr>
            <m:t>.</m:t>
          </m:r>
        </m:oMath>
      </m:oMathPara>
    </w:p>
    <w:p>
      <w:pPr>
        <w:pStyle w:val="FirstParagraph"/>
      </w:pPr>
      <w:r>
        <w:t xml:space="preserve">This is not an ordinary distance because it is not symmetric:</w:t>
      </w:r>
    </w:p>
    <w:p>
      <w:pPr>
        <w:pStyle w:val="BodyText"/>
      </w:pPr>
      <m:oMathPara>
        <m:oMathParaPr>
          <m:jc m:val="center"/>
        </m:oMathParaPr>
        <m:oMath>
          <m:sSub>
            <m:e>
              <m:r>
                <m:t>D</m:t>
              </m:r>
            </m:e>
            <m:sub>
              <m:r>
                <m:rPr>
                  <m:sty m:val="p"/>
                </m:rPr>
                <m:t>K</m:t>
              </m:r>
              <m:r>
                <m:rPr>
                  <m:sty m:val="p"/>
                </m:rPr>
                <m:t>L</m:t>
              </m:r>
            </m:sub>
          </m:sSub>
          <m:d>
            <m:dPr>
              <m:begChr m:val="("/>
              <m:sepChr m:val=""/>
              <m:endChr m:val=")"/>
              <m:grow/>
            </m:dPr>
            <m:e>
              <m:r>
                <m:t>P</m:t>
              </m:r>
              <m:r>
                <m:rPr>
                  <m:sty m:val="p"/>
                </m:rPr>
                <m:t>∥</m:t>
              </m:r>
              <m:r>
                <m:t>Q</m:t>
              </m:r>
            </m:e>
          </m:d>
          <m:r>
            <m:rPr>
              <m:sty m:val="p"/>
            </m:rPr>
            <m:t>≠</m:t>
          </m:r>
          <m:sSub>
            <m:e>
              <m:r>
                <m:t>D</m:t>
              </m:r>
            </m:e>
            <m:sub>
              <m:r>
                <m:rPr>
                  <m:sty m:val="p"/>
                </m:rPr>
                <m:t>K</m:t>
              </m:r>
              <m:r>
                <m:rPr>
                  <m:sty m:val="p"/>
                </m:rPr>
                <m:t>L</m:t>
              </m:r>
            </m:sub>
          </m:sSub>
          <m:d>
            <m:dPr>
              <m:begChr m:val="("/>
              <m:sepChr m:val=""/>
              <m:endChr m:val=")"/>
              <m:grow/>
            </m:dPr>
            <m:e>
              <m:r>
                <m:t>Q</m:t>
              </m:r>
              <m:r>
                <m:rPr>
                  <m:sty m:val="p"/>
                </m:rPr>
                <m:t>∥</m:t>
              </m:r>
              <m:r>
                <m:t>P</m:t>
              </m:r>
            </m:e>
          </m:d>
          <m:r>
            <m:rPr>
              <m:sty m:val="p"/>
            </m:rPr>
            <m:t>.</m:t>
          </m:r>
        </m:oMath>
      </m:oMathPara>
    </w:p>
    <w:p>
      <w:pPr>
        <w:pStyle w:val="FirstParagraph"/>
      </w:pPr>
      <w:r>
        <w:t xml:space="preserve">Its meaning is “how much extra coding cost or descriptive error you pay if the truth is</w:t>
      </w:r>
      <w:r>
        <w:t xml:space="preserve"> </w:t>
      </w:r>
      <m:oMath>
        <m:r>
          <m:t>P</m:t>
        </m:r>
      </m:oMath>
      <w:r>
        <w:t xml:space="preserve"> </w:t>
      </w:r>
      <w:r>
        <w:t xml:space="preserve">but you insist on using</w:t>
      </w:r>
      <w:r>
        <w:t xml:space="preserve"> </w:t>
      </w:r>
      <m:oMath>
        <m:r>
          <m:t>Q</m:t>
        </m:r>
      </m:oMath>
      <w:r>
        <w:t xml:space="preserve">.” The reason KL divergence is central is that its local second-order expansion produces the Fisher metric:</w:t>
      </w:r>
    </w:p>
    <w:p>
      <w:pPr>
        <w:pStyle w:val="BodyText"/>
      </w:pPr>
      <m:oMathPara>
        <m:oMathParaPr>
          <m:jc m:val="center"/>
        </m:oMathParaPr>
        <m:oMath>
          <m:sSub>
            <m:e>
              <m:r>
                <m:t>D</m:t>
              </m:r>
            </m:e>
            <m:sub>
              <m:r>
                <m:rPr>
                  <m:sty m:val="p"/>
                </m:rPr>
                <m:t>K</m:t>
              </m:r>
              <m:r>
                <m:rPr>
                  <m:sty m:val="p"/>
                </m:rPr>
                <m:t>L</m:t>
              </m:r>
            </m:sub>
          </m:sSub>
          <m:d>
            <m:dPr>
              <m:begChr m:val="("/>
              <m:sepChr m:val=""/>
              <m:endChr m:val=")"/>
              <m:grow/>
            </m:dPr>
            <m:e>
              <m:sSub>
                <m:e>
                  <m:r>
                    <m:t>p</m:t>
                  </m:r>
                </m:e>
                <m:sub>
                  <m:r>
                    <m:t>θ</m:t>
                  </m:r>
                  <m:r>
                    <m:rPr>
                      <m:sty m:val="p"/>
                    </m:rPr>
                    <m:t>+</m:t>
                  </m:r>
                  <m:r>
                    <m:t>d</m:t>
                  </m:r>
                  <m:r>
                    <m:t>θ</m:t>
                  </m:r>
                </m:sub>
              </m:sSub>
              <m:r>
                <m:rPr>
                  <m:sty m:val="p"/>
                </m:rPr>
                <m:t>∥</m:t>
              </m:r>
              <m:sSub>
                <m:e>
                  <m:r>
                    <m:t>p</m:t>
                  </m:r>
                </m:e>
                <m:sub>
                  <m:r>
                    <m:t>θ</m:t>
                  </m:r>
                </m:sub>
              </m:sSub>
            </m:e>
          </m:d>
          <m:r>
            <m:rPr>
              <m:sty m:val="p"/>
            </m:rPr>
            <m:t>=</m:t>
          </m:r>
          <m:f>
            <m:fPr>
              <m:type m:val="bar"/>
            </m:fPr>
            <m:num>
              <m:r>
                <m:t>1</m:t>
              </m:r>
            </m:num>
            <m:den>
              <m:r>
                <m:t>2</m:t>
              </m:r>
            </m:den>
          </m:f>
          <m:r>
            <m:t> </m:t>
          </m:r>
          <m:sSub>
            <m:e>
              <m:r>
                <m:t>g</m:t>
              </m:r>
            </m:e>
            <m:sub>
              <m:r>
                <m:t>i</m:t>
              </m:r>
              <m:r>
                <m:t>j</m:t>
              </m:r>
            </m:sub>
          </m:sSub>
          <m:d>
            <m:dPr>
              <m:begChr m:val="("/>
              <m:sepChr m:val=""/>
              <m:endChr m:val=")"/>
              <m:grow/>
            </m:dPr>
            <m:e>
              <m:r>
                <m:t>θ</m:t>
              </m:r>
            </m:e>
          </m:d>
          <m:r>
            <m:t> </m:t>
          </m:r>
          <m:r>
            <m:t>d</m:t>
          </m:r>
          <m:sSup>
            <m:e>
              <m:r>
                <m:t>θ</m:t>
              </m:r>
            </m:e>
            <m:sup>
              <m:r>
                <m:t>i</m:t>
              </m:r>
            </m:sup>
          </m:sSup>
          <m:r>
            <m:t>d</m:t>
          </m:r>
          <m:sSup>
            <m:e>
              <m:r>
                <m:t>θ</m:t>
              </m:r>
            </m:e>
            <m:sup>
              <m:r>
                <m:t>j</m:t>
              </m:r>
            </m:sup>
          </m:sSup>
          <m:r>
            <m:rPr>
              <m:sty m:val="p"/>
            </m:rPr>
            <m:t>+</m:t>
          </m:r>
          <m:r>
            <m:t>O</m:t>
          </m:r>
          <m:d>
            <m:dPr>
              <m:begChr m:val="("/>
              <m:sepChr m:val=""/>
              <m:endChr m:val=")"/>
              <m:grow/>
            </m:dPr>
            <m:e>
              <m:r>
                <m:t>d</m:t>
              </m:r>
              <m:sSup>
                <m:e>
                  <m:r>
                    <m:t>θ</m:t>
                  </m:r>
                </m:e>
                <m:sup>
                  <m:r>
                    <m:t>3</m:t>
                  </m:r>
                </m:sup>
              </m:sSup>
            </m:e>
          </m:d>
          <m:r>
            <m:rPr>
              <m:sty m:val="p"/>
            </m:rPr>
            <m:t>.</m:t>
          </m:r>
        </m:oMath>
      </m:oMathPara>
    </w:p>
    <w:p>
      <w:pPr>
        <w:pStyle w:val="FirstParagraph"/>
      </w:pPr>
      <w:r>
        <w:t xml:space="preserve">So the Fisher metric is the infinitesimal quadratic shadow of KL divergence.</w:t>
      </w:r>
      <w:r>
        <w:t xml:space="preserve"> </w:t>
      </w:r>
      <w:hyperlink r:id="rId28">
        <w:r>
          <w:rPr>
            <w:rStyle w:val="Hyperlink"/>
          </w:rPr>
          <w:t xml:space="preserve">[11]</w:t>
        </w:r>
      </w:hyperlink>
    </w:p>
    <w:p>
      <w:pPr>
        <w:pStyle w:val="BodyText"/>
      </w:pPr>
      <w:r>
        <w:t xml:space="preserve">One of the deepest results in the field is</w:t>
      </w:r>
      <w:r>
        <w:t xml:space="preserve"> </w:t>
      </w:r>
      <w:r>
        <w:rPr>
          <w:b/>
          <w:bCs/>
        </w:rPr>
        <w:t xml:space="preserve">Čencov’s theorem</w:t>
      </w:r>
      <w:r>
        <w:t xml:space="preserve">. Roughly speaking, if you ask for a Riemannian metric on statistical models that behaves naturally under sufficient statistics and information-preserving transformations, then the Fisher metric is essentially the only answer, up to an overall constant. That is why Fisher–Rao is not just one convenient metric among many; it is mathematically privileged. For ToE, this means Fisher–Rao is an excellent candidate for the deepest classical information metric. But it also creates a problem: Fisher–Rao is positive-definite, while relativistic spacetime metrics are Lorentzian and must have one direction of opposite sign. Letter III answers that problem with additional structure, not by denying Čencov’s theorem.</w:t>
      </w:r>
      <w:r>
        <w:t xml:space="preserve"> </w:t>
      </w:r>
      <w:hyperlink r:id="rId29">
        <w:r>
          <w:rPr>
            <w:rStyle w:val="Hyperlink"/>
          </w:rPr>
          <w:t xml:space="preserve">[12]</w:t>
        </w:r>
      </w:hyperlink>
      <w:r>
        <w:t xml:space="preserve"> </w:t>
      </w:r>
      <w:r>
        <w:t xml:space="preserve">fileciteturn0file0</w:t>
      </w:r>
    </w:p>
    <w:p>
      <w:pPr>
        <w:pStyle w:val="BodyText"/>
      </w:pPr>
      <w:r>
        <w:t xml:space="preserve">The next object is the</w:t>
      </w:r>
      <w:r>
        <w:t xml:space="preserve"> </w:t>
      </w:r>
      <w:r>
        <w:rPr>
          <w:b/>
          <w:bCs/>
        </w:rPr>
        <w:t xml:space="preserve">Amari–Čencov cubic tensor</w:t>
      </w:r>
      <w:r>
        <w:t xml:space="preserve">, often written as</w:t>
      </w:r>
    </w:p>
    <w:p>
      <w:pPr>
        <w:pStyle w:val="BodyText"/>
      </w:pPr>
      <m:oMathPara>
        <m:oMathParaPr>
          <m:jc m:val="center"/>
        </m:oMathParaPr>
        <m:oMath>
          <m:sSub>
            <m:e>
              <m:r>
                <m:t>C</m:t>
              </m:r>
            </m:e>
            <m:sub>
              <m:r>
                <m:t>i</m:t>
              </m:r>
              <m:r>
                <m:t>j</m:t>
              </m:r>
              <m:r>
                <m:t>k</m:t>
              </m:r>
            </m:sub>
          </m:sSub>
          <m:r>
            <m:rPr>
              <m:sty m:val="p"/>
            </m:rPr>
            <m:t>=</m:t>
          </m:r>
          <m:sSub>
            <m:e>
              <m:r>
                <m:rPr>
                  <m:sty m:val="p"/>
                  <m:scr m:val="double-struck"/>
                </m:rPr>
                <m:t>E</m:t>
              </m:r>
            </m:e>
            <m:sub>
              <m:r>
                <m:t>θ</m:t>
              </m:r>
            </m:sub>
          </m:sSub>
          <m:r>
            <m:t>​</m:t>
          </m:r>
          <m:d>
            <m:dPr>
              <m:begChr m:val="["/>
              <m:sepChr m:val=""/>
              <m:endChr m:val="]"/>
              <m:grow/>
            </m:dPr>
            <m:e>
              <m:sSub>
                <m:e>
                  <m:r>
                    <m:rPr>
                      <m:sty m:val="p"/>
                    </m:rPr>
                    <m:t>∂</m:t>
                  </m:r>
                </m:e>
                <m:sub>
                  <m:r>
                    <m:t>i</m:t>
                  </m:r>
                </m:sub>
              </m:sSub>
              <m:r>
                <m:rPr>
                  <m:sty m:val="p"/>
                </m:rPr>
                <m:t>ℓ</m:t>
              </m:r>
              <m:r>
                <m:t> </m:t>
              </m:r>
              <m:sSub>
                <m:e>
                  <m:r>
                    <m:rPr>
                      <m:sty m:val="p"/>
                    </m:rPr>
                    <m:t>∂</m:t>
                  </m:r>
                </m:e>
                <m:sub>
                  <m:r>
                    <m:t>j</m:t>
                  </m:r>
                </m:sub>
              </m:sSub>
              <m:r>
                <m:rPr>
                  <m:sty m:val="p"/>
                </m:rPr>
                <m:t>ℓ</m:t>
              </m:r>
              <m:r>
                <m:t> </m:t>
              </m:r>
              <m:sSub>
                <m:e>
                  <m:r>
                    <m:rPr>
                      <m:sty m:val="p"/>
                    </m:rPr>
                    <m:t>∂</m:t>
                  </m:r>
                </m:e>
                <m:sub>
                  <m:r>
                    <m:t>k</m:t>
                  </m:r>
                </m:sub>
              </m:sSub>
              <m:r>
                <m:rPr>
                  <m:sty m:val="p"/>
                </m:rPr>
                <m:t>ℓ</m:t>
              </m:r>
            </m:e>
          </m:d>
          <m:r>
            <m:rPr>
              <m:sty m:val="p"/>
            </m:rPr>
            <m:t>,</m:t>
          </m:r>
          <m:r>
            <m:t>  </m:t>
          </m:r>
          <m:r>
            <m:rPr>
              <m:sty m:val="p"/>
            </m:rPr>
            <m:t>ℓ</m:t>
          </m:r>
          <m:r>
            <m:rPr>
              <m:sty m:val="p"/>
            </m:rPr>
            <m:t>=</m:t>
          </m:r>
          <m:r>
            <m:rPr>
              <m:sty m:val="p"/>
            </m:rPr>
            <m:t>log</m:t>
          </m:r>
          <m:r>
            <m:t>p</m:t>
          </m:r>
          <m:d>
            <m:dPr>
              <m:begChr m:val="("/>
              <m:sepChr m:val=""/>
              <m:endChr m:val=")"/>
              <m:grow/>
            </m:dPr>
            <m:e>
              <m:r>
                <m:t>x</m:t>
              </m:r>
              <m:r>
                <m:rPr>
                  <m:sty m:val="p"/>
                </m:rPr>
                <m:t>∣</m:t>
              </m:r>
              <m:r>
                <m:t>θ</m:t>
              </m:r>
            </m:e>
          </m:d>
          <m:r>
            <m:rPr>
              <m:sty m:val="p"/>
            </m:rPr>
            <m:t>.</m:t>
          </m:r>
        </m:oMath>
      </m:oMathPara>
    </w:p>
    <w:p>
      <w:pPr>
        <w:pStyle w:val="FirstParagraph"/>
      </w:pPr>
      <w:r>
        <w:t xml:space="preserve">This is like a third moment of the score function. If the Fisher metric is the second-order part of local statistical shape, then</w:t>
      </w:r>
      <w:r>
        <w:t xml:space="preserve"> </w:t>
      </w:r>
      <m:oMath>
        <m:sSub>
          <m:e>
            <m:r>
              <m:t>C</m:t>
            </m:r>
          </m:e>
          <m:sub>
            <m:r>
              <m:t>i</m:t>
            </m:r>
            <m:r>
              <m:t>j</m:t>
            </m:r>
            <m:r>
              <m:t>k</m:t>
            </m:r>
          </m:sub>
        </m:sSub>
      </m:oMath>
      <w:r>
        <w:t xml:space="preserve"> </w:t>
      </w:r>
      <w:r>
        <w:t xml:space="preserve">measures the first non-quadratic asymmetry of that shape. It is one of the reasons information geometry is richer than ordinary Riemannian geometry.</w:t>
      </w:r>
      <w:r>
        <w:t xml:space="preserve"> </w:t>
      </w:r>
      <w:hyperlink r:id="rId21">
        <w:r>
          <w:rPr>
            <w:rStyle w:val="Hyperlink"/>
          </w:rPr>
          <w:t xml:space="preserve">[13]</w:t>
        </w:r>
      </w:hyperlink>
    </w:p>
    <w:p>
      <w:pPr>
        <w:pStyle w:val="BodyText"/>
      </w:pPr>
      <w:r>
        <w:t xml:space="preserve">Using the cubic tensor, one defines the</w:t>
      </w:r>
      <w:r>
        <w:t xml:space="preserve"> </w:t>
      </w:r>
      <w:r>
        <w:rPr>
          <w:b/>
          <w:bCs/>
        </w:rPr>
        <w:t xml:space="preserve">Amari–Čencov</w:t>
      </w:r>
      <w:r>
        <w:rPr>
          <w:b/>
          <w:bCs/>
        </w:rPr>
        <w:t xml:space="preserve"> </w:t>
      </w:r>
      <m:oMath>
        <m:r>
          <m:t>α</m:t>
        </m:r>
      </m:oMath>
      <w:r>
        <w:rPr>
          <w:b/>
          <w:bCs/>
        </w:rPr>
        <w:t xml:space="preserve">-connections</w:t>
      </w:r>
      <w:r>
        <w:t xml:space="preserve">. Different books use slightly different sign conventions, but the idea is the same: there is not just one natural way to define “straight lines” in probability space. Instead there is a one-parameter family,</w:t>
      </w:r>
    </w:p>
    <w:p>
      <w:pPr>
        <w:pStyle w:val="BodyText"/>
      </w:pPr>
      <m:oMathPara>
        <m:oMathParaPr>
          <m:jc m:val="center"/>
        </m:oMathParaPr>
        <m:oMath>
          <m:sSup>
            <m:e>
              <m:r>
                <m:rPr>
                  <m:sty m:val="p"/>
                </m:rPr>
                <m:t>∇</m:t>
              </m:r>
            </m:e>
            <m:sup>
              <m:d>
                <m:dPr>
                  <m:begChr m:val="("/>
                  <m:sepChr m:val=""/>
                  <m:endChr m:val=")"/>
                  <m:grow/>
                </m:dPr>
                <m:e>
                  <m:r>
                    <m:t>α</m:t>
                  </m:r>
                </m:e>
              </m:d>
            </m:sup>
          </m:sSup>
          <m:r>
            <m:rPr>
              <m:sty m:val="p"/>
            </m:rPr>
            <m:t>,</m:t>
          </m:r>
        </m:oMath>
      </m:oMathPara>
    </w:p>
    <w:p>
      <w:pPr>
        <w:pStyle w:val="FirstParagraph"/>
      </w:pPr>
      <w:r>
        <w:t xml:space="preserve">with</w:t>
      </w:r>
      <w:r>
        <w:t xml:space="preserve"> </w:t>
      </w:r>
      <m:oMath>
        <m:r>
          <m:t>α</m:t>
        </m:r>
        <m:r>
          <m:rPr>
            <m:sty m:val="p"/>
          </m:rPr>
          <m:t>=</m:t>
        </m:r>
        <m:r>
          <m:t>0</m:t>
        </m:r>
      </m:oMath>
      <w:r>
        <w:t xml:space="preserve"> </w:t>
      </w:r>
      <w:r>
        <w:t xml:space="preserve">giving the Levi-Civita connection of the Fisher metric,</w:t>
      </w:r>
      <w:r>
        <w:t xml:space="preserve"> </w:t>
      </w:r>
      <m:oMath>
        <m:r>
          <m:t>α</m:t>
        </m:r>
        <m:r>
          <m:rPr>
            <m:sty m:val="p"/>
          </m:rPr>
          <m:t>=</m:t>
        </m:r>
        <m:r>
          <m:t>1</m:t>
        </m:r>
      </m:oMath>
      <w:r>
        <w:t xml:space="preserve"> </w:t>
      </w:r>
      <w:r>
        <w:t xml:space="preserve">related to exponential-family geometry, and</w:t>
      </w:r>
      <w:r>
        <w:t xml:space="preserve"> </w:t>
      </w:r>
      <m:oMath>
        <m:r>
          <m:t>α</m:t>
        </m:r>
        <m:r>
          <m:rPr>
            <m:sty m:val="p"/>
          </m:rPr>
          <m:t>=</m:t>
        </m:r>
        <m:r>
          <m:rPr>
            <m:sty m:val="p"/>
          </m:rPr>
          <m:t>−</m:t>
        </m:r>
        <m:r>
          <m:t>1</m:t>
        </m:r>
      </m:oMath>
      <w:r>
        <w:t xml:space="preserve"> </w:t>
      </w:r>
      <w:r>
        <w:t xml:space="preserve">related to mixture geometry. In one common convention,</w:t>
      </w:r>
    </w:p>
    <w:p>
      <w:pPr>
        <w:pStyle w:val="BodyText"/>
      </w:pPr>
      <m:oMathPara>
        <m:oMathParaPr>
          <m:jc m:val="center"/>
        </m:oMathParaPr>
        <m:oMath>
          <m:sSubSup>
            <m:e>
              <m:r>
                <m:t>Γ</m:t>
              </m:r>
            </m:e>
            <m:sub>
              <m:r>
                <m:t>i</m:t>
              </m:r>
              <m:r>
                <m:t>j</m:t>
              </m:r>
              <m:r>
                <m:t>k</m:t>
              </m:r>
            </m:sub>
            <m:sup>
              <m:d>
                <m:dPr>
                  <m:begChr m:val="("/>
                  <m:sepChr m:val=""/>
                  <m:endChr m:val=")"/>
                  <m:grow/>
                </m:dPr>
                <m:e>
                  <m:r>
                    <m:t>α</m:t>
                  </m:r>
                </m:e>
              </m:d>
            </m:sup>
          </m:sSubSup>
          <m:r>
            <m:rPr>
              <m:sty m:val="p"/>
            </m:rPr>
            <m:t>=</m:t>
          </m:r>
          <m:sSubSup>
            <m:e>
              <m:r>
                <m:t>Γ</m:t>
              </m:r>
            </m:e>
            <m:sub>
              <m:r>
                <m:t>i</m:t>
              </m:r>
              <m:r>
                <m:t>j</m:t>
              </m:r>
              <m:r>
                <m:t>k</m:t>
              </m:r>
            </m:sub>
            <m:sup>
              <m:d>
                <m:dPr>
                  <m:begChr m:val="("/>
                  <m:sepChr m:val=""/>
                  <m:endChr m:val=")"/>
                  <m:grow/>
                </m:dPr>
                <m:e>
                  <m:r>
                    <m:t>0</m:t>
                  </m:r>
                </m:e>
              </m:d>
            </m:sup>
          </m:sSubSup>
          <m:r>
            <m:rPr>
              <m:sty m:val="p"/>
            </m:rPr>
            <m:t>−</m:t>
          </m:r>
          <m:f>
            <m:fPr>
              <m:type m:val="bar"/>
            </m:fPr>
            <m:num>
              <m:r>
                <m:t>α</m:t>
              </m:r>
            </m:num>
            <m:den>
              <m:r>
                <m:t>2</m:t>
              </m:r>
            </m:den>
          </m:f>
          <m:sSub>
            <m:e>
              <m:r>
                <m:t>C</m:t>
              </m:r>
            </m:e>
            <m:sub>
              <m:r>
                <m:t>i</m:t>
              </m:r>
              <m:r>
                <m:t>j</m:t>
              </m:r>
              <m:r>
                <m:t>k</m:t>
              </m:r>
            </m:sub>
          </m:sSub>
          <m:r>
            <m:rPr>
              <m:sty m:val="p"/>
            </m:rPr>
            <m:t>.</m:t>
          </m:r>
        </m:oMath>
      </m:oMathPara>
    </w:p>
    <w:p>
      <w:pPr>
        <w:pStyle w:val="FirstParagraph"/>
      </w:pPr>
      <w:r>
        <w:t xml:space="preserve">The pair</w:t>
      </w:r>
      <w:r>
        <w:t xml:space="preserve"> </w:t>
      </w:r>
      <m:oMath>
        <m:sSup>
          <m:e>
            <m:r>
              <m:rPr>
                <m:sty m:val="p"/>
              </m:rPr>
              <m:t>∇</m:t>
            </m:r>
          </m:e>
          <m:sup>
            <m:d>
              <m:dPr>
                <m:begChr m:val="("/>
                <m:sepChr m:val=""/>
                <m:endChr m:val=")"/>
                <m:grow/>
              </m:dPr>
              <m:e>
                <m:r>
                  <m:t>α</m:t>
                </m:r>
              </m:e>
            </m:d>
          </m:sup>
        </m:sSup>
      </m:oMath>
      <w:r>
        <w:t xml:space="preserve"> </w:t>
      </w:r>
      <w:r>
        <w:t xml:space="preserve">and</w:t>
      </w:r>
      <w:r>
        <w:t xml:space="preserve"> </w:t>
      </w:r>
      <m:oMath>
        <m:sSup>
          <m:e>
            <m:r>
              <m:rPr>
                <m:sty m:val="p"/>
              </m:rPr>
              <m:t>∇</m:t>
            </m:r>
          </m:e>
          <m:sup>
            <m:d>
              <m:dPr>
                <m:begChr m:val="("/>
                <m:sepChr m:val=""/>
                <m:endChr m:val=")"/>
                <m:grow/>
              </m:dPr>
              <m:e>
                <m:r>
                  <m:rPr>
                    <m:sty m:val="p"/>
                  </m:rPr>
                  <m:t>−</m:t>
                </m:r>
                <m:r>
                  <m:t>α</m:t>
                </m:r>
              </m:e>
            </m:d>
          </m:sup>
        </m:sSup>
      </m:oMath>
      <w:r>
        <w:t xml:space="preserve"> </w:t>
      </w:r>
      <w:r>
        <w:t xml:space="preserve">are dual to each other with respect to the Fisher metric. The simplest way to picture this is that probability space has two natural notions of straightness: one adapted to “multiply and normalize,” the other adapted to “mix and average.” Letter III uses this family of connections as part of its entropic dynamics and interprets nonzero</w:t>
      </w:r>
      <w:r>
        <w:t xml:space="preserve"> </w:t>
      </w:r>
      <m:oMath>
        <m:r>
          <m:t>α</m:t>
        </m:r>
      </m:oMath>
      <w:r>
        <w:t xml:space="preserve"> </w:t>
      </w:r>
      <w:r>
        <w:t xml:space="preserve">as encoding a more general, possibly irreversible informational transport law. That interpretation is ToE-specific, but the underlying geometry is standard.</w:t>
      </w:r>
      <w:r>
        <w:t xml:space="preserve"> </w:t>
      </w:r>
      <w:hyperlink r:id="rId30">
        <w:r>
          <w:rPr>
            <w:rStyle w:val="Hyperlink"/>
          </w:rPr>
          <w:t xml:space="preserve">[14]</w:t>
        </w:r>
      </w:hyperlink>
      <w:r>
        <w:t xml:space="preserve"> </w:t>
      </w:r>
      <w:r>
        <w:t xml:space="preserve">fileciteturn0file0</w:t>
      </w:r>
    </w:p>
    <w:bookmarkEnd w:id="31"/>
    <w:bookmarkStart w:id="37" w:name="the-quantum-information-engine"/>
    <w:p>
      <w:pPr>
        <w:pStyle w:val="Heading2"/>
      </w:pPr>
      <w:r>
        <w:t xml:space="preserve">The quantum-information engine</w:t>
      </w:r>
    </w:p>
    <w:p>
      <w:pPr>
        <w:pStyle w:val="FirstParagraph"/>
      </w:pPr>
      <w:r>
        <w:t xml:space="preserve">Classical probabilities are not enough for Letter III, because quantum theory carries phase, superposition, and entanglement. The geometric space of pure quantum states is not the Hilbert space itself, but the space of</w:t>
      </w:r>
      <w:r>
        <w:t xml:space="preserve"> </w:t>
      </w:r>
      <w:r>
        <w:rPr>
          <w:b/>
          <w:bCs/>
        </w:rPr>
        <w:t xml:space="preserve">rays</w:t>
      </w:r>
      <w:r>
        <w:t xml:space="preserve"> </w:t>
      </w:r>
      <w:r>
        <w:t xml:space="preserve">in Hilbert space, because overall phase does not matter physically. The natural metric on this ray space is the</w:t>
      </w:r>
      <w:r>
        <w:t xml:space="preserve"> </w:t>
      </w:r>
      <w:r>
        <w:rPr>
          <w:b/>
          <w:bCs/>
        </w:rPr>
        <w:t xml:space="preserve">Fubini–Study metric</w:t>
      </w:r>
      <w:r>
        <w:t xml:space="preserve">. For a normalized state</w:t>
      </w:r>
      <w:r>
        <w:t xml:space="preserve"> </w:t>
      </w:r>
      <m:oMath>
        <m:r>
          <m:rPr>
            <m:sty m:val="p"/>
          </m:rPr>
          <m:t>|</m:t>
        </m:r>
        <m:r>
          <m:t>ψ</m:t>
        </m:r>
        <m:r>
          <m:rPr>
            <m:sty m:val="p"/>
          </m:rPr>
          <m:t>⟩</m:t>
        </m:r>
      </m:oMath>
      <w:r>
        <w:t xml:space="preserve">, it is</w:t>
      </w:r>
    </w:p>
    <w:p>
      <w:pPr>
        <w:pStyle w:val="BodyText"/>
      </w:pPr>
      <m:oMathPara>
        <m:oMathParaPr>
          <m:jc m:val="center"/>
        </m:oMathParaPr>
        <m:oMath>
          <m:r>
            <m:t>d</m:t>
          </m:r>
          <m:sSup>
            <m:e>
              <m:r>
                <m:t>s</m:t>
              </m:r>
            </m:e>
            <m:sup>
              <m:r>
                <m:t>2</m:t>
              </m:r>
            </m:sup>
          </m:sSup>
          <m:r>
            <m:rPr>
              <m:sty m:val="p"/>
            </m:rPr>
            <m:t>=</m:t>
          </m:r>
          <m:r>
            <m:rPr>
              <m:sty m:val="p"/>
            </m:rPr>
            <m:t>⟨</m:t>
          </m:r>
          <m:r>
            <m:t>d</m:t>
          </m:r>
          <m:r>
            <m:t>ψ</m:t>
          </m:r>
          <m:r>
            <m:rPr>
              <m:sty m:val="p"/>
            </m:rPr>
            <m:t>∣</m:t>
          </m:r>
          <m:r>
            <m:t>d</m:t>
          </m:r>
          <m:r>
            <m:t>ψ</m:t>
          </m:r>
          <m:r>
            <m:rPr>
              <m:sty m:val="p"/>
            </m:rPr>
            <m:t>⟩</m:t>
          </m:r>
          <m:r>
            <m:rPr>
              <m:sty m:val="p"/>
            </m:rPr>
            <m:t>−</m:t>
          </m:r>
          <m:r>
            <m:rPr>
              <m:sty m:val="p"/>
            </m:rPr>
            <m:t>|</m:t>
          </m:r>
          <m:r>
            <m:rPr>
              <m:sty m:val="p"/>
            </m:rPr>
            <m:t>⟨</m:t>
          </m:r>
          <m:r>
            <m:t>ψ</m:t>
          </m:r>
          <m:r>
            <m:rPr>
              <m:sty m:val="p"/>
            </m:rPr>
            <m:t>∣</m:t>
          </m:r>
          <m:r>
            <m:t>d</m:t>
          </m:r>
          <m:r>
            <m:t>ψ</m:t>
          </m:r>
          <m:r>
            <m:rPr>
              <m:sty m:val="p"/>
            </m:rPr>
            <m:t>⟩</m:t>
          </m:r>
          <m:sSup>
            <m:e>
              <m:r>
                <m:rPr>
                  <m:sty m:val="p"/>
                </m:rPr>
                <m:t>|</m:t>
              </m:r>
            </m:e>
            <m:sup>
              <m:r>
                <m:t>2</m:t>
              </m:r>
            </m:sup>
          </m:sSup>
          <m:r>
            <m:rPr>
              <m:sty m:val="p"/>
            </m:rPr>
            <m:t>.</m:t>
          </m:r>
        </m:oMath>
      </m:oMathPara>
    </w:p>
    <w:p>
      <w:pPr>
        <w:pStyle w:val="FirstParagraph"/>
      </w:pPr>
      <w:r>
        <w:t xml:space="preserve">This removes the physically meaningless phase direction and keeps only true distinguishability between nearby pure states. In quantum geometry this comes from the</w:t>
      </w:r>
      <w:r>
        <w:t xml:space="preserve"> </w:t>
      </w:r>
      <w:r>
        <w:rPr>
          <w:b/>
          <w:bCs/>
        </w:rPr>
        <w:t xml:space="preserve">quantum geometric tensor</w:t>
      </w:r>
      <w:r>
        <w:t xml:space="preserve"> </w:t>
      </w:r>
      <m:oMath>
        <m:sSub>
          <m:e>
            <m:r>
              <m:t>Q</m:t>
            </m:r>
          </m:e>
          <m:sub>
            <m:r>
              <m:t>μ</m:t>
            </m:r>
            <m:r>
              <m:t>ν</m:t>
            </m:r>
          </m:sub>
        </m:sSub>
      </m:oMath>
      <w:r>
        <w:t xml:space="preserve">, whose real part is the metric and whose imaginary part is the Berry curvature.</w:t>
      </w:r>
      <w:r>
        <w:t xml:space="preserve"> </w:t>
      </w:r>
      <w:hyperlink r:id="rId32">
        <w:r>
          <w:rPr>
            <w:rStyle w:val="Hyperlink"/>
          </w:rPr>
          <w:t xml:space="preserve">[15]</w:t>
        </w:r>
      </w:hyperlink>
    </w:p>
    <w:p>
      <w:pPr>
        <w:pStyle w:val="BodyText"/>
      </w:pPr>
      <w:r>
        <w:t xml:space="preserve">For a single qubit, you can make this very visual. A pure qubit state can be written as</w:t>
      </w:r>
    </w:p>
    <w:p>
      <w:pPr>
        <w:pStyle w:val="BodyText"/>
      </w:pPr>
      <m:oMathPara>
        <m:oMathParaPr>
          <m:jc m:val="center"/>
        </m:oMathParaPr>
        <m:oMath>
          <m:d>
            <m:dPr>
              <m:begChr m:val="|"/>
              <m:sepChr m:val=""/>
              <m:endChr m:val="|"/>
              <m:grow/>
            </m:dPr>
            <m:e>
              <m:r>
                <m:t>ψ</m:t>
              </m:r>
              <m:r>
                <m:rPr>
                  <m:sty m:val="p"/>
                </m:rPr>
                <m:t>⟩</m:t>
              </m:r>
              <m:r>
                <m:rPr>
                  <m:sty m:val="p"/>
                </m:rPr>
                <m:t>=</m:t>
              </m:r>
              <m:r>
                <m:rPr>
                  <m:sty m:val="p"/>
                </m:rPr>
                <m:t>cos</m:t>
              </m:r>
              <m:f>
                <m:fPr>
                  <m:type m:val="bar"/>
                </m:fPr>
                <m:num>
                  <m:r>
                    <m:t>θ</m:t>
                  </m:r>
                </m:num>
                <m:den>
                  <m:r>
                    <m:t>2</m:t>
                  </m:r>
                </m:den>
              </m:f>
              <m:r>
                <m:t> </m:t>
              </m:r>
            </m:e>
          </m:d>
          <m:r>
            <m:t>0</m:t>
          </m:r>
          <m:r>
            <m:rPr>
              <m:sty m:val="p"/>
            </m:rPr>
            <m:t>⟩</m:t>
          </m:r>
          <m:r>
            <m:rPr>
              <m:sty m:val="p"/>
            </m:rPr>
            <m:t>+</m:t>
          </m:r>
          <m:sSup>
            <m:e>
              <m:r>
                <m:t>e</m:t>
              </m:r>
            </m:e>
            <m:sup>
              <m:r>
                <m:t>i</m:t>
              </m:r>
              <m:r>
                <m:t>ϕ</m:t>
              </m:r>
            </m:sup>
          </m:sSup>
          <m:r>
            <m:rPr>
              <m:sty m:val="p"/>
            </m:rPr>
            <m:t>sin</m:t>
          </m:r>
          <m:f>
            <m:fPr>
              <m:type m:val="bar"/>
            </m:fPr>
            <m:num>
              <m:r>
                <m:t>θ</m:t>
              </m:r>
            </m:num>
            <m:den>
              <m:r>
                <m:t>2</m:t>
              </m:r>
            </m:den>
          </m:f>
          <m:r>
            <m:t> </m:t>
          </m:r>
          <m:r>
            <m:rPr>
              <m:sty m:val="p"/>
            </m:rPr>
            <m:t>|</m:t>
          </m:r>
          <m:r>
            <m:t>1</m:t>
          </m:r>
          <m:r>
            <m:rPr>
              <m:sty m:val="p"/>
            </m:rPr>
            <m:t>⟩</m:t>
          </m:r>
          <m:r>
            <m:rPr>
              <m:sty m:val="p"/>
            </m:rPr>
            <m:t>.</m:t>
          </m:r>
        </m:oMath>
      </m:oMathPara>
    </w:p>
    <w:p>
      <w:pPr>
        <w:pStyle w:val="FirstParagraph"/>
      </w:pPr>
      <w:r>
        <w:t xml:space="preserve">Then the Fubini–Study line element becomes</w:t>
      </w:r>
    </w:p>
    <w:p>
      <w:pPr>
        <w:pStyle w:val="BodyText"/>
      </w:pPr>
      <m:oMathPara>
        <m:oMathParaPr>
          <m:jc m:val="center"/>
        </m:oMathParaPr>
        <m:oMath>
          <m:r>
            <m:t>d</m:t>
          </m:r>
          <m:sSup>
            <m:e>
              <m:r>
                <m:t>s</m:t>
              </m:r>
            </m:e>
            <m:sup>
              <m:r>
                <m:t>2</m:t>
              </m:r>
            </m:sup>
          </m:sSup>
          <m:r>
            <m:rPr>
              <m:sty m:val="p"/>
            </m:rPr>
            <m:t>=</m:t>
          </m:r>
          <m:f>
            <m:fPr>
              <m:type m:val="bar"/>
            </m:fPr>
            <m:num>
              <m:r>
                <m:t>1</m:t>
              </m:r>
            </m:num>
            <m:den>
              <m:r>
                <m:t>4</m:t>
              </m:r>
            </m:den>
          </m:f>
          <m:d>
            <m:dPr>
              <m:begChr m:val="("/>
              <m:sepChr m:val=""/>
              <m:endChr m:val=")"/>
              <m:grow/>
            </m:dPr>
            <m:e>
              <m:r>
                <m:t>d</m:t>
              </m:r>
              <m:sSup>
                <m:e>
                  <m:r>
                    <m:t>θ</m:t>
                  </m:r>
                </m:e>
                <m:sup>
                  <m:r>
                    <m:t>2</m:t>
                  </m:r>
                </m:sup>
              </m:sSup>
              <m:r>
                <m:rPr>
                  <m:sty m:val="p"/>
                </m:rPr>
                <m:t>+</m:t>
              </m:r>
              <m:sSup>
                <m:e>
                  <m:r>
                    <m:rPr>
                      <m:sty m:val="p"/>
                    </m:rPr>
                    <m:t>sin</m:t>
                  </m:r>
                </m:e>
                <m:sup>
                  <m:r>
                    <m:t>2</m:t>
                  </m:r>
                </m:sup>
              </m:sSup>
              <m:r>
                <m:t>θ</m:t>
              </m:r>
              <m:r>
                <m:t> </m:t>
              </m:r>
              <m:r>
                <m:t>d</m:t>
              </m:r>
              <m:sSup>
                <m:e>
                  <m:r>
                    <m:t>ϕ</m:t>
                  </m:r>
                </m:e>
                <m:sup>
                  <m:r>
                    <m:t>2</m:t>
                  </m:r>
                </m:sup>
              </m:sSup>
            </m:e>
          </m:d>
          <m:r>
            <m:rPr>
              <m:sty m:val="p"/>
            </m:rPr>
            <m:t>.</m:t>
          </m:r>
        </m:oMath>
      </m:oMathPara>
    </w:p>
    <w:p>
      <w:pPr>
        <w:pStyle w:val="FirstParagraph"/>
      </w:pPr>
      <w:r>
        <w:t xml:space="preserve">That is just the metric of a sphere, up to scale. So pure qubit states live on the Bloch sphere. This is a beautiful example of how “state space” becomes literal geometry.</w:t>
      </w:r>
      <w:r>
        <w:t xml:space="preserve"> </w:t>
      </w:r>
      <w:hyperlink r:id="rId33">
        <w:r>
          <w:rPr>
            <w:rStyle w:val="Hyperlink"/>
          </w:rPr>
          <w:t xml:space="preserve">[16]</w:t>
        </w:r>
      </w:hyperlink>
    </w:p>
    <w:p>
      <w:pPr>
        <w:pStyle w:val="BodyText"/>
      </w:pPr>
      <w:r>
        <w:t xml:space="preserve">For mixed states, the natural geometry is more subtle. The</w:t>
      </w:r>
      <w:r>
        <w:t xml:space="preserve"> </w:t>
      </w:r>
      <w:r>
        <w:rPr>
          <w:b/>
          <w:bCs/>
        </w:rPr>
        <w:t xml:space="preserve">Bures metric</w:t>
      </w:r>
      <w:r>
        <w:t xml:space="preserve"> </w:t>
      </w:r>
      <w:r>
        <w:t xml:space="preserve">and related quantum Fisher structures generalize Fubini–Study to density matrices</w:t>
      </w:r>
      <w:r>
        <w:t xml:space="preserve"> </w:t>
      </w:r>
      <m:oMath>
        <m:r>
          <m:t>ρ</m:t>
        </m:r>
      </m:oMath>
      <w:r>
        <w:t xml:space="preserve">. A key fact is that the mixed-state geometry reduces to the Fubini–Study metric for pure states or in the appropriate zero-temperature limit. So there is a quantum-information ladder:</w:t>
      </w:r>
      <w:r>
        <w:t xml:space="preserve"> </w:t>
      </w:r>
      <w:r>
        <w:t xml:space="preserve">classical Fisher geometry for probability distributions, Fubini–Study for pure quantum states, and Bures/quantum Fisher geometry for mixed quantum states. Letter III’s Hybrid Metric–Affine Space is explicitly designed to combine classical Fisher–Rao and quantum Fubini–Study ingredients into one pre-spacetime structure.</w:t>
      </w:r>
      <w:r>
        <w:t xml:space="preserve"> </w:t>
      </w:r>
      <w:hyperlink r:id="rId34">
        <w:r>
          <w:rPr>
            <w:rStyle w:val="Hyperlink"/>
          </w:rPr>
          <w:t xml:space="preserve">[17]</w:t>
        </w:r>
      </w:hyperlink>
      <w:r>
        <w:t xml:space="preserve"> </w:t>
      </w:r>
      <w:r>
        <w:t xml:space="preserve">fileciteturn0file0</w:t>
      </w:r>
    </w:p>
    <w:p>
      <w:pPr>
        <w:pStyle w:val="BodyText"/>
      </w:pPr>
      <w:r>
        <w:t xml:space="preserve">The quantum analogue of KL divergence is the</w:t>
      </w:r>
      <w:r>
        <w:t xml:space="preserve"> </w:t>
      </w:r>
      <w:r>
        <w:rPr>
          <w:b/>
          <w:bCs/>
        </w:rPr>
        <w:t xml:space="preserve">Umegaki quantum relative entropy</w:t>
      </w:r>
      <w:r>
        <w:t xml:space="preserve">:</w:t>
      </w:r>
    </w:p>
    <w:p>
      <w:pPr>
        <w:pStyle w:val="BodyText"/>
      </w:pPr>
      <m:oMathPara>
        <m:oMathParaPr>
          <m:jc m:val="center"/>
        </m:oMathParaPr>
        <m:oMath>
          <m:r>
            <m:t>S</m:t>
          </m:r>
          <m:d>
            <m:dPr>
              <m:begChr m:val="("/>
              <m:sepChr m:val=""/>
              <m:endChr m:val=")"/>
              <m:grow/>
            </m:dPr>
            <m:e>
              <m:r>
                <m:t>ρ</m:t>
              </m:r>
              <m:r>
                <m:rPr>
                  <m:sty m:val="p"/>
                </m:rPr>
                <m:t>∥</m:t>
              </m:r>
              <m:r>
                <m:t>σ</m:t>
              </m:r>
            </m:e>
          </m:d>
          <m:r>
            <m:rPr>
              <m:sty m:val="p"/>
            </m:rPr>
            <m:t>=</m:t>
          </m:r>
          <m:r>
            <m:rPr>
              <m:sty m:val="p"/>
            </m:rPr>
            <m:t>Tr</m:t>
          </m:r>
          <m:r>
            <m:t>​</m:t>
          </m:r>
          <m:d>
            <m:dPr>
              <m:begChr m:val="["/>
              <m:sepChr m:val=""/>
              <m:endChr m:val="]"/>
              <m:grow/>
            </m:dPr>
            <m:e>
              <m:r>
                <m:t>ρ</m:t>
              </m:r>
              <m:d>
                <m:dPr>
                  <m:begChr m:val="("/>
                  <m:sepChr m:val=""/>
                  <m:endChr m:val=")"/>
                  <m:grow/>
                </m:dPr>
                <m:e>
                  <m:r>
                    <m:rPr>
                      <m:sty m:val="p"/>
                    </m:rPr>
                    <m:t>log</m:t>
                  </m:r>
                  <m:r>
                    <m:t>ρ</m:t>
                  </m:r>
                  <m:r>
                    <m:rPr>
                      <m:sty m:val="p"/>
                    </m:rPr>
                    <m:t>−</m:t>
                  </m:r>
                  <m:r>
                    <m:rPr>
                      <m:sty m:val="p"/>
                    </m:rPr>
                    <m:t>log</m:t>
                  </m:r>
                  <m:r>
                    <m:t>σ</m:t>
                  </m:r>
                </m:e>
              </m:d>
            </m:e>
          </m:d>
          <m:r>
            <m:rPr>
              <m:sty m:val="p"/>
            </m:rPr>
            <m:t>.</m:t>
          </m:r>
        </m:oMath>
      </m:oMathPara>
    </w:p>
    <w:p>
      <w:pPr>
        <w:pStyle w:val="FirstParagraph"/>
      </w:pPr>
      <w:r>
        <w:t xml:space="preserve">If</w:t>
      </w:r>
      <w:r>
        <w:t xml:space="preserve"> </w:t>
      </w:r>
      <m:oMath>
        <m:r>
          <m:t>ρ</m:t>
        </m:r>
      </m:oMath>
      <w:r>
        <w:t xml:space="preserve"> </w:t>
      </w:r>
      <w:r>
        <w:t xml:space="preserve">and</w:t>
      </w:r>
      <w:r>
        <w:t xml:space="preserve"> </w:t>
      </w:r>
      <m:oMath>
        <m:r>
          <m:t>σ</m:t>
        </m:r>
      </m:oMath>
      <w:r>
        <w:t xml:space="preserve"> </w:t>
      </w:r>
      <w:r>
        <w:t xml:space="preserve">commute, then they can be diagonalized together and this reduces exactly to the classical KL divergence of their eigenvalue distributions. So quantum relative entropy is not a random new object; it is the genuine operator-level extension of classical relative entropy. It is nonnegative, vanishes only when the two states agree, and is monotone under physically allowed coarse-graining operations.</w:t>
      </w:r>
      <w:r>
        <w:t xml:space="preserve"> </w:t>
      </w:r>
      <w:hyperlink r:id="rId35">
        <w:r>
          <w:rPr>
            <w:rStyle w:val="Hyperlink"/>
          </w:rPr>
          <w:t xml:space="preserve">[18]</w:t>
        </w:r>
      </w:hyperlink>
    </w:p>
    <w:p>
      <w:pPr>
        <w:pStyle w:val="BodyText"/>
      </w:pPr>
      <w:r>
        <w:t xml:space="preserve">You asked specifically about</w:t>
      </w:r>
      <w:r>
        <w:t xml:space="preserve"> </w:t>
      </w:r>
      <w:r>
        <w:rPr>
          <w:b/>
          <w:bCs/>
        </w:rPr>
        <w:t xml:space="preserve">Araki–Umegaki divergence</w:t>
      </w:r>
      <w:r>
        <w:t xml:space="preserve">. The cleanest way to say it is this. In finite-dimensional quantum information, the formula above is usually called</w:t>
      </w:r>
      <w:r>
        <w:t xml:space="preserve"> </w:t>
      </w:r>
      <w:r>
        <w:rPr>
          <w:b/>
          <w:bCs/>
        </w:rPr>
        <w:t xml:space="preserve">Umegaki relative entropy</w:t>
      </w:r>
      <w:r>
        <w:t xml:space="preserve">. In operator-algebraic and quantum-field-theoretic settings, Araki developed the more general relative entropy framework for states on von Neumann algebras, and there are also Araki–Uhlmann formulations in QFT. So when people loosely say “Araki–Umegaki,” they usually mean the family resemblance between the finite-dimensional Umegaki formula and its operator-algebraic generalizations. For learning purposes, the formula above is the one you should hold onto first.</w:t>
      </w:r>
      <w:r>
        <w:t xml:space="preserve"> </w:t>
      </w:r>
      <w:hyperlink r:id="rId35">
        <w:r>
          <w:rPr>
            <w:rStyle w:val="Hyperlink"/>
          </w:rPr>
          <w:t xml:space="preserve">[19]</w:t>
        </w:r>
      </w:hyperlink>
    </w:p>
    <w:p>
      <w:pPr>
        <w:pStyle w:val="BodyText"/>
      </w:pPr>
      <w:r>
        <w:t xml:space="preserve">This matters for ToE because Bianconi’s recent “gravity from entropy” theory uses a</w:t>
      </w:r>
      <w:r>
        <w:t xml:space="preserve"> </w:t>
      </w:r>
      <w:r>
        <w:rPr>
          <w:b/>
          <w:bCs/>
        </w:rPr>
        <w:t xml:space="preserve">quantum relative entropy</w:t>
      </w:r>
      <w:r>
        <w:t xml:space="preserve"> </w:t>
      </w:r>
      <w:r>
        <w:t xml:space="preserve">between a spacetime metric operator and a matter-induced metric operator as the action. Letter III places ToE in conversation with that program but wants to go further, by making the geometry itself arise from information manifolds before the entropic gravitational action is written down.</w:t>
      </w:r>
      <w:r>
        <w:t xml:space="preserve"> </w:t>
      </w:r>
      <w:hyperlink r:id="rId36">
        <w:r>
          <w:rPr>
            <w:rStyle w:val="Hyperlink"/>
          </w:rPr>
          <w:t xml:space="preserve">[20]</w:t>
        </w:r>
      </w:hyperlink>
      <w:r>
        <w:t xml:space="preserve"> </w:t>
      </w:r>
      <w:r>
        <w:t xml:space="preserve">fileciteturn0file0</w:t>
      </w:r>
    </w:p>
    <w:bookmarkEnd w:id="37"/>
    <w:bookmarkStart w:id="40" w:name="the-einstein-gravity-side"/>
    <w:p>
      <w:pPr>
        <w:pStyle w:val="Heading2"/>
      </w:pPr>
      <w:r>
        <w:t xml:space="preserve">The Einstein-gravity side</w:t>
      </w:r>
    </w:p>
    <w:p>
      <w:pPr>
        <w:pStyle w:val="FirstParagraph"/>
      </w:pPr>
      <w:r>
        <w:t xml:space="preserve">Once a metric</w:t>
      </w:r>
      <w:r>
        <w:t xml:space="preserve"> </w:t>
      </w:r>
      <m:oMath>
        <m:sSub>
          <m:e>
            <m:r>
              <m:t>g</m:t>
            </m:r>
          </m:e>
          <m:sub>
            <m:r>
              <m:t>μ</m:t>
            </m:r>
            <m:r>
              <m:t>ν</m:t>
            </m:r>
          </m:sub>
        </m:sSub>
      </m:oMath>
      <w:r>
        <w:t xml:space="preserve"> </w:t>
      </w:r>
      <w:r>
        <w:t xml:space="preserve">exists on spacetime, differential geometry gives you a chain of constructions. The metric determines the Christoffel connection</w:t>
      </w:r>
    </w:p>
    <w:p>
      <w:pPr>
        <w:pStyle w:val="BodyText"/>
      </w:pPr>
      <m:oMathPara>
        <m:oMathParaPr>
          <m:jc m:val="center"/>
        </m:oMathParaPr>
        <m:oMath>
          <m:sSubSup>
            <m:e>
              <m:r>
                <m:t>Γ</m:t>
              </m:r>
            </m:e>
            <m:sub>
              <m:r>
                <m:t>μ</m:t>
              </m:r>
              <m:r>
                <m:t>ν</m:t>
              </m:r>
            </m:sub>
            <m:sup>
              <m:r>
                <m:t>ρ</m:t>
              </m:r>
            </m:sup>
          </m:sSubSup>
          <m:r>
            <m:rPr>
              <m:sty m:val="p"/>
            </m:rPr>
            <m:t>=</m:t>
          </m:r>
          <m:f>
            <m:fPr>
              <m:type m:val="bar"/>
            </m:fPr>
            <m:num>
              <m:r>
                <m:t>1</m:t>
              </m:r>
            </m:num>
            <m:den>
              <m:r>
                <m:t>2</m:t>
              </m:r>
            </m:den>
          </m:f>
          <m:sSup>
            <m:e>
              <m:r>
                <m:t>g</m:t>
              </m:r>
            </m:e>
            <m:sup>
              <m:r>
                <m:t>ρ</m:t>
              </m:r>
              <m:r>
                <m:t>σ</m:t>
              </m:r>
            </m:sup>
          </m:sSup>
          <m:d>
            <m:dPr>
              <m:begChr m:val="("/>
              <m:sepChr m:val=""/>
              <m:endChr m:val=")"/>
              <m:grow/>
            </m:dPr>
            <m:e>
              <m:sSub>
                <m:e>
                  <m:r>
                    <m:rPr>
                      <m:sty m:val="p"/>
                    </m:rPr>
                    <m:t>∂</m:t>
                  </m:r>
                </m:e>
                <m:sub>
                  <m:r>
                    <m:t>μ</m:t>
                  </m:r>
                </m:sub>
              </m:sSub>
              <m:sSub>
                <m:e>
                  <m:r>
                    <m:t>g</m:t>
                  </m:r>
                </m:e>
                <m:sub>
                  <m:r>
                    <m:t>ν</m:t>
                  </m:r>
                  <m:r>
                    <m:t>σ</m:t>
                  </m:r>
                </m:sub>
              </m:sSub>
              <m:r>
                <m:rPr>
                  <m:sty m:val="p"/>
                </m:rPr>
                <m:t>+</m:t>
              </m:r>
              <m:sSub>
                <m:e>
                  <m:r>
                    <m:rPr>
                      <m:sty m:val="p"/>
                    </m:rPr>
                    <m:t>∂</m:t>
                  </m:r>
                </m:e>
                <m:sub>
                  <m:r>
                    <m:t>ν</m:t>
                  </m:r>
                </m:sub>
              </m:sSub>
              <m:sSub>
                <m:e>
                  <m:r>
                    <m:t>g</m:t>
                  </m:r>
                </m:e>
                <m:sub>
                  <m:r>
                    <m:t>μ</m:t>
                  </m:r>
                  <m:r>
                    <m:t>σ</m:t>
                  </m:r>
                </m:sub>
              </m:sSub>
              <m:r>
                <m:rPr>
                  <m:sty m:val="p"/>
                </m:rPr>
                <m:t>−</m:t>
              </m:r>
              <m:sSub>
                <m:e>
                  <m:r>
                    <m:rPr>
                      <m:sty m:val="p"/>
                    </m:rPr>
                    <m:t>∂</m:t>
                  </m:r>
                </m:e>
                <m:sub>
                  <m:r>
                    <m:t>σ</m:t>
                  </m:r>
                </m:sub>
              </m:sSub>
              <m:sSub>
                <m:e>
                  <m:r>
                    <m:t>g</m:t>
                  </m:r>
                </m:e>
                <m:sub>
                  <m:r>
                    <m:t>μ</m:t>
                  </m:r>
                  <m:r>
                    <m:t>ν</m:t>
                  </m:r>
                </m:sub>
              </m:sSub>
            </m:e>
          </m:d>
          <m:r>
            <m:rPr>
              <m:sty m:val="p"/>
            </m:rPr>
            <m:t>,</m:t>
          </m:r>
        </m:oMath>
      </m:oMathPara>
    </w:p>
    <w:p>
      <w:pPr>
        <w:pStyle w:val="FirstParagraph"/>
      </w:pPr>
      <w:r>
        <w:t xml:space="preserve">which tells you how vectors change when transported. From the connection you build the Riemann curvature tensor,</w:t>
      </w:r>
    </w:p>
    <w:p>
      <w:pPr>
        <w:pStyle w:val="BodyText"/>
      </w:pPr>
      <m:oMathPara>
        <m:oMathParaPr>
          <m:jc m:val="center"/>
        </m:oMathParaPr>
        <m:oMath>
          <m:sSub>
            <m:e>
              <m:sSup>
                <m:e>
                  <m:r>
                    <m:t>R</m:t>
                  </m:r>
                </m:e>
                <m:sup>
                  <m:r>
                    <m:t>ρ</m:t>
                  </m:r>
                </m:sup>
              </m:sSup>
            </m:e>
            <m:sub>
              <m:r>
                <m:t>σ</m:t>
              </m:r>
              <m:r>
                <m:t>μ</m:t>
              </m:r>
              <m:r>
                <m:t>ν</m:t>
              </m:r>
            </m:sub>
          </m:sSub>
          <m:r>
            <m:rPr>
              <m:sty m:val="p"/>
            </m:rPr>
            <m:t>=</m:t>
          </m:r>
          <m:sSub>
            <m:e>
              <m:r>
                <m:rPr>
                  <m:sty m:val="p"/>
                </m:rPr>
                <m:t>∂</m:t>
              </m:r>
            </m:e>
            <m:sub>
              <m:r>
                <m:t>μ</m:t>
              </m:r>
            </m:sub>
          </m:sSub>
          <m:sSubSup>
            <m:e>
              <m:r>
                <m:t>Γ</m:t>
              </m:r>
            </m:e>
            <m:sub>
              <m:r>
                <m:t>ν</m:t>
              </m:r>
              <m:r>
                <m:t>σ</m:t>
              </m:r>
            </m:sub>
            <m:sup>
              <m:r>
                <m:t>ρ</m:t>
              </m:r>
            </m:sup>
          </m:sSubSup>
          <m:r>
            <m:rPr>
              <m:sty m:val="p"/>
            </m:rPr>
            <m:t>−</m:t>
          </m:r>
          <m:sSub>
            <m:e>
              <m:r>
                <m:rPr>
                  <m:sty m:val="p"/>
                </m:rPr>
                <m:t>∂</m:t>
              </m:r>
            </m:e>
            <m:sub>
              <m:r>
                <m:t>ν</m:t>
              </m:r>
            </m:sub>
          </m:sSub>
          <m:sSubSup>
            <m:e>
              <m:r>
                <m:t>Γ</m:t>
              </m:r>
            </m:e>
            <m:sub>
              <m:r>
                <m:t>μ</m:t>
              </m:r>
              <m:r>
                <m:t>σ</m:t>
              </m:r>
            </m:sub>
            <m:sup>
              <m:r>
                <m:t>ρ</m:t>
              </m:r>
            </m:sup>
          </m:sSubSup>
          <m:r>
            <m:rPr>
              <m:sty m:val="p"/>
            </m:rPr>
            <m:t>+</m:t>
          </m:r>
          <m:sSubSup>
            <m:e>
              <m:r>
                <m:t>Γ</m:t>
              </m:r>
            </m:e>
            <m:sub>
              <m:r>
                <m:t>μ</m:t>
              </m:r>
              <m:r>
                <m:t>λ</m:t>
              </m:r>
            </m:sub>
            <m:sup>
              <m:r>
                <m:t>ρ</m:t>
              </m:r>
            </m:sup>
          </m:sSubSup>
          <m:sSubSup>
            <m:e>
              <m:r>
                <m:t>Γ</m:t>
              </m:r>
            </m:e>
            <m:sub>
              <m:r>
                <m:t>ν</m:t>
              </m:r>
              <m:r>
                <m:t>σ</m:t>
              </m:r>
            </m:sub>
            <m:sup>
              <m:r>
                <m:t>λ</m:t>
              </m:r>
            </m:sup>
          </m:sSubSup>
          <m:r>
            <m:rPr>
              <m:sty m:val="p"/>
            </m:rPr>
            <m:t>−</m:t>
          </m:r>
          <m:sSubSup>
            <m:e>
              <m:r>
                <m:t>Γ</m:t>
              </m:r>
            </m:e>
            <m:sub>
              <m:r>
                <m:t>ν</m:t>
              </m:r>
              <m:r>
                <m:t>λ</m:t>
              </m:r>
            </m:sub>
            <m:sup>
              <m:r>
                <m:t>ρ</m:t>
              </m:r>
            </m:sup>
          </m:sSubSup>
          <m:sSubSup>
            <m:e>
              <m:r>
                <m:t>Γ</m:t>
              </m:r>
            </m:e>
            <m:sub>
              <m:r>
                <m:t>μ</m:t>
              </m:r>
              <m:r>
                <m:t>σ</m:t>
              </m:r>
            </m:sub>
            <m:sup>
              <m:r>
                <m:t>λ</m:t>
              </m:r>
            </m:sup>
          </m:sSubSup>
          <m:r>
            <m:rPr>
              <m:sty m:val="p"/>
            </m:rPr>
            <m:t>.</m:t>
          </m:r>
        </m:oMath>
      </m:oMathPara>
    </w:p>
    <w:p>
      <w:pPr>
        <w:pStyle w:val="FirstParagraph"/>
      </w:pPr>
      <w:r>
        <w:t xml:space="preserve">Contracting indices gives the Ricci tensor</w:t>
      </w:r>
      <w:r>
        <w:t xml:space="preserve"> </w:t>
      </w:r>
      <m:oMath>
        <m:sSub>
          <m:e>
            <m:r>
              <m:t>R</m:t>
            </m:r>
          </m:e>
          <m:sub>
            <m:r>
              <m:t>μ</m:t>
            </m:r>
            <m:r>
              <m:t>ν</m:t>
            </m:r>
          </m:sub>
        </m:sSub>
      </m:oMath>
      <w:r>
        <w:t xml:space="preserve">, and contracting once more gives the scalar curvature</w:t>
      </w:r>
      <w:r>
        <w:t xml:space="preserve"> </w:t>
      </w:r>
      <m:oMath>
        <m:r>
          <m:t>R</m:t>
        </m:r>
      </m:oMath>
      <w:r>
        <w:t xml:space="preserve">. Finally, the particular rank-2 tensor that enters Einstein’s equation is</w:t>
      </w:r>
    </w:p>
    <w:p>
      <w:pPr>
        <w:pStyle w:val="BodyText"/>
      </w:pPr>
      <m:oMathPara>
        <m:oMathParaPr>
          <m:jc m:val="center"/>
        </m:oMathParaPr>
        <m:oMath>
          <m:sSub>
            <m:e>
              <m:r>
                <m:t>G</m:t>
              </m:r>
            </m:e>
            <m:sub>
              <m:r>
                <m:t>μ</m:t>
              </m:r>
              <m:r>
                <m:t>ν</m:t>
              </m:r>
            </m:sub>
          </m:sSub>
          <m:r>
            <m:rPr>
              <m:sty m:val="p"/>
            </m:rPr>
            <m:t>=</m:t>
          </m:r>
          <m:sSub>
            <m:e>
              <m:r>
                <m:t>R</m:t>
              </m:r>
            </m:e>
            <m:sub>
              <m:r>
                <m:t>μ</m:t>
              </m:r>
              <m:r>
                <m:t>ν</m:t>
              </m:r>
            </m:sub>
          </m:sSub>
          <m:r>
            <m:rPr>
              <m:sty m:val="p"/>
            </m:rPr>
            <m:t>−</m:t>
          </m:r>
          <m:f>
            <m:fPr>
              <m:type m:val="bar"/>
            </m:fPr>
            <m:num>
              <m:r>
                <m:t>1</m:t>
              </m:r>
            </m:num>
            <m:den>
              <m:r>
                <m:t>2</m:t>
              </m:r>
            </m:den>
          </m:f>
          <m:r>
            <m:t>R</m:t>
          </m:r>
          <m:r>
            <m:t> </m:t>
          </m:r>
          <m:sSub>
            <m:e>
              <m:r>
                <m:t>g</m:t>
              </m:r>
            </m:e>
            <m:sub>
              <m:r>
                <m:t>μ</m:t>
              </m:r>
              <m:r>
                <m:t>ν</m:t>
              </m:r>
            </m:sub>
          </m:sSub>
          <m:r>
            <m:rPr>
              <m:sty m:val="p"/>
            </m:rPr>
            <m:t>.</m:t>
          </m:r>
        </m:oMath>
      </m:oMathPara>
    </w:p>
    <w:p>
      <w:pPr>
        <w:pStyle w:val="FirstParagraph"/>
      </w:pPr>
      <w:r>
        <w:t xml:space="preserve">This is the left-hand side of general relativity.</w:t>
      </w:r>
      <w:r>
        <w:t xml:space="preserve"> </w:t>
      </w:r>
      <w:hyperlink r:id="rId38">
        <w:r>
          <w:rPr>
            <w:rStyle w:val="Hyperlink"/>
          </w:rPr>
          <w:t xml:space="preserve">[21]</w:t>
        </w:r>
      </w:hyperlink>
    </w:p>
    <w:p>
      <w:pPr>
        <w:pStyle w:val="BodyText"/>
      </w:pPr>
      <w:r>
        <w:t xml:space="preserve">The reason</w:t>
      </w:r>
      <w:r>
        <w:t xml:space="preserve"> </w:t>
      </w:r>
      <m:oMath>
        <m:sSub>
          <m:e>
            <m:r>
              <m:t>G</m:t>
            </m:r>
          </m:e>
          <m:sub>
            <m:r>
              <m:t>μ</m:t>
            </m:r>
            <m:r>
              <m:t>ν</m:t>
            </m:r>
          </m:sub>
        </m:sSub>
      </m:oMath>
      <w:r>
        <w:t xml:space="preserve"> </w:t>
      </w:r>
      <w:r>
        <w:t xml:space="preserve">is so special is the</w:t>
      </w:r>
      <w:r>
        <w:t xml:space="preserve"> </w:t>
      </w:r>
      <w:r>
        <w:rPr>
          <w:b/>
          <w:bCs/>
        </w:rPr>
        <w:t xml:space="preserve">Bianchi identity</w:t>
      </w:r>
      <w:r>
        <w:t xml:space="preserve">. At the full curvature level one has a cyclic identity for the Riemann tensor, and when indices are contracted the result is</w:t>
      </w:r>
    </w:p>
    <w:p>
      <w:pPr>
        <w:pStyle w:val="BodyText"/>
      </w:pPr>
      <m:oMathPara>
        <m:oMathParaPr>
          <m:jc m:val="center"/>
        </m:oMathParaPr>
        <m:oMath>
          <m:sSup>
            <m:e>
              <m:r>
                <m:rPr>
                  <m:sty m:val="p"/>
                </m:rPr>
                <m:t>∇</m:t>
              </m:r>
            </m:e>
            <m:sup>
              <m:r>
                <m:t>μ</m:t>
              </m:r>
            </m:sup>
          </m:sSup>
          <m:sSub>
            <m:e>
              <m:r>
                <m:t>G</m:t>
              </m:r>
            </m:e>
            <m:sub>
              <m:r>
                <m:t>μ</m:t>
              </m:r>
              <m:r>
                <m:t>ν</m:t>
              </m:r>
            </m:sub>
          </m:sSub>
          <m:r>
            <m:rPr>
              <m:sty m:val="p"/>
            </m:rPr>
            <m:t>=</m:t>
          </m:r>
          <m:r>
            <m:t>0</m:t>
          </m:r>
          <m:r>
            <m:rPr>
              <m:sty m:val="p"/>
            </m:rPr>
            <m:t>.</m:t>
          </m:r>
        </m:oMath>
      </m:oMathPara>
    </w:p>
    <w:p>
      <w:pPr>
        <w:pStyle w:val="FirstParagraph"/>
      </w:pPr>
      <w:r>
        <w:t xml:space="preserve">This is not a matter equation; it is a pure geometric identity. Physically, it means the left-hand side of Einstein’s equation is automatically divergence-free. Therefore the right-hand side must also be divergence-free. That is why matter must obey a local conservation law</w:t>
      </w:r>
    </w:p>
    <w:p>
      <w:pPr>
        <w:pStyle w:val="BodyText"/>
      </w:pPr>
      <m:oMathPara>
        <m:oMathParaPr>
          <m:jc m:val="center"/>
        </m:oMathParaPr>
        <m:oMath>
          <m:sSup>
            <m:e>
              <m:r>
                <m:rPr>
                  <m:sty m:val="p"/>
                </m:rPr>
                <m:t>∇</m:t>
              </m:r>
            </m:e>
            <m:sup>
              <m:r>
                <m:t>μ</m:t>
              </m:r>
            </m:sup>
          </m:sSup>
          <m:sSub>
            <m:e>
              <m:r>
                <m:t>T</m:t>
              </m:r>
            </m:e>
            <m:sub>
              <m:r>
                <m:t>μ</m:t>
              </m:r>
              <m:r>
                <m:t>ν</m:t>
              </m:r>
            </m:sub>
          </m:sSub>
          <m:r>
            <m:rPr>
              <m:sty m:val="p"/>
            </m:rPr>
            <m:t>=</m:t>
          </m:r>
          <m:r>
            <m:t>0</m:t>
          </m:r>
          <m:r>
            <m:rPr>
              <m:sty m:val="p"/>
            </m:rPr>
            <m:t>.</m:t>
          </m:r>
        </m:oMath>
      </m:oMathPara>
    </w:p>
    <w:p>
      <w:pPr>
        <w:pStyle w:val="FirstParagraph"/>
      </w:pPr>
      <w:r>
        <w:t xml:space="preserve">Any theory that wants to replace Einstein’s matter source by an entropic source must satisfy the same structural requirement. This is one of the strongest mathematical constraints on ToE’s right-hand side program.</w:t>
      </w:r>
      <w:r>
        <w:t xml:space="preserve"> </w:t>
      </w:r>
      <w:hyperlink r:id="rId39">
        <w:r>
          <w:rPr>
            <w:rStyle w:val="Hyperlink"/>
          </w:rPr>
          <w:t xml:space="preserve">[22]</w:t>
        </w:r>
      </w:hyperlink>
    </w:p>
    <w:p>
      <w:pPr>
        <w:pStyle w:val="BodyText"/>
      </w:pPr>
      <w:r>
        <w:t xml:space="preserve">The metric field equations come from the</w:t>
      </w:r>
      <w:r>
        <w:t xml:space="preserve"> </w:t>
      </w:r>
      <w:r>
        <w:rPr>
          <w:b/>
          <w:bCs/>
        </w:rPr>
        <w:t xml:space="preserve">Einstein–Hilbert action</w:t>
      </w:r>
    </w:p>
    <w:p>
      <w:pPr>
        <w:pStyle w:val="BodyText"/>
      </w:pPr>
      <m:oMathPara>
        <m:oMathParaPr>
          <m:jc m:val="center"/>
        </m:oMathParaPr>
        <m:oMath>
          <m:sSub>
            <m:e>
              <m:r>
                <m:t>S</m:t>
              </m:r>
            </m:e>
            <m:sub>
              <m:r>
                <m:rPr>
                  <m:sty m:val="p"/>
                </m:rPr>
                <m:t>E</m:t>
              </m:r>
              <m:r>
                <m:rPr>
                  <m:sty m:val="p"/>
                </m:rPr>
                <m:t>H</m:t>
              </m:r>
            </m:sub>
          </m:sSub>
          <m:r>
            <m:rPr>
              <m:sty m:val="p"/>
            </m:rPr>
            <m:t>=</m:t>
          </m:r>
          <m:f>
            <m:fPr>
              <m:type m:val="bar"/>
            </m:fPr>
            <m:num>
              <m:r>
                <m:t>1</m:t>
              </m:r>
            </m:num>
            <m:den>
              <m:r>
                <m:t>2</m:t>
              </m:r>
              <m:r>
                <m:t>κ</m:t>
              </m:r>
            </m:den>
          </m:f>
          <m:r>
            <m:rPr>
              <m:sty m:val="p"/>
            </m:rPr>
            <m:t>∫</m:t>
          </m:r>
          <m:r>
            <m:t>R</m:t>
          </m:r>
          <m:rad>
            <m:radPr>
              <m:degHide m:val="on"/>
            </m:radPr>
            <m:deg/>
            <m:e>
              <m:r>
                <m:rPr>
                  <m:sty m:val="p"/>
                </m:rPr>
                <m:t>−</m:t>
              </m:r>
              <m:r>
                <m:t>g</m:t>
              </m:r>
            </m:e>
          </m:rad>
          <m:r>
            <m:t> </m:t>
          </m:r>
          <m:sSup>
            <m:e>
              <m:r>
                <m:t>d</m:t>
              </m:r>
            </m:e>
            <m:sup>
              <m:r>
                <m:t>4</m:t>
              </m:r>
            </m:sup>
          </m:sSup>
          <m:r>
            <m:t>x</m:t>
          </m:r>
          <m:r>
            <m:rPr>
              <m:sty m:val="p"/>
            </m:rPr>
            <m:t>,</m:t>
          </m:r>
          <m:r>
            <m:t>  </m:t>
          </m:r>
          <m:r>
            <m:t>κ</m:t>
          </m:r>
          <m:r>
            <m:rPr>
              <m:sty m:val="p"/>
            </m:rPr>
            <m:t>=</m:t>
          </m:r>
          <m:f>
            <m:fPr>
              <m:type m:val="bar"/>
            </m:fPr>
            <m:num>
              <m:r>
                <m:t>8</m:t>
              </m:r>
              <m:r>
                <m:t>π</m:t>
              </m:r>
              <m:r>
                <m:t>G</m:t>
              </m:r>
            </m:num>
            <m:den>
              <m:sSup>
                <m:e>
                  <m:r>
                    <m:t>c</m:t>
                  </m:r>
                </m:e>
                <m:sup>
                  <m:r>
                    <m:t>4</m:t>
                  </m:r>
                </m:sup>
              </m:sSup>
            </m:den>
          </m:f>
          <m:r>
            <m:rPr>
              <m:sty m:val="p"/>
            </m:rPr>
            <m:t>.</m:t>
          </m:r>
        </m:oMath>
      </m:oMathPara>
    </w:p>
    <w:p>
      <w:pPr>
        <w:pStyle w:val="FirstParagraph"/>
      </w:pPr>
      <w:r>
        <w:t xml:space="preserve">Varying this action with respect to the metric gives Einstein’s equations. The Palatini identity controls the variation of the Ricci tensor, and integration by parts moves derivative terms off the metric variation. That is why the Einstein tensor appears naturally rather than by guesswork. Letter III repeatedly uses this variational picture as the target low-energy limit of ToE.</w:t>
      </w:r>
      <w:r>
        <w:t xml:space="preserve"> </w:t>
      </w:r>
      <w:hyperlink r:id="rId38">
        <w:r>
          <w:rPr>
            <w:rStyle w:val="Hyperlink"/>
          </w:rPr>
          <w:t xml:space="preserve">[23]</w:t>
        </w:r>
      </w:hyperlink>
      <w:r>
        <w:t xml:space="preserve"> </w:t>
      </w:r>
      <w:r>
        <w:t xml:space="preserve">fileciteturn0file0</w:t>
      </w:r>
    </w:p>
    <w:p>
      <w:pPr>
        <w:pStyle w:val="BodyText"/>
      </w:pPr>
      <w:r>
        <w:t xml:space="preserve">On the right-hand side stands the</w:t>
      </w:r>
      <w:r>
        <w:t xml:space="preserve"> </w:t>
      </w:r>
      <w:r>
        <w:rPr>
          <w:b/>
          <w:bCs/>
        </w:rPr>
        <w:t xml:space="preserve">stress–energy tensor</w:t>
      </w:r>
      <w:r>
        <w:t xml:space="preserve"> </w:t>
      </w:r>
      <m:oMath>
        <m:sSub>
          <m:e>
            <m:r>
              <m:t>T</m:t>
            </m:r>
          </m:e>
          <m:sub>
            <m:r>
              <m:t>μ</m:t>
            </m:r>
            <m:r>
              <m:t>ν</m:t>
            </m:r>
          </m:sub>
        </m:sSub>
      </m:oMath>
      <w:r>
        <w:t xml:space="preserve">, which packages energy density, momentum density, pressure, shear stress, and flux. In a perfect fluid one writes</w:t>
      </w:r>
    </w:p>
    <w:p>
      <w:pPr>
        <w:pStyle w:val="BodyText"/>
      </w:pPr>
      <m:oMathPara>
        <m:oMathParaPr>
          <m:jc m:val="center"/>
        </m:oMathParaPr>
        <m:oMath>
          <m:sSub>
            <m:e>
              <m:r>
                <m:t>T</m:t>
              </m:r>
            </m:e>
            <m:sub>
              <m:r>
                <m:t>μ</m:t>
              </m:r>
              <m:r>
                <m:t>ν</m:t>
              </m:r>
            </m:sub>
          </m:sSub>
          <m:r>
            <m:rPr>
              <m:sty m:val="p"/>
            </m:rPr>
            <m:t>=</m:t>
          </m:r>
          <m:d>
            <m:dPr>
              <m:begChr m:val="("/>
              <m:sepChr m:val=""/>
              <m:endChr m:val=")"/>
              <m:grow/>
            </m:dPr>
            <m:e>
              <m:r>
                <m:t>ρ</m:t>
              </m:r>
              <m:r>
                <m:rPr>
                  <m:sty m:val="p"/>
                </m:rPr>
                <m:t>+</m:t>
              </m:r>
              <m:r>
                <m:t>p</m:t>
              </m:r>
            </m:e>
          </m:d>
          <m:sSub>
            <m:e>
              <m:r>
                <m:t>u</m:t>
              </m:r>
            </m:e>
            <m:sub>
              <m:r>
                <m:t>μ</m:t>
              </m:r>
            </m:sub>
          </m:sSub>
          <m:sSub>
            <m:e>
              <m:r>
                <m:t>u</m:t>
              </m:r>
            </m:e>
            <m:sub>
              <m:r>
                <m:t>ν</m:t>
              </m:r>
            </m:sub>
          </m:sSub>
          <m:r>
            <m:rPr>
              <m:sty m:val="p"/>
            </m:rPr>
            <m:t>+</m:t>
          </m:r>
          <m:r>
            <m:t>p</m:t>
          </m:r>
          <m:r>
            <m:t> </m:t>
          </m:r>
          <m:sSub>
            <m:e>
              <m:r>
                <m:t>g</m:t>
              </m:r>
            </m:e>
            <m:sub>
              <m:r>
                <m:t>μ</m:t>
              </m:r>
              <m:r>
                <m:t>ν</m:t>
              </m:r>
            </m:sub>
          </m:sSub>
          <m:r>
            <m:rPr>
              <m:sty m:val="p"/>
            </m:rPr>
            <m:t>,</m:t>
          </m:r>
        </m:oMath>
      </m:oMathPara>
    </w:p>
    <w:p>
      <w:pPr>
        <w:pStyle w:val="FirstParagraph"/>
      </w:pPr>
      <w:r>
        <w:t xml:space="preserve">up to signature convention. Here</w:t>
      </w:r>
      <w:r>
        <w:t xml:space="preserve"> </w:t>
      </w:r>
      <m:oMath>
        <m:r>
          <m:t>ρ</m:t>
        </m:r>
      </m:oMath>
      <w:r>
        <w:t xml:space="preserve"> </w:t>
      </w:r>
      <w:r>
        <w:t xml:space="preserve">is energy density,</w:t>
      </w:r>
      <w:r>
        <w:t xml:space="preserve"> </w:t>
      </w:r>
      <m:oMath>
        <m:r>
          <m:t>p</m:t>
        </m:r>
      </m:oMath>
      <w:r>
        <w:t xml:space="preserve"> </w:t>
      </w:r>
      <w:r>
        <w:t xml:space="preserve">is pressure, and</w:t>
      </w:r>
      <w:r>
        <w:t xml:space="preserve"> </w:t>
      </w:r>
      <m:oMath>
        <m:sSup>
          <m:e>
            <m:r>
              <m:t>u</m:t>
            </m:r>
          </m:e>
          <m:sup>
            <m:r>
              <m:t>μ</m:t>
            </m:r>
          </m:sup>
        </m:sSup>
      </m:oMath>
      <w:r>
        <w:t xml:space="preserve"> </w:t>
      </w:r>
      <w:r>
        <w:t xml:space="preserve">is the fluid four-velocity. The component</w:t>
      </w:r>
      <w:r>
        <w:t xml:space="preserve"> </w:t>
      </w:r>
      <m:oMath>
        <m:sSub>
          <m:e>
            <m:r>
              <m:t>T</m:t>
            </m:r>
          </m:e>
          <m:sub>
            <m:r>
              <m:t>00</m:t>
            </m:r>
          </m:sub>
        </m:sSub>
      </m:oMath>
      <w:r>
        <w:t xml:space="preserve"> </w:t>
      </w:r>
      <w:r>
        <w:t xml:space="preserve">is energy density,</w:t>
      </w:r>
      <w:r>
        <w:t xml:space="preserve"> </w:t>
      </w:r>
      <m:oMath>
        <m:sSub>
          <m:e>
            <m:r>
              <m:t>T</m:t>
            </m:r>
          </m:e>
          <m:sub>
            <m:r>
              <m:t>0</m:t>
            </m:r>
            <m:r>
              <m:t>i</m:t>
            </m:r>
          </m:sub>
        </m:sSub>
      </m:oMath>
      <w:r>
        <w:t xml:space="preserve"> </w:t>
      </w:r>
      <w:r>
        <w:t xml:space="preserve">is momentum density or energy flux, and</w:t>
      </w:r>
      <w:r>
        <w:t xml:space="preserve"> </w:t>
      </w:r>
      <m:oMath>
        <m:sSub>
          <m:e>
            <m:r>
              <m:t>T</m:t>
            </m:r>
          </m:e>
          <m:sub>
            <m:r>
              <m:t>i</m:t>
            </m:r>
            <m:r>
              <m:t>j</m:t>
            </m:r>
          </m:sub>
        </m:sSub>
      </m:oMath>
      <w:r>
        <w:t xml:space="preserve"> </w:t>
      </w:r>
      <w:r>
        <w:t xml:space="preserve">encodes stresses and pressure. In statistical mechanics, stress–energy is deeply tied to distributions, entropy currents, and moments, so the user’s intuition that pressure, radiation, and stress are “organized information” is mathematically compatible with mainstream covariant statistical mechanics even before one adopts ToE’s stronger interpretation.</w:t>
      </w:r>
      <w:r>
        <w:t xml:space="preserve"> </w:t>
      </w:r>
      <w:hyperlink r:id="rId26">
        <w:r>
          <w:rPr>
            <w:rStyle w:val="Hyperlink"/>
          </w:rPr>
          <w:t xml:space="preserve">[8]</w:t>
        </w:r>
      </w:hyperlink>
    </w:p>
    <w:p>
      <w:pPr>
        <w:pStyle w:val="BodyText"/>
      </w:pPr>
      <w:r>
        <w:t xml:space="preserve">This gives the clean conceptual bridge to ToE. In ordinary general relativity, the right-hand side is not just “mass.” It is a rank-2 bookkeeping device for all localized flows and densities of physical content. In ToE, the proposal is that this physical content should be re-read as stabilized information on an entropic manifold. So mass is persistent stored information, radiation is propagating information, pressure is the response of local information density to compression, and stress is directional information transfer. That is a philosophical claim, but it is not mathematically crazy: tensors already describe organized moments and flows, and statistical mechanics already teaches us that such quantities emerge from coarse-grained distributions.</w:t>
      </w:r>
      <w:r>
        <w:t xml:space="preserve"> </w:t>
      </w:r>
      <w:hyperlink r:id="rId26">
        <w:r>
          <w:rPr>
            <w:rStyle w:val="Hyperlink"/>
          </w:rPr>
          <w:t xml:space="preserve">[24]</w:t>
        </w:r>
      </w:hyperlink>
      <w:r>
        <w:t xml:space="preserve"> </w:t>
      </w:r>
      <w:r>
        <w:t xml:space="preserve">fileciteturn0file0</w:t>
      </w:r>
    </w:p>
    <w:bookmarkEnd w:id="40"/>
    <w:bookmarkStart w:id="43" w:name="X905f3b793a39638b7ff1a8535a6b1647452e466"/>
    <w:p>
      <w:pPr>
        <w:pStyle w:val="Heading2"/>
      </w:pPr>
      <w:r>
        <w:t xml:space="preserve">The ToE bridge from information manifold to spacetime</w:t>
      </w:r>
    </w:p>
    <w:p>
      <w:pPr>
        <w:pStyle w:val="FirstParagraph"/>
      </w:pPr>
      <w:r>
        <w:t xml:space="preserve">Here we reach the part that is original to Letter III. The</w:t>
      </w:r>
      <w:r>
        <w:t xml:space="preserve"> </w:t>
      </w:r>
      <w:r>
        <w:rPr>
          <w:b/>
          <w:bCs/>
        </w:rPr>
        <w:t xml:space="preserve">Hybrid Metric–Affine Space</w:t>
      </w:r>
      <w:r>
        <w:t xml:space="preserve"> </w:t>
      </w:r>
      <w:r>
        <w:t xml:space="preserve">of ToE is not a standard textbook object. Letter III introduces it as a combined information-geometric arena that mixes a classical Fisher–Rao sector with a quantum Fubini–Study sector and allows affine data beyond an ordinary Riemannian metric. In plain language: ToE does not want just one kind of informational geometry, because the world contains both classical statistics and quantum distinguishability. HMAS is the proposed stage on which both are present before effective spacetime emerges.</w:t>
      </w:r>
      <w:r>
        <w:t xml:space="preserve"> </w:t>
      </w:r>
      <w:hyperlink r:id="rId32">
        <w:r>
          <w:rPr>
            <w:rStyle w:val="Hyperlink"/>
          </w:rPr>
          <w:t xml:space="preserve">[25]</w:t>
        </w:r>
      </w:hyperlink>
      <w:r>
        <w:t xml:space="preserve"> </w:t>
      </w:r>
      <w:r>
        <w:t xml:space="preserve">fileciteturn0file0</w:t>
      </w:r>
    </w:p>
    <w:p>
      <w:pPr>
        <w:pStyle w:val="BodyText"/>
      </w:pPr>
      <w:r>
        <w:t xml:space="preserve">Letter III also introduces an</w:t>
      </w:r>
      <w:r>
        <w:t xml:space="preserve"> </w:t>
      </w:r>
      <m:oMath>
        <m:r>
          <m:t>α</m:t>
        </m:r>
      </m:oMath>
      <w:r>
        <w:rPr>
          <w:b/>
          <w:bCs/>
        </w:rPr>
        <w:t xml:space="preserve">–</w:t>
      </w:r>
      <m:oMath>
        <m:r>
          <m:t>q</m:t>
        </m:r>
      </m:oMath>
      <w:r>
        <w:rPr>
          <w:b/>
          <w:bCs/>
        </w:rPr>
        <w:t xml:space="preserve"> </w:t>
      </w:r>
      <w:r>
        <w:rPr>
          <w:b/>
          <w:bCs/>
        </w:rPr>
        <w:t xml:space="preserve">constitutive relation</w:t>
      </w:r>
      <w:r>
        <w:t xml:space="preserve">. Standard nonextensive statistical mechanics uses a deformation parameter</w:t>
      </w:r>
      <w:r>
        <w:t xml:space="preserve"> </w:t>
      </w:r>
      <m:oMath>
        <m:r>
          <m:t>q</m:t>
        </m:r>
      </m:oMath>
      <w:r>
        <w:t xml:space="preserve">, as in Tsallis and Rényi-type entropies, while information geometry uses the connection parameter</w:t>
      </w:r>
      <w:r>
        <w:t xml:space="preserve"> </w:t>
      </w:r>
      <m:oMath>
        <m:r>
          <m:t>α</m:t>
        </m:r>
      </m:oMath>
      <w:r>
        <w:t xml:space="preserve">. There is real literature relating</w:t>
      </w:r>
      <w:r>
        <w:t xml:space="preserve"> </w:t>
      </w:r>
      <m:oMath>
        <m:r>
          <m:t>q</m:t>
        </m:r>
      </m:oMath>
      <w:r>
        <w:t xml:space="preserve">-deformations and generalized dual geometries, but the exact constitutive law used in ToE is a theory choice of Letter III, not a universally accepted theorem. The important intuition is that</w:t>
      </w:r>
      <w:r>
        <w:t xml:space="preserve"> </w:t>
      </w:r>
      <m:oMath>
        <m:r>
          <m:t>q</m:t>
        </m:r>
        <m:r>
          <m:rPr>
            <m:sty m:val="p"/>
          </m:rPr>
          <m:t>≠</m:t>
        </m:r>
        <m:r>
          <m:t>1</m:t>
        </m:r>
      </m:oMath>
      <w:r>
        <w:t xml:space="preserve"> </w:t>
      </w:r>
      <w:r>
        <w:t xml:space="preserve">means the information theory is no longer purely Shannon-like, and</w:t>
      </w:r>
      <w:r>
        <w:t xml:space="preserve"> </w:t>
      </w:r>
      <m:oMath>
        <m:r>
          <m:t>α</m:t>
        </m:r>
        <m:r>
          <m:rPr>
            <m:sty m:val="p"/>
          </m:rPr>
          <m:t>≠</m:t>
        </m:r>
        <m:r>
          <m:t>0</m:t>
        </m:r>
      </m:oMath>
      <w:r>
        <w:t xml:space="preserve"> </w:t>
      </w:r>
      <w:r>
        <w:t xml:space="preserve">means the geometry is no longer purely self-dual Levi-Civita. ToE ties these together so that nonextensive entropy and nontrivial information transport become aspects of one structure.</w:t>
      </w:r>
      <w:r>
        <w:t xml:space="preserve"> </w:t>
      </w:r>
      <w:hyperlink r:id="rId41">
        <w:r>
          <w:rPr>
            <w:rStyle w:val="Hyperlink"/>
          </w:rPr>
          <w:t xml:space="preserve">[26]</w:t>
        </w:r>
      </w:hyperlink>
      <w:r>
        <w:t xml:space="preserve"> </w:t>
      </w:r>
      <w:r>
        <w:t xml:space="preserve">fileciteturn0file0</w:t>
      </w:r>
    </w:p>
    <w:p>
      <w:pPr>
        <w:pStyle w:val="BodyText"/>
      </w:pPr>
      <w:r>
        <w:t xml:space="preserve">The next move is the</w:t>
      </w:r>
      <w:r>
        <w:t xml:space="preserve"> </w:t>
      </w:r>
      <w:r>
        <w:rPr>
          <w:b/>
          <w:bCs/>
        </w:rPr>
        <w:t xml:space="preserve">emergence map</w:t>
      </w:r>
      <w:r>
        <w:t xml:space="preserve"> </w:t>
      </w:r>
      <w:r>
        <w:t xml:space="preserve">from the information manifold to spacetime. In its cleanest mathematical form, ToE wants something like</w:t>
      </w:r>
    </w:p>
    <w:p>
      <w:pPr>
        <w:pStyle w:val="BodyText"/>
      </w:pPr>
      <m:oMathPara>
        <m:oMathParaPr>
          <m:jc m:val="center"/>
        </m:oMathParaPr>
        <m:oMath>
          <m:sSub>
            <m:e>
              <m:r>
                <m:t>g</m:t>
              </m:r>
            </m:e>
            <m:sub>
              <m:r>
                <m:t>μ</m:t>
              </m:r>
              <m:r>
                <m:t>ν</m:t>
              </m:r>
            </m:sub>
          </m:sSub>
          <m:d>
            <m:dPr>
              <m:begChr m:val="("/>
              <m:sepChr m:val=""/>
              <m:endChr m:val=")"/>
              <m:grow/>
            </m:dPr>
            <m:e>
              <m:r>
                <m:t>x</m:t>
              </m:r>
            </m:e>
          </m:d>
          <m:r>
            <m:rPr>
              <m:sty m:val="p"/>
            </m:rPr>
            <m:t>=</m:t>
          </m:r>
          <m:sSub>
            <m:e>
              <m:r>
                <m:rPr>
                  <m:sty m:val="p"/>
                </m:rPr>
                <m:t>∂</m:t>
              </m:r>
            </m:e>
            <m:sub>
              <m:r>
                <m:t>μ</m:t>
              </m:r>
            </m:sub>
          </m:sSub>
          <m:sSup>
            <m:e>
              <m:r>
                <m:t>ϕ</m:t>
              </m:r>
            </m:e>
            <m:sup>
              <m:r>
                <m:t>A</m:t>
              </m:r>
            </m:sup>
          </m:sSup>
          <m:d>
            <m:dPr>
              <m:begChr m:val="("/>
              <m:sepChr m:val=""/>
              <m:endChr m:val=")"/>
              <m:grow/>
            </m:dPr>
            <m:e>
              <m:r>
                <m:t>x</m:t>
              </m:r>
            </m:e>
          </m:d>
          <m:r>
            <m:t> </m:t>
          </m:r>
          <m:sSub>
            <m:e>
              <m:r>
                <m:rPr>
                  <m:sty m:val="p"/>
                </m:rPr>
                <m:t>∂</m:t>
              </m:r>
            </m:e>
            <m:sub>
              <m:r>
                <m:t>ν</m:t>
              </m:r>
            </m:sub>
          </m:sSub>
          <m:sSup>
            <m:e>
              <m:r>
                <m:t>ϕ</m:t>
              </m:r>
            </m:e>
            <m:sup>
              <m:r>
                <m:t>B</m:t>
              </m:r>
            </m:sup>
          </m:sSup>
          <m:d>
            <m:dPr>
              <m:begChr m:val="("/>
              <m:sepChr m:val=""/>
              <m:endChr m:val=")"/>
              <m:grow/>
            </m:dPr>
            <m:e>
              <m:r>
                <m:t>x</m:t>
              </m:r>
            </m:e>
          </m:d>
          <m:r>
            <m:t> </m:t>
          </m:r>
          <m:sSub>
            <m:e>
              <m:r>
                <m:t>H</m:t>
              </m:r>
            </m:e>
            <m:sub>
              <m:r>
                <m:t>A</m:t>
              </m:r>
              <m:r>
                <m:t>B</m:t>
              </m:r>
            </m:sub>
          </m:sSub>
          <m:d>
            <m:dPr>
              <m:begChr m:val="("/>
              <m:sepChr m:val=""/>
              <m:endChr m:val=")"/>
              <m:grow/>
            </m:dPr>
            <m:e>
              <m:r>
                <m:t>ϕ</m:t>
              </m:r>
              <m:d>
                <m:dPr>
                  <m:begChr m:val="("/>
                  <m:sepChr m:val=""/>
                  <m:endChr m:val=")"/>
                  <m:grow/>
                </m:dPr>
                <m:e>
                  <m:r>
                    <m:t>x</m:t>
                  </m:r>
                </m:e>
              </m:d>
            </m:e>
          </m:d>
          <m:r>
            <m:rPr>
              <m:sty m:val="p"/>
            </m:rPr>
            <m:t>,</m:t>
          </m:r>
        </m:oMath>
      </m:oMathPara>
    </w:p>
    <w:p>
      <w:pPr>
        <w:pStyle w:val="FirstParagraph"/>
      </w:pPr>
      <w:r>
        <w:t xml:space="preserve">where</w:t>
      </w:r>
      <w:r>
        <w:t xml:space="preserve"> </w:t>
      </w:r>
      <m:oMath>
        <m:sSub>
          <m:e>
            <m:r>
              <m:t>H</m:t>
            </m:r>
          </m:e>
          <m:sub>
            <m:r>
              <m:t>A</m:t>
            </m:r>
            <m:r>
              <m:t>B</m:t>
            </m:r>
          </m:sub>
        </m:sSub>
      </m:oMath>
      <w:r>
        <w:t xml:space="preserve"> </w:t>
      </w:r>
      <w:r>
        <w:t xml:space="preserve">is some deeper information metric and</w:t>
      </w:r>
      <w:r>
        <w:t xml:space="preserve"> </w:t>
      </w:r>
      <m:oMath>
        <m:r>
          <m:t>ϕ</m:t>
        </m:r>
      </m:oMath>
      <w:r>
        <w:t xml:space="preserve"> </w:t>
      </w:r>
      <w:r>
        <w:t xml:space="preserve">tells us how observed spacetime points sit inside the informational arena. If hidden micro-information lives in extra fibers, then an effective spacetime action is obtained by fiber integration or coarse-graining. This is the precise meaning of the phrase “information geometry yields physical spacetime.” It does not mean information somehow magically becomes geometry; it means a pushforward/pullback/coarse-graining pipeline is defined. fileciteturn0file0</w:t>
      </w:r>
    </w:p>
    <w:p>
      <w:pPr>
        <w:pStyle w:val="BodyText"/>
      </w:pPr>
      <w:r>
        <w:t xml:space="preserve">The most distinctive ToE object is the</w:t>
      </w:r>
      <w:r>
        <w:t xml:space="preserve"> </w:t>
      </w:r>
      <w:r>
        <w:rPr>
          <w:b/>
          <w:bCs/>
        </w:rPr>
        <w:t xml:space="preserve">Obidi transformation</w:t>
      </w:r>
      <w:r>
        <w:t xml:space="preserve">. According to Letter III, one starts with a positive-definite information metric</w:t>
      </w:r>
      <w:r>
        <w:t xml:space="preserve"> </w:t>
      </w:r>
      <m:oMath>
        <m:sSub>
          <m:e>
            <m:r>
              <m:t>h</m:t>
            </m:r>
          </m:e>
          <m:sub>
            <m:r>
              <m:t>A</m:t>
            </m:r>
            <m:r>
              <m:t>B</m:t>
            </m:r>
          </m:sub>
        </m:sSub>
      </m:oMath>
      <w:r>
        <w:t xml:space="preserve"> </w:t>
      </w:r>
      <w:r>
        <w:t xml:space="preserve">and an entropy-gradient direction</w:t>
      </w:r>
    </w:p>
    <w:p>
      <w:pPr>
        <w:pStyle w:val="BodyText"/>
      </w:pPr>
      <m:oMathPara>
        <m:oMathParaPr>
          <m:jc m:val="center"/>
        </m:oMathParaPr>
        <m:oMath>
          <m:sSub>
            <m:e>
              <m:r>
                <m:t>u</m:t>
              </m:r>
            </m:e>
            <m:sub>
              <m:r>
                <m:t>A</m:t>
              </m:r>
            </m:sub>
          </m:sSub>
          <m:r>
            <m:rPr>
              <m:sty m:val="p"/>
            </m:rPr>
            <m:t>=</m:t>
          </m:r>
          <m:f>
            <m:fPr>
              <m:type m:val="bar"/>
            </m:fPr>
            <m:num>
              <m:sSub>
                <m:e>
                  <m:r>
                    <m:rPr>
                      <m:sty m:val="p"/>
                    </m:rPr>
                    <m:t>∇</m:t>
                  </m:r>
                </m:e>
                <m:sub>
                  <m:r>
                    <m:t>A</m:t>
                  </m:r>
                </m:sub>
              </m:sSub>
              <m:r>
                <m:t>S</m:t>
              </m:r>
            </m:num>
            <m:den>
              <m:r>
                <m:rPr>
                  <m:sty m:val="p"/>
                </m:rPr>
                <m:t>∥</m:t>
              </m:r>
              <m:r>
                <m:rPr>
                  <m:sty m:val="p"/>
                </m:rPr>
                <m:t>∇</m:t>
              </m:r>
              <m:r>
                <m:t>S</m:t>
              </m:r>
              <m:sSub>
                <m:e>
                  <m:r>
                    <m:rPr>
                      <m:sty m:val="p"/>
                    </m:rPr>
                    <m:t>∥</m:t>
                  </m:r>
                </m:e>
                <m:sub>
                  <m:r>
                    <m:t>h</m:t>
                  </m:r>
                </m:sub>
              </m:sSub>
            </m:den>
          </m:f>
          <m:r>
            <m:rPr>
              <m:sty m:val="p"/>
            </m:rPr>
            <m:t>.</m:t>
          </m:r>
        </m:oMath>
      </m:oMathPara>
    </w:p>
    <w:p>
      <w:pPr>
        <w:pStyle w:val="FirstParagraph"/>
      </w:pPr>
      <w:r>
        <w:t xml:space="preserve">Then one defines the</w:t>
      </w:r>
      <w:r>
        <w:t xml:space="preserve"> </w:t>
      </w:r>
      <w:r>
        <w:rPr>
          <w:b/>
          <w:bCs/>
        </w:rPr>
        <w:t xml:space="preserve">Obidi metric</w:t>
      </w:r>
      <w:r>
        <w:t xml:space="preserve"> </w:t>
      </w:r>
      <w:r>
        <w:t xml:space="preserve">by a rank-one sign-flip:</w:t>
      </w:r>
    </w:p>
    <w:p>
      <w:pPr>
        <w:pStyle w:val="BodyText"/>
      </w:pPr>
      <m:oMathPara>
        <m:oMathParaPr>
          <m:jc m:val="center"/>
        </m:oMathParaPr>
        <m:oMath>
          <m:sSubSup>
            <m:e>
              <m:r>
                <m:t>g</m:t>
              </m:r>
            </m:e>
            <m:sub>
              <m:r>
                <m:t>A</m:t>
              </m:r>
              <m:r>
                <m:t>B</m:t>
              </m:r>
            </m:sub>
            <m:sup>
              <m:d>
                <m:dPr>
                  <m:begChr m:val="("/>
                  <m:sepChr m:val=""/>
                  <m:endChr m:val=")"/>
                  <m:grow/>
                </m:dPr>
                <m:e>
                  <m:r>
                    <m:t>O</m:t>
                  </m:r>
                </m:e>
              </m:d>
            </m:sup>
          </m:sSubSup>
          <m:r>
            <m:rPr>
              <m:sty m:val="p"/>
            </m:rPr>
            <m:t>=</m:t>
          </m:r>
          <m:sSub>
            <m:e>
              <m:r>
                <m:t>h</m:t>
              </m:r>
            </m:e>
            <m:sub>
              <m:r>
                <m:t>A</m:t>
              </m:r>
              <m:r>
                <m:t>B</m:t>
              </m:r>
            </m:sub>
          </m:sSub>
          <m:r>
            <m:rPr>
              <m:sty m:val="p"/>
            </m:rPr>
            <m:t>−</m:t>
          </m:r>
          <m:r>
            <m:t>2</m:t>
          </m:r>
          <m:sSub>
            <m:e>
              <m:r>
                <m:t>u</m:t>
              </m:r>
            </m:e>
            <m:sub>
              <m:r>
                <m:t>A</m:t>
              </m:r>
            </m:sub>
          </m:sSub>
          <m:sSub>
            <m:e>
              <m:r>
                <m:t>u</m:t>
              </m:r>
            </m:e>
            <m:sub>
              <m:r>
                <m:t>B</m:t>
              </m:r>
            </m:sub>
          </m:sSub>
          <m:r>
            <m:rPr>
              <m:sty m:val="p"/>
            </m:rPr>
            <m:t>,</m:t>
          </m:r>
        </m:oMath>
      </m:oMathPara>
    </w:p>
    <w:p>
      <w:pPr>
        <w:pStyle w:val="FirstParagraph"/>
      </w:pPr>
      <w:r>
        <w:t xml:space="preserve">possibly with an overall conformal factor in some versions of the construction. This is one of the cleanest ideas in the whole manuscript. Why? Because you can prove in one line that it creates a Lorentzian sign. Since</w:t>
      </w:r>
      <w:r>
        <w:t xml:space="preserve"> </w:t>
      </w:r>
      <m:oMath>
        <m:r>
          <m:t>u</m:t>
        </m:r>
      </m:oMath>
      <w:r>
        <w:t xml:space="preserve"> </w:t>
      </w:r>
      <w:r>
        <w:t xml:space="preserve">is unit with respect to</w:t>
      </w:r>
      <w:r>
        <w:t xml:space="preserve"> </w:t>
      </w:r>
      <m:oMath>
        <m:r>
          <m:t>h</m:t>
        </m:r>
      </m:oMath>
      <w:r>
        <w:t xml:space="preserve">,</w:t>
      </w:r>
    </w:p>
    <w:p>
      <w:pPr>
        <w:pStyle w:val="BodyText"/>
      </w:pPr>
      <m:oMathPara>
        <m:oMathParaPr>
          <m:jc m:val="center"/>
        </m:oMathParaPr>
        <m:oMath>
          <m:sSup>
            <m:e>
              <m:r>
                <m:t>g</m:t>
              </m:r>
            </m:e>
            <m:sup>
              <m:d>
                <m:dPr>
                  <m:begChr m:val="("/>
                  <m:sepChr m:val=""/>
                  <m:endChr m:val=")"/>
                  <m:grow/>
                </m:dPr>
                <m:e>
                  <m:r>
                    <m:t>O</m:t>
                  </m:r>
                </m:e>
              </m:d>
            </m:sup>
          </m:sSup>
          <m:d>
            <m:dPr>
              <m:begChr m:val="("/>
              <m:sepChr m:val=""/>
              <m:endChr m:val=")"/>
              <m:grow/>
            </m:dPr>
            <m:e>
              <m:r>
                <m:t>u</m:t>
              </m:r>
              <m:r>
                <m:rPr>
                  <m:sty m:val="p"/>
                </m:rPr>
                <m:t>,</m:t>
              </m:r>
              <m:r>
                <m:t>u</m:t>
              </m:r>
            </m:e>
          </m:d>
          <m:r>
            <m:rPr>
              <m:sty m:val="p"/>
            </m:rPr>
            <m:t>=</m:t>
          </m:r>
          <m:r>
            <m:t>h</m:t>
          </m:r>
          <m:d>
            <m:dPr>
              <m:begChr m:val="("/>
              <m:sepChr m:val=""/>
              <m:endChr m:val=")"/>
              <m:grow/>
            </m:dPr>
            <m:e>
              <m:r>
                <m:t>u</m:t>
              </m:r>
              <m:r>
                <m:rPr>
                  <m:sty m:val="p"/>
                </m:rPr>
                <m:t>,</m:t>
              </m:r>
              <m:r>
                <m:t>u</m:t>
              </m:r>
            </m:e>
          </m:d>
          <m:r>
            <m:rPr>
              <m:sty m:val="p"/>
            </m:rPr>
            <m:t>−</m:t>
          </m:r>
          <m:r>
            <m:t>2</m:t>
          </m:r>
          <m:sSup>
            <m:e>
              <m:d>
                <m:dPr>
                  <m:begChr m:val="["/>
                  <m:sepChr m:val=""/>
                  <m:endChr m:val="]"/>
                  <m:grow/>
                </m:dPr>
                <m:e>
                  <m:r>
                    <m:t>h</m:t>
                  </m:r>
                  <m:d>
                    <m:dPr>
                      <m:begChr m:val="("/>
                      <m:sepChr m:val=""/>
                      <m:endChr m:val=")"/>
                      <m:grow/>
                    </m:dPr>
                    <m:e>
                      <m:r>
                        <m:t>u</m:t>
                      </m:r>
                      <m:r>
                        <m:rPr>
                          <m:sty m:val="p"/>
                        </m:rPr>
                        <m:t>,</m:t>
                      </m:r>
                      <m:r>
                        <m:t>u</m:t>
                      </m:r>
                    </m:e>
                  </m:d>
                </m:e>
              </m:d>
            </m:e>
            <m:sup>
              <m:r>
                <m:t>2</m:t>
              </m:r>
            </m:sup>
          </m:sSup>
          <m:r>
            <m:rPr>
              <m:sty m:val="p"/>
            </m:rPr>
            <m:t>=</m:t>
          </m:r>
          <m:r>
            <m:t>1</m:t>
          </m:r>
          <m:r>
            <m:rPr>
              <m:sty m:val="p"/>
            </m:rPr>
            <m:t>−</m:t>
          </m:r>
          <m:r>
            <m:t>2</m:t>
          </m:r>
          <m:r>
            <m:rPr>
              <m:sty m:val="p"/>
            </m:rPr>
            <m:t>=</m:t>
          </m:r>
          <m:r>
            <m:rPr>
              <m:sty m:val="p"/>
            </m:rPr>
            <m:t>−</m:t>
          </m:r>
          <m:r>
            <m:t>1</m:t>
          </m:r>
          <m:r>
            <m:rPr>
              <m:sty m:val="p"/>
            </m:rPr>
            <m:t>.</m:t>
          </m:r>
        </m:oMath>
      </m:oMathPara>
    </w:p>
    <w:p>
      <w:pPr>
        <w:pStyle w:val="FirstParagraph"/>
      </w:pPr>
      <w:r>
        <w:t xml:space="preserve">If</w:t>
      </w:r>
      <w:r>
        <w:t xml:space="preserve"> </w:t>
      </w:r>
      <m:oMath>
        <m:r>
          <m:t>v</m:t>
        </m:r>
      </m:oMath>
      <w:r>
        <w:t xml:space="preserve"> </w:t>
      </w:r>
      <w:r>
        <w:t xml:space="preserve">is</w:t>
      </w:r>
      <w:r>
        <w:t xml:space="preserve"> </w:t>
      </w:r>
      <m:oMath>
        <m:r>
          <m:t>h</m:t>
        </m:r>
      </m:oMath>
      <w:r>
        <w:t xml:space="preserve">-orthogonal to</w:t>
      </w:r>
      <w:r>
        <w:t xml:space="preserve"> </w:t>
      </w:r>
      <m:oMath>
        <m:r>
          <m:t>u</m:t>
        </m:r>
      </m:oMath>
      <w:r>
        <w:t xml:space="preserve">, then</w:t>
      </w:r>
    </w:p>
    <w:p>
      <w:pPr>
        <w:pStyle w:val="BodyText"/>
      </w:pPr>
      <m:oMathPara>
        <m:oMathParaPr>
          <m:jc m:val="center"/>
        </m:oMathParaPr>
        <m:oMath>
          <m:sSup>
            <m:e>
              <m:r>
                <m:t>g</m:t>
              </m:r>
            </m:e>
            <m:sup>
              <m:d>
                <m:dPr>
                  <m:begChr m:val="("/>
                  <m:sepChr m:val=""/>
                  <m:endChr m:val=")"/>
                  <m:grow/>
                </m:dPr>
                <m:e>
                  <m:r>
                    <m:t>O</m:t>
                  </m:r>
                </m:e>
              </m:d>
            </m:sup>
          </m:sSup>
          <m:d>
            <m:dPr>
              <m:begChr m:val="("/>
              <m:sepChr m:val=""/>
              <m:endChr m:val=")"/>
              <m:grow/>
            </m:dPr>
            <m:e>
              <m:r>
                <m:t>v</m:t>
              </m:r>
              <m:r>
                <m:rPr>
                  <m:sty m:val="p"/>
                </m:rPr>
                <m:t>,</m:t>
              </m:r>
              <m:r>
                <m:t>v</m:t>
              </m:r>
            </m:e>
          </m:d>
          <m:r>
            <m:rPr>
              <m:sty m:val="p"/>
            </m:rPr>
            <m:t>=</m:t>
          </m:r>
          <m:r>
            <m:t>h</m:t>
          </m:r>
          <m:d>
            <m:dPr>
              <m:begChr m:val="("/>
              <m:sepChr m:val=""/>
              <m:endChr m:val=")"/>
              <m:grow/>
            </m:dPr>
            <m:e>
              <m:r>
                <m:t>v</m:t>
              </m:r>
              <m:r>
                <m:rPr>
                  <m:sty m:val="p"/>
                </m:rPr>
                <m:t>,</m:t>
              </m:r>
              <m:r>
                <m:t>v</m:t>
              </m:r>
            </m:e>
          </m:d>
          <m:r>
            <m:rPr>
              <m:sty m:val="p"/>
            </m:rPr>
            <m:t>&gt;</m:t>
          </m:r>
          <m:r>
            <m:t>0</m:t>
          </m:r>
          <m:r>
            <m:rPr>
              <m:sty m:val="p"/>
            </m:rPr>
            <m:t>.</m:t>
          </m:r>
        </m:oMath>
      </m:oMathPara>
    </w:p>
    <w:p>
      <w:pPr>
        <w:pStyle w:val="FirstParagraph"/>
      </w:pPr>
      <w:r>
        <w:t xml:space="preserve">So one direction becomes timelike while the directions perpendicular to it stay spacelike. This is the mathematical core of the claim that</w:t>
      </w:r>
      <w:r>
        <w:t xml:space="preserve"> </w:t>
      </w:r>
      <w:r>
        <w:rPr>
          <w:b/>
          <w:bCs/>
        </w:rPr>
        <w:t xml:space="preserve">time is an entropy-selected direction</w:t>
      </w:r>
      <w:r>
        <w:t xml:space="preserve">. Fisher–Rao by itself is positive-definite; the Obidi transformation is the extra step that makes relativistic signature possible.</w:t>
      </w:r>
      <w:r>
        <w:t xml:space="preserve"> </w:t>
      </w:r>
      <w:hyperlink r:id="rId21">
        <w:r>
          <w:rPr>
            <w:rStyle w:val="Hyperlink"/>
          </w:rPr>
          <w:t xml:space="preserve">[27]</w:t>
        </w:r>
      </w:hyperlink>
      <w:r>
        <w:t xml:space="preserve"> </w:t>
      </w:r>
      <w:r>
        <w:t xml:space="preserve">fileciteturn0file0</w:t>
      </w:r>
    </w:p>
    <w:p>
      <w:pPr>
        <w:pStyle w:val="BodyText"/>
      </w:pPr>
      <w:r>
        <w:t xml:space="preserve">Once the Obidi metric exists, one can compare its curvature to the curvature of the original information metric. Letter III introduces the corresponding correction schematically as</w:t>
      </w:r>
    </w:p>
    <w:p>
      <w:pPr>
        <w:pStyle w:val="BodyText"/>
      </w:pPr>
      <m:oMathPara>
        <m:oMathParaPr>
          <m:jc m:val="center"/>
        </m:oMathParaPr>
        <m:oMath>
          <m:r>
            <m:t>Δ</m:t>
          </m:r>
          <m:r>
            <m:t>R</m:t>
          </m:r>
          <m:r>
            <m:rPr>
              <m:sty m:val="p"/>
            </m:rPr>
            <m:t>=</m:t>
          </m:r>
          <m:r>
            <m:t>R</m:t>
          </m:r>
          <m:d>
            <m:dPr>
              <m:begChr m:val="["/>
              <m:sepChr m:val=""/>
              <m:endChr m:val="]"/>
              <m:grow/>
            </m:dPr>
            <m:e>
              <m:sSup>
                <m:e>
                  <m:r>
                    <m:t>g</m:t>
                  </m:r>
                </m:e>
                <m:sup>
                  <m:d>
                    <m:dPr>
                      <m:begChr m:val="("/>
                      <m:sepChr m:val=""/>
                      <m:endChr m:val=")"/>
                      <m:grow/>
                    </m:dPr>
                    <m:e>
                      <m:r>
                        <m:t>O</m:t>
                      </m:r>
                    </m:e>
                  </m:d>
                </m:sup>
              </m:sSup>
            </m:e>
          </m:d>
          <m:r>
            <m:rPr>
              <m:sty m:val="p"/>
            </m:rPr>
            <m:t>−</m:t>
          </m:r>
          <m:r>
            <m:t>R</m:t>
          </m:r>
          <m:d>
            <m:dPr>
              <m:begChr m:val="["/>
              <m:sepChr m:val=""/>
              <m:endChr m:val="]"/>
              <m:grow/>
            </m:dPr>
            <m:e>
              <m:r>
                <m:t>h</m:t>
              </m:r>
            </m:e>
          </m:d>
          <m:r>
            <m:rPr>
              <m:sty m:val="p"/>
            </m:rPr>
            <m:t>.</m:t>
          </m:r>
        </m:oMath>
      </m:oMathPara>
    </w:p>
    <w:p>
      <w:pPr>
        <w:pStyle w:val="FirstParagraph"/>
      </w:pPr>
      <w:r>
        <w:t xml:space="preserve">The physical meaning is that once an entropy-gradient direction is chosen and promoted to the role of time, the curvature is no longer the curvature of “raw information space”; it is the curvature of a time-oriented spacetime geometry. In this sense, the Obidi curvature correction measures the price of turning distinguishability geometry into relativistic geometry. fileciteturn0file0</w:t>
      </w:r>
    </w:p>
    <w:p>
      <w:pPr>
        <w:pStyle w:val="BodyText"/>
      </w:pPr>
      <w:r>
        <w:t xml:space="preserve">Letter III also proposes an</w:t>
      </w:r>
      <w:r>
        <w:t xml:space="preserve"> </w:t>
      </w:r>
      <w:r>
        <w:rPr>
          <w:b/>
          <w:bCs/>
        </w:rPr>
        <w:t xml:space="preserve">Obidi Curvature Invariant</w:t>
      </w:r>
      <w:r>
        <w:t xml:space="preserve"> </w:t>
      </w:r>
      <w:r>
        <w:t xml:space="preserve">with a lower bound tied to</w:t>
      </w:r>
    </w:p>
    <w:p>
      <w:pPr>
        <w:pStyle w:val="BodyText"/>
      </w:pPr>
      <m:oMathPara>
        <m:oMathParaPr>
          <m:jc m:val="center"/>
        </m:oMathParaPr>
        <m:oMath>
          <m:r>
            <m:rPr>
              <m:sty m:val="p"/>
            </m:rPr>
            <m:t>ln</m:t>
          </m:r>
          <m:r>
            <m:t>2</m:t>
          </m:r>
          <m:r>
            <m:rPr>
              <m:sty m:val="p"/>
            </m:rPr>
            <m:t>.</m:t>
          </m:r>
        </m:oMath>
      </m:oMathPara>
    </w:p>
    <w:p>
      <w:pPr>
        <w:pStyle w:val="FirstParagraph"/>
      </w:pPr>
      <w:r>
        <w:t xml:space="preserve">This is a very important place to be precise. The number</w:t>
      </w:r>
      <w:r>
        <w:t xml:space="preserve"> </w:t>
      </w:r>
      <m:oMath>
        <m:r>
          <m:rPr>
            <m:sty m:val="p"/>
          </m:rPr>
          <m:t>ln</m:t>
        </m:r>
        <m:r>
          <m:t>2</m:t>
        </m:r>
      </m:oMath>
      <w:r>
        <w:t xml:space="preserve"> </w:t>
      </w:r>
      <w:r>
        <w:t xml:space="preserve">is physically famous because one bit of binary information carries an entropy scale of</w:t>
      </w:r>
      <w:r>
        <w:t xml:space="preserve"> </w:t>
      </w:r>
      <m:oMath>
        <m:r>
          <m:rPr>
            <m:sty m:val="p"/>
          </m:rPr>
          <m:t>ln</m:t>
        </m:r>
        <m:r>
          <m:t>2</m:t>
        </m:r>
      </m:oMath>
      <w:r>
        <w:t xml:space="preserve">, and Landauer’s principle ties erasure of one bit to an energy cost</w:t>
      </w:r>
      <w:r>
        <w:t xml:space="preserve"> </w:t>
      </w:r>
      <m:oMath>
        <m:sSub>
          <m:e>
            <m:r>
              <m:t>k</m:t>
            </m:r>
          </m:e>
          <m:sub>
            <m:r>
              <m:t>B</m:t>
            </m:r>
          </m:sub>
        </m:sSub>
        <m:r>
          <m:t>T</m:t>
        </m:r>
        <m:r>
          <m:rPr>
            <m:sty m:val="p"/>
          </m:rPr>
          <m:t>ln</m:t>
        </m:r>
        <m:r>
          <m:t>2</m:t>
        </m:r>
      </m:oMath>
      <w:r>
        <w:t xml:space="preserve">. But the specific object called the Obidi Curvature Invariant is</w:t>
      </w:r>
      <w:r>
        <w:t xml:space="preserve"> </w:t>
      </w:r>
      <w:r>
        <w:rPr>
          <w:b/>
          <w:bCs/>
        </w:rPr>
        <w:t xml:space="preserve">not</w:t>
      </w:r>
      <w:r>
        <w:t xml:space="preserve"> </w:t>
      </w:r>
      <w:r>
        <w:t xml:space="preserve">a standard invariant from mainstream differential geometry. It is a</w:t>
      </w:r>
      <w:r>
        <w:t xml:space="preserve"> </w:t>
      </w:r>
      <w:r>
        <w:rPr>
          <w:b/>
          <w:bCs/>
        </w:rPr>
        <w:t xml:space="preserve">ToE proposal</w:t>
      </w:r>
      <w:r>
        <w:t xml:space="preserve"> </w:t>
      </w:r>
      <w:r>
        <w:t xml:space="preserve">that uses the one-bit entropy quantum as a lower distinguishability floor. That makes conceptual sense inside entropic physics, but it should not be confused with a standard theorem about Riemannian curvature.</w:t>
      </w:r>
      <w:r>
        <w:t xml:space="preserve"> </w:t>
      </w:r>
      <w:hyperlink r:id="rId42">
        <w:r>
          <w:rPr>
            <w:rStyle w:val="Hyperlink"/>
          </w:rPr>
          <w:t xml:space="preserve">[28]</w:t>
        </w:r>
      </w:hyperlink>
      <w:r>
        <w:t xml:space="preserve"> </w:t>
      </w:r>
      <w:r>
        <w:t xml:space="preserve">fileciteturn0file0</w:t>
      </w:r>
    </w:p>
    <w:p>
      <w:pPr>
        <w:pStyle w:val="BodyText"/>
      </w:pPr>
      <w:r>
        <w:t xml:space="preserve">Now for the right-hand side of Einstein’s equation. Letter III gives a prototype</w:t>
      </w:r>
      <w:r>
        <w:t xml:space="preserve"> </w:t>
      </w:r>
      <w:r>
        <w:rPr>
          <w:b/>
          <w:bCs/>
        </w:rPr>
        <w:t xml:space="preserve">entropic source tensor</w:t>
      </w:r>
      <w:r>
        <w:t xml:space="preserve"> </w:t>
      </w:r>
      <w:r>
        <w:t xml:space="preserve">using the entropy field</w:t>
      </w:r>
      <w:r>
        <w:t xml:space="preserve"> </w:t>
      </w:r>
      <m:oMath>
        <m:r>
          <m:t>S</m:t>
        </m:r>
      </m:oMath>
      <w:r>
        <w:t xml:space="preserve">. A canonical scalar-field-like example is</w:t>
      </w:r>
    </w:p>
    <w:p>
      <w:pPr>
        <w:pStyle w:val="BodyText"/>
      </w:pPr>
      <m:oMathPara>
        <m:oMathParaPr>
          <m:jc m:val="center"/>
        </m:oMathParaPr>
        <m:oMath>
          <m:sSubSup>
            <m:e>
              <m:r>
                <m:t>T</m:t>
              </m:r>
            </m:e>
            <m:sub>
              <m:r>
                <m:t>μ</m:t>
              </m:r>
              <m:r>
                <m:t>ν</m:t>
              </m:r>
            </m:sub>
            <m:sup>
              <m:d>
                <m:dPr>
                  <m:begChr m:val="("/>
                  <m:sepChr m:val=""/>
                  <m:endChr m:val=")"/>
                  <m:grow/>
                </m:dPr>
                <m:e>
                  <m:r>
                    <m:t>S</m:t>
                  </m:r>
                </m:e>
              </m:d>
            </m:sup>
          </m:sSubSup>
          <m:r>
            <m:rPr>
              <m:sty m:val="p"/>
            </m:rPr>
            <m:t>=</m:t>
          </m:r>
          <m:r>
            <m:t>χ</m:t>
          </m:r>
          <m:r>
            <m:t> </m:t>
          </m:r>
          <m:sSub>
            <m:e>
              <m:r>
                <m:rPr>
                  <m:sty m:val="p"/>
                </m:rPr>
                <m:t>∇</m:t>
              </m:r>
            </m:e>
            <m:sub>
              <m:r>
                <m:t>μ</m:t>
              </m:r>
            </m:sub>
          </m:sSub>
          <m:r>
            <m:t>S</m:t>
          </m:r>
          <m:sSub>
            <m:e>
              <m:r>
                <m:rPr>
                  <m:sty m:val="p"/>
                </m:rPr>
                <m:t>∇</m:t>
              </m:r>
            </m:e>
            <m:sub>
              <m:r>
                <m:t>ν</m:t>
              </m:r>
            </m:sub>
          </m:sSub>
          <m:r>
            <m:t>S</m:t>
          </m:r>
          <m:r>
            <m:rPr>
              <m:sty m:val="p"/>
            </m:rPr>
            <m:t>−</m:t>
          </m:r>
          <m:sSub>
            <m:e>
              <m:r>
                <m:t>g</m:t>
              </m:r>
            </m:e>
            <m:sub>
              <m:r>
                <m:t>μ</m:t>
              </m:r>
              <m:r>
                <m:t>ν</m:t>
              </m:r>
            </m:sub>
          </m:sSub>
          <m:d>
            <m:dPr>
              <m:begChr m:val="["/>
              <m:sepChr m:val=""/>
              <m:endChr m:val="]"/>
              <m:grow/>
            </m:dPr>
            <m:e>
              <m:f>
                <m:fPr>
                  <m:type m:val="bar"/>
                </m:fPr>
                <m:num>
                  <m:r>
                    <m:t>χ</m:t>
                  </m:r>
                </m:num>
                <m:den>
                  <m:r>
                    <m:t>2</m:t>
                  </m:r>
                </m:den>
              </m:f>
              <m:sSup>
                <m:e>
                  <m:r>
                    <m:rPr>
                      <m:sty m:val="p"/>
                    </m:rPr>
                    <m:t>∇</m:t>
                  </m:r>
                </m:e>
                <m:sup>
                  <m:r>
                    <m:t>α</m:t>
                  </m:r>
                </m:sup>
              </m:sSup>
              <m:r>
                <m:t>S</m:t>
              </m:r>
              <m:sSub>
                <m:e>
                  <m:r>
                    <m:rPr>
                      <m:sty m:val="p"/>
                    </m:rPr>
                    <m:t>∇</m:t>
                  </m:r>
                </m:e>
                <m:sub>
                  <m:r>
                    <m:t>α</m:t>
                  </m:r>
                </m:sub>
              </m:sSub>
              <m:r>
                <m:t>S</m:t>
              </m:r>
              <m:r>
                <m:rPr>
                  <m:sty m:val="p"/>
                </m:rPr>
                <m:t>−</m:t>
              </m:r>
              <m:r>
                <m:t>V</m:t>
              </m:r>
              <m:d>
                <m:dPr>
                  <m:begChr m:val="("/>
                  <m:sepChr m:val=""/>
                  <m:endChr m:val=")"/>
                  <m:grow/>
                </m:dPr>
                <m:e>
                  <m:r>
                    <m:t>S</m:t>
                  </m:r>
                </m:e>
              </m:d>
            </m:e>
          </m:d>
          <m:r>
            <m:rPr>
              <m:sty m:val="p"/>
            </m:rPr>
            <m:t>.</m:t>
          </m:r>
        </m:oMath>
      </m:oMathPara>
    </w:p>
    <w:p>
      <w:pPr>
        <w:pStyle w:val="FirstParagraph"/>
      </w:pPr>
      <w:r>
        <w:t xml:space="preserve">This formula is tremendously helpful for intuition. If the entropy field depends mainly on time, then in a comoving frame it produces an effective energy density and pressure</w:t>
      </w:r>
    </w:p>
    <w:p>
      <w:pPr>
        <w:pStyle w:val="BodyText"/>
      </w:pPr>
      <m:oMathPara>
        <m:oMathParaPr>
          <m:jc m:val="center"/>
        </m:oMathParaPr>
        <m:oMath>
          <m:sSub>
            <m:e>
              <m:r>
                <m:t>ρ</m:t>
              </m:r>
            </m:e>
            <m:sub>
              <m:r>
                <m:t>S</m:t>
              </m:r>
            </m:sub>
          </m:sSub>
          <m:r>
            <m:rPr>
              <m:sty m:val="p"/>
            </m:rPr>
            <m:t>=</m:t>
          </m:r>
          <m:f>
            <m:fPr>
              <m:type m:val="bar"/>
            </m:fPr>
            <m:num>
              <m:r>
                <m:t>χ</m:t>
              </m:r>
            </m:num>
            <m:den>
              <m:r>
                <m:t>2</m:t>
              </m:r>
            </m:den>
          </m:f>
          <m:sSup>
            <m:e>
              <m:acc>
                <m:accPr>
                  <m:chr m:val="̇"/>
                </m:accPr>
                <m:e>
                  <m:r>
                    <m:t>S</m:t>
                  </m:r>
                </m:e>
              </m:acc>
            </m:e>
            <m:sup>
              <m:r>
                <m:t>2</m:t>
              </m:r>
            </m:sup>
          </m:sSup>
          <m:r>
            <m:rPr>
              <m:sty m:val="p"/>
            </m:rPr>
            <m:t>+</m:t>
          </m:r>
          <m:r>
            <m:t>V</m:t>
          </m:r>
          <m:d>
            <m:dPr>
              <m:begChr m:val="("/>
              <m:sepChr m:val=""/>
              <m:endChr m:val=")"/>
              <m:grow/>
            </m:dPr>
            <m:e>
              <m:r>
                <m:t>S</m:t>
              </m:r>
            </m:e>
          </m:d>
          <m:r>
            <m:rPr>
              <m:sty m:val="p"/>
            </m:rPr>
            <m:t>,</m:t>
          </m:r>
          <m:r>
            <m:t>  </m:t>
          </m:r>
          <m:sSub>
            <m:e>
              <m:r>
                <m:t>p</m:t>
              </m:r>
            </m:e>
            <m:sub>
              <m:r>
                <m:t>S</m:t>
              </m:r>
            </m:sub>
          </m:sSub>
          <m:r>
            <m:rPr>
              <m:sty m:val="p"/>
            </m:rPr>
            <m:t>=</m:t>
          </m:r>
          <m:f>
            <m:fPr>
              <m:type m:val="bar"/>
            </m:fPr>
            <m:num>
              <m:r>
                <m:t>χ</m:t>
              </m:r>
            </m:num>
            <m:den>
              <m:r>
                <m:t>2</m:t>
              </m:r>
            </m:den>
          </m:f>
          <m:sSup>
            <m:e>
              <m:acc>
                <m:accPr>
                  <m:chr m:val="̇"/>
                </m:accPr>
                <m:e>
                  <m:r>
                    <m:t>S</m:t>
                  </m:r>
                </m:e>
              </m:acc>
            </m:e>
            <m:sup>
              <m:r>
                <m:t>2</m:t>
              </m:r>
            </m:sup>
          </m:sSup>
          <m:r>
            <m:rPr>
              <m:sty m:val="p"/>
            </m:rPr>
            <m:t>−</m:t>
          </m:r>
          <m:r>
            <m:t>V</m:t>
          </m:r>
          <m:d>
            <m:dPr>
              <m:begChr m:val="("/>
              <m:sepChr m:val=""/>
              <m:endChr m:val=")"/>
              <m:grow/>
            </m:dPr>
            <m:e>
              <m:r>
                <m:t>S</m:t>
              </m:r>
            </m:e>
          </m:d>
          <m:r>
            <m:rPr>
              <m:sty m:val="p"/>
            </m:rPr>
            <m:t>.</m:t>
          </m:r>
        </m:oMath>
      </m:oMathPara>
    </w:p>
    <w:p>
      <w:pPr>
        <w:pStyle w:val="FirstParagraph"/>
      </w:pPr>
      <w:r>
        <w:t xml:space="preserve">So even one entropic scalar can already behave like different kinds of matter depending on whether kinetic or potential terms dominate. That shows concretely how mass-energy and pressure can arise as coarse-grained information content. ToE then expands this idea by adding geometric and current sectors, so that the full dressed source is not just</w:t>
      </w:r>
      <w:r>
        <w:t xml:space="preserve"> </w:t>
      </w:r>
      <m:oMath>
        <m:sSubSup>
          <m:e>
            <m:r>
              <m:t>T</m:t>
            </m:r>
          </m:e>
          <m:sub>
            <m:r>
              <m:t>μ</m:t>
            </m:r>
            <m:r>
              <m:t>ν</m:t>
            </m:r>
          </m:sub>
          <m:sup>
            <m:d>
              <m:dPr>
                <m:begChr m:val="("/>
                <m:sepChr m:val=""/>
                <m:endChr m:val=")"/>
                <m:grow/>
              </m:dPr>
              <m:e>
                <m:r>
                  <m:t>S</m:t>
                </m:r>
              </m:e>
            </m:d>
          </m:sup>
        </m:sSubSup>
      </m:oMath>
      <w:r>
        <w:t xml:space="preserve"> </w:t>
      </w:r>
      <w:r>
        <w:t xml:space="preserve">but a sum of matter, entropy, and additional geometric-information contributions. fileciteturn0file0</w:t>
      </w:r>
    </w:p>
    <w:p>
      <w:pPr>
        <w:pStyle w:val="BodyText"/>
      </w:pPr>
      <w:r>
        <w:t xml:space="preserve">The dressed field equation in Letter III has the schematic form</w:t>
      </w:r>
    </w:p>
    <w:p>
      <w:pPr>
        <w:pStyle w:val="BodyText"/>
      </w:pPr>
      <w:r>
        <w:t xml:space="preserve">$$
    G_{\mu\nu}
    +
    \Lambda_{\mathrm{ent}}\, g_{\mu\nu}
    =
    8\pi G_{\mathrm{eff}}
    \Bigl(
    T^{(m)}_{\mu\nu}
    +
    T^{(S)}_{\mu\nu}
    +
    T^{(G)}_{\mu\nu}
    \Bigr)
    +
    \text{higher-information corrections}.
    $$</w:t>
      </w:r>
    </w:p>
    <w:p>
      <w:pPr>
        <w:pStyle w:val="FirstParagraph"/>
      </w:pPr>
      <w:r>
        <w:t xml:space="preserve">This is the mathematical statement of the ToE program. The left-hand side is generated from information geometry by emergence and Obidi-signature conversion; the right-hand side is generated from localized entropic sources and their coarse-grained moments. In a low-coupling, low-curvature, near-equilibrium limit, Letter III claims that one recovers ordinary Einstein gravity, and it also presents Bianconi’s “gravity from entropy” as an intermediate or compatible entropic limit.</w:t>
      </w:r>
      <w:r>
        <w:t xml:space="preserve"> </w:t>
      </w:r>
      <w:hyperlink r:id="rId36">
        <w:r>
          <w:rPr>
            <w:rStyle w:val="Hyperlink"/>
          </w:rPr>
          <w:t xml:space="preserve">[20]</w:t>
        </w:r>
      </w:hyperlink>
      <w:r>
        <w:t xml:space="preserve"> </w:t>
      </w:r>
      <w:r>
        <w:t xml:space="preserve">fileciteturn0file0</w:t>
      </w:r>
    </w:p>
    <w:p>
      <w:pPr>
        <w:pStyle w:val="BodyText"/>
      </w:pPr>
      <w:r>
        <w:t xml:space="preserve">Letter III’s irreversible physics appears in its</w:t>
      </w:r>
      <w:r>
        <w:t xml:space="preserve"> </w:t>
      </w:r>
      <w:r>
        <w:rPr>
          <w:b/>
          <w:bCs/>
        </w:rPr>
        <w:t xml:space="preserve">Vuli-Ndlela path integral</w:t>
      </w:r>
      <w:r>
        <w:t xml:space="preserve"> </w:t>
      </w:r>
      <w:r>
        <w:t xml:space="preserve">and in the split of the entropic field into reversible and irreversible sectors. Schematically, it writes</w:t>
      </w:r>
    </w:p>
    <w:p>
      <w:pPr>
        <w:pStyle w:val="BodyText"/>
      </w:pPr>
      <m:oMathPara>
        <m:oMathParaPr>
          <m:jc m:val="center"/>
        </m:oMathParaPr>
        <m:oMath>
          <m:sSub>
            <m:e>
              <m:r>
                <m:t>Z</m:t>
              </m:r>
            </m:e>
            <m:sub>
              <m:r>
                <m:rPr>
                  <m:sty m:val="p"/>
                </m:rPr>
                <m:t>T</m:t>
              </m:r>
              <m:r>
                <m:rPr>
                  <m:sty m:val="p"/>
                </m:rPr>
                <m:t>o</m:t>
              </m:r>
              <m:r>
                <m:rPr>
                  <m:sty m:val="p"/>
                </m:rPr>
                <m:t>E</m:t>
              </m:r>
            </m:sub>
          </m:sSub>
          <m:r>
            <m:rPr>
              <m:sty m:val="p"/>
            </m:rPr>
            <m:t>=</m:t>
          </m:r>
          <m:r>
            <m:rPr>
              <m:sty m:val="p"/>
            </m:rPr>
            <m:t>∫</m:t>
          </m:r>
          <m:r>
            <m:rPr>
              <m:sty m:val="p"/>
              <m:scr m:val="script"/>
            </m:rPr>
            <m:t>D</m:t>
          </m:r>
          <m:r>
            <m:t>S</m:t>
          </m:r>
          <m:r>
            <m:t> </m:t>
          </m:r>
          <m:r>
            <m:rPr>
              <m:sty m:val="p"/>
            </m:rPr>
            <m:t>exp</m:t>
          </m:r>
          <m:r>
            <m:t>​</m:t>
          </m:r>
          <m:d>
            <m:dPr>
              <m:begChr m:val="["/>
              <m:sepChr m:val=""/>
              <m:endChr m:val="]"/>
              <m:grow/>
            </m:dPr>
            <m:e>
              <m:f>
                <m:fPr>
                  <m:type m:val="bar"/>
                </m:fPr>
                <m:num>
                  <m:r>
                    <m:t>i</m:t>
                  </m:r>
                </m:num>
                <m:den>
                  <m:sSub>
                    <m:e>
                      <m:r>
                        <m:rPr>
                          <m:sty m:val="p"/>
                        </m:rPr>
                        <m:t>ℏ</m:t>
                      </m:r>
                    </m:e>
                    <m:sub>
                      <m:r>
                        <m:rPr>
                          <m:sty m:val="p"/>
                        </m:rPr>
                        <m:t>e</m:t>
                      </m:r>
                      <m:r>
                        <m:rPr>
                          <m:sty m:val="p"/>
                        </m:rPr>
                        <m:t>f</m:t>
                      </m:r>
                      <m:r>
                        <m:rPr>
                          <m:sty m:val="p"/>
                        </m:rPr>
                        <m:t>f</m:t>
                      </m:r>
                    </m:sub>
                  </m:sSub>
                </m:den>
              </m:f>
              <m:r>
                <m:rPr>
                  <m:sty m:val="p"/>
                </m:rPr>
                <m:t>(</m:t>
              </m:r>
              <m:sSub>
                <m:e>
                  <m:r>
                    <m:t>S</m:t>
                  </m:r>
                </m:e>
                <m:sub>
                  <m:r>
                    <m:rPr>
                      <m:sty m:val="p"/>
                    </m:rPr>
                    <m:t>c</m:t>
                  </m:r>
                  <m:r>
                    <m:rPr>
                      <m:sty m:val="p"/>
                    </m:rPr>
                    <m:t>l</m:t>
                  </m:r>
                  <m:r>
                    <m:rPr>
                      <m:sty m:val="p"/>
                    </m:rPr>
                    <m:t>a</m:t>
                  </m:r>
                  <m:r>
                    <m:rPr>
                      <m:sty m:val="p"/>
                    </m:rPr>
                    <m:t>s</m:t>
                  </m:r>
                  <m:r>
                    <m:rPr>
                      <m:sty m:val="p"/>
                    </m:rPr>
                    <m:t>s</m:t>
                  </m:r>
                </m:sub>
              </m:sSub>
              <m:d>
                <m:dPr>
                  <m:begChr m:val="["/>
                  <m:sepChr m:val=""/>
                  <m:endChr m:val="]"/>
                  <m:grow/>
                </m:dPr>
                <m:e>
                  <m:r>
                    <m:t>S</m:t>
                  </m:r>
                </m:e>
              </m:d>
              <m:r>
                <m:rPr>
                  <m:sty m:val="p"/>
                </m:rPr>
                <m:t>+</m:t>
              </m:r>
              <m:sSub>
                <m:e>
                  <m:r>
                    <m:t>S</m:t>
                  </m:r>
                </m:e>
                <m:sub>
                  <m:r>
                    <m:t>G</m:t>
                  </m:r>
                </m:sub>
              </m:sSub>
              <m:d>
                <m:dPr>
                  <m:begChr m:val="["/>
                  <m:sepChr m:val=""/>
                  <m:endChr m:val="]"/>
                  <m:grow/>
                </m:dPr>
                <m:e>
                  <m:r>
                    <m:t>S</m:t>
                  </m:r>
                </m:e>
              </m:d>
              <m:r>
                <m:rPr>
                  <m:sty m:val="p"/>
                </m:rPr>
                <m:t>+</m:t>
              </m:r>
              <m:sSub>
                <m:e>
                  <m:r>
                    <m:t>S</m:t>
                  </m:r>
                </m:e>
                <m:sub>
                  <m:r>
                    <m:rPr>
                      <m:sty m:val="p"/>
                    </m:rPr>
                    <m:t>i</m:t>
                  </m:r>
                  <m:r>
                    <m:rPr>
                      <m:sty m:val="p"/>
                    </m:rPr>
                    <m:t>r</m:t>
                  </m:r>
                  <m:r>
                    <m:rPr>
                      <m:sty m:val="p"/>
                    </m:rPr>
                    <m:t>r</m:t>
                  </m:r>
                </m:sub>
              </m:sSub>
              <m:d>
                <m:dPr>
                  <m:begChr m:val="["/>
                  <m:sepChr m:val=""/>
                  <m:endChr m:val="]"/>
                  <m:grow/>
                </m:dPr>
                <m:e>
                  <m:r>
                    <m:t>S</m:t>
                  </m:r>
                </m:e>
              </m:d>
              <m:r>
                <m:rPr>
                  <m:sty m:val="p"/>
                </m:rPr>
                <m:t>)</m:t>
              </m:r>
            </m:e>
          </m:d>
          <m:r>
            <m:rPr>
              <m:sty m:val="p"/>
            </m:rPr>
            <m:t>,</m:t>
          </m:r>
        </m:oMath>
      </m:oMathPara>
    </w:p>
    <w:p>
      <w:pPr>
        <w:pStyle w:val="FirstParagraph"/>
      </w:pPr>
      <w:r>
        <w:t xml:space="preserve">and also studies equations such as</w:t>
      </w:r>
    </w:p>
    <w:p>
      <w:pPr>
        <w:pStyle w:val="BodyText"/>
      </w:pPr>
      <m:oMathPara>
        <m:oMathParaPr>
          <m:jc m:val="center"/>
        </m:oMathParaPr>
        <m:oMath>
          <m:sSub>
            <m:e>
              <m:r>
                <m:rPr>
                  <m:sty m:val="p"/>
                </m:rPr>
                <m:t>∇</m:t>
              </m:r>
            </m:e>
            <m:sub>
              <m:r>
                <m:t>μ</m:t>
              </m:r>
            </m:sub>
          </m:sSub>
          <m:sSup>
            <m:e>
              <m:r>
                <m:rPr>
                  <m:sty m:val="p"/>
                </m:rPr>
                <m:t>∇</m:t>
              </m:r>
            </m:e>
            <m:sup>
              <m:r>
                <m:t>μ</m:t>
              </m:r>
            </m:sup>
          </m:sSup>
          <m:r>
            <m:t>S</m:t>
          </m:r>
          <m:r>
            <m:rPr>
              <m:sty m:val="p"/>
            </m:rPr>
            <m:t>−</m:t>
          </m:r>
          <m:f>
            <m:fPr>
              <m:type m:val="bar"/>
            </m:fPr>
            <m:num>
              <m:r>
                <m:rPr>
                  <m:sty m:val="p"/>
                </m:rPr>
                <m:t>∂</m:t>
              </m:r>
              <m:r>
                <m:t>V</m:t>
              </m:r>
            </m:num>
            <m:den>
              <m:r>
                <m:rPr>
                  <m:sty m:val="p"/>
                </m:rPr>
                <m:t>∂</m:t>
              </m:r>
              <m:r>
                <m:t>S</m:t>
              </m:r>
            </m:den>
          </m:f>
          <m:r>
            <m:rPr>
              <m:sty m:val="p"/>
            </m:rPr>
            <m:t>+</m:t>
          </m:r>
          <m:f>
            <m:fPr>
              <m:type m:val="bar"/>
            </m:fPr>
            <m:num>
              <m:r>
                <m:t>i</m:t>
              </m:r>
            </m:num>
            <m:den>
              <m:r>
                <m:rPr>
                  <m:sty m:val="p"/>
                </m:rPr>
                <m:t>ℏ</m:t>
              </m:r>
            </m:den>
          </m:f>
          <m:f>
            <m:fPr>
              <m:type m:val="bar"/>
            </m:fPr>
            <m:num>
              <m:r>
                <m:t>δ</m:t>
              </m:r>
              <m:sSub>
                <m:e>
                  <m:r>
                    <m:t>S</m:t>
                  </m:r>
                </m:e>
                <m:sub>
                  <m:r>
                    <m:rPr>
                      <m:sty m:val="p"/>
                    </m:rPr>
                    <m:t>i</m:t>
                  </m:r>
                  <m:r>
                    <m:rPr>
                      <m:sty m:val="p"/>
                    </m:rPr>
                    <m:t>r</m:t>
                  </m:r>
                  <m:r>
                    <m:rPr>
                      <m:sty m:val="p"/>
                    </m:rPr>
                    <m:t>r</m:t>
                  </m:r>
                </m:sub>
              </m:sSub>
            </m:num>
            <m:den>
              <m:r>
                <m:t>δ</m:t>
              </m:r>
              <m:r>
                <m:t>S</m:t>
              </m:r>
            </m:den>
          </m:f>
          <m:r>
            <m:rPr>
              <m:sty m:val="p"/>
            </m:rPr>
            <m:t>=</m:t>
          </m:r>
          <m:r>
            <m:t>J</m:t>
          </m:r>
          <m:d>
            <m:dPr>
              <m:begChr m:val="("/>
              <m:sepChr m:val=""/>
              <m:endChr m:val=")"/>
              <m:grow/>
            </m:dPr>
            <m:e>
              <m:r>
                <m:t>x</m:t>
              </m:r>
            </m:e>
          </m:d>
          <m:r>
            <m:rPr>
              <m:sty m:val="p"/>
            </m:rPr>
            <m:t>,</m:t>
          </m:r>
          <m:r>
            <m:t>  </m:t>
          </m:r>
          <m:sSub>
            <m:e>
              <m:r>
                <m:rPr>
                  <m:sty m:val="p"/>
                </m:rPr>
                <m:t>∇</m:t>
              </m:r>
            </m:e>
            <m:sub>
              <m:r>
                <m:t>μ</m:t>
              </m:r>
            </m:sub>
          </m:sSub>
          <m:sSubSup>
            <m:e>
              <m:r>
                <m:t>J</m:t>
              </m:r>
            </m:e>
            <m:sub>
              <m:r>
                <m:rPr>
                  <m:sty m:val="p"/>
                </m:rPr>
                <m:t>e</m:t>
              </m:r>
              <m:r>
                <m:rPr>
                  <m:sty m:val="p"/>
                </m:rPr>
                <m:t>n</m:t>
              </m:r>
              <m:r>
                <m:rPr>
                  <m:sty m:val="p"/>
                </m:rPr>
                <m:t>t</m:t>
              </m:r>
            </m:sub>
            <m:sup>
              <m:r>
                <m:t>μ</m:t>
              </m:r>
            </m:sup>
          </m:sSubSup>
          <m:r>
            <m:rPr>
              <m:sty m:val="p"/>
            </m:rPr>
            <m:t>≥</m:t>
          </m:r>
          <m:r>
            <m:t>0</m:t>
          </m:r>
          <m:r>
            <m:rPr>
              <m:sty m:val="p"/>
            </m:rPr>
            <m:t>.</m:t>
          </m:r>
        </m:oMath>
      </m:oMathPara>
    </w:p>
    <w:p>
      <w:pPr>
        <w:pStyle w:val="FirstParagraph"/>
      </w:pPr>
      <w:r>
        <w:t xml:space="preserve">You do not need to master path integrals to understand the idea. The idea is that histories are still summed over, but irreversible entropy production changes the weighting of those histories. That is how ToE tries to encode the arrow of time mathematically rather than only philosophically. fileciteturn0file0</w:t>
      </w:r>
    </w:p>
    <w:p>
      <w:pPr>
        <w:pStyle w:val="BodyText"/>
      </w:pPr>
      <w:r>
        <w:t xml:space="preserve">A final point worth stating in the simplest possible language is this. In ToE, the Einstein right-hand side is not thrown away. It is</w:t>
      </w:r>
      <w:r>
        <w:t xml:space="preserve"> </w:t>
      </w:r>
      <w:r>
        <w:rPr>
          <w:b/>
          <w:bCs/>
        </w:rPr>
        <w:t xml:space="preserve">reinterpreted</w:t>
      </w:r>
      <w:r>
        <w:t xml:space="preserve">. Pressure, stress, radiation, and mass are still there, but they are read as stable, localized, transportable information patterns on an entropic manifold. The goal is not to erase matter, but to derive matter’s gravitational role from deeper informational tensors and currents. Whether that program can be completed in full detail is still open, but the mathematical path laid out in Letter III is coherent: moments</w:t>
      </w:r>
      <w:r>
        <w:t xml:space="preserve"> </w:t>
      </w:r>
      <m:oMath>
        <m:r>
          <m:rPr>
            <m:sty m:val="p"/>
          </m:rPr>
          <m:t>→</m:t>
        </m:r>
      </m:oMath>
      <w:r>
        <w:t xml:space="preserve"> </w:t>
      </w:r>
      <w:r>
        <w:t xml:space="preserve">tensors, divergences</w:t>
      </w:r>
      <w:r>
        <w:t xml:space="preserve"> </w:t>
      </w:r>
      <m:oMath>
        <m:r>
          <m:rPr>
            <m:sty m:val="p"/>
          </m:rPr>
          <m:t>→</m:t>
        </m:r>
      </m:oMath>
      <w:r>
        <w:t xml:space="preserve"> </w:t>
      </w:r>
      <w:r>
        <w:t xml:space="preserve">metrics, entropy gradients</w:t>
      </w:r>
      <w:r>
        <w:t xml:space="preserve"> </w:t>
      </w:r>
      <m:oMath>
        <m:r>
          <m:rPr>
            <m:sty m:val="p"/>
          </m:rPr>
          <m:t>→</m:t>
        </m:r>
      </m:oMath>
      <w:r>
        <w:t xml:space="preserve"> </w:t>
      </w:r>
      <w:r>
        <w:t xml:space="preserve">time direction, coarse-graining</w:t>
      </w:r>
      <w:r>
        <w:t xml:space="preserve"> </w:t>
      </w:r>
      <m:oMath>
        <m:r>
          <m:rPr>
            <m:sty m:val="p"/>
          </m:rPr>
          <m:t>→</m:t>
        </m:r>
      </m:oMath>
      <w:r>
        <w:t xml:space="preserve"> </w:t>
      </w:r>
      <w:r>
        <w:t xml:space="preserve">material sources, Bianchi compatibility</w:t>
      </w:r>
      <w:r>
        <w:t xml:space="preserve"> </w:t>
      </w:r>
      <m:oMath>
        <m:r>
          <m:rPr>
            <m:sty m:val="p"/>
          </m:rPr>
          <m:t>→</m:t>
        </m:r>
      </m:oMath>
      <w:r>
        <w:t xml:space="preserve"> </w:t>
      </w:r>
      <w:r>
        <w:t xml:space="preserve">conserved gravitational field equations.</w:t>
      </w:r>
      <w:r>
        <w:t xml:space="preserve"> </w:t>
      </w:r>
      <w:hyperlink r:id="rId26">
        <w:r>
          <w:rPr>
            <w:rStyle w:val="Hyperlink"/>
          </w:rPr>
          <w:t xml:space="preserve">[29]</w:t>
        </w:r>
      </w:hyperlink>
      <w:r>
        <w:t xml:space="preserve"> </w:t>
      </w:r>
      <w:r>
        <w:t xml:space="preserve">fileciteturn0file0</w:t>
      </w:r>
    </w:p>
    <w:bookmarkEnd w:id="43"/>
    <w:bookmarkStart w:id="44" w:name="references-for-further-reading"/>
    <w:p>
      <w:pPr>
        <w:pStyle w:val="Heading2"/>
      </w:pPr>
      <w:r>
        <w:t xml:space="preserve">References for further reading</w:t>
      </w:r>
    </w:p>
    <w:p>
      <w:pPr>
        <w:pStyle w:val="FirstParagraph"/>
      </w:pPr>
      <w:r>
        <w:t xml:space="preserve">The uploaded</w:t>
      </w:r>
      <w:r>
        <w:t xml:space="preserve"> </w:t>
      </w:r>
      <w:r>
        <w:rPr>
          <w:b/>
          <w:bCs/>
        </w:rPr>
        <w:t xml:space="preserve">Letter III and appendix</w:t>
      </w:r>
      <w:r>
        <w:t xml:space="preserve"> </w:t>
      </w:r>
      <w:r>
        <w:t xml:space="preserve">are the primary source for ToE-specific objects such as the Obidi transformation, the Obidi metric, the Obidi Curvature Invariant, the Hybrid Metric–Affine Space, the reversible/irreversible entropic split, and the dressed Einstein-limit program. fileciteturn0file0</w:t>
      </w:r>
    </w:p>
    <w:p>
      <w:pPr>
        <w:pStyle w:val="BodyText"/>
      </w:pPr>
      <w:r>
        <w:t xml:space="preserve">For classical information geometry, the most useful starting points from this research pass are N. Ay, J. Jost, H. V. Lê, and L. Schwachhöfer,</w:t>
      </w:r>
      <w:r>
        <w:t xml:space="preserve"> </w:t>
      </w:r>
      <w:r>
        <w:rPr>
          <w:i/>
          <w:iCs/>
        </w:rPr>
        <w:t xml:space="preserve">Information geometry and sufficient statistics</w:t>
      </w:r>
      <w:r>
        <w:t xml:space="preserve">; James G. Dowty,</w:t>
      </w:r>
      <w:r>
        <w:t xml:space="preserve"> </w:t>
      </w:r>
      <w:r>
        <w:rPr>
          <w:i/>
          <w:iCs/>
        </w:rPr>
        <w:t xml:space="preserve">Chentsov’s theorem for exponential families</w:t>
      </w:r>
      <w:r>
        <w:t xml:space="preserve">; and Frank Nielsen,</w:t>
      </w:r>
      <w:r>
        <w:t xml:space="preserve"> </w:t>
      </w:r>
      <w:r>
        <w:rPr>
          <w:i/>
          <w:iCs/>
        </w:rPr>
        <w:t xml:space="preserve">Cramer-Rao Lower Bound and Information Geometry</w:t>
      </w:r>
      <w:r>
        <w:t xml:space="preserve">. These explain why Fisher–Rao and the Amari–Čencov tensor are mathematically privileged.</w:t>
      </w:r>
      <w:r>
        <w:t xml:space="preserve"> </w:t>
      </w:r>
      <w:hyperlink r:id="rId21">
        <w:r>
          <w:rPr>
            <w:rStyle w:val="Hyperlink"/>
          </w:rPr>
          <w:t xml:space="preserve">[9]</w:t>
        </w:r>
      </w:hyperlink>
    </w:p>
    <w:p>
      <w:pPr>
        <w:pStyle w:val="BodyText"/>
      </w:pPr>
      <w:r>
        <w:t xml:space="preserve">For</w:t>
      </w:r>
      <w:r>
        <w:t xml:space="preserve"> </w:t>
      </w:r>
      <m:oMath>
        <m:r>
          <m:t>α</m:t>
        </m:r>
      </m:oMath>
      <w:r>
        <w:t xml:space="preserve">-connections and generalized Fisher structures, see Martin Bauer, Alice Le Brigant, Yuxiu Lu, and Cy Maor,</w:t>
      </w:r>
      <w:r>
        <w:t xml:space="preserve"> </w:t>
      </w:r>
      <w:r>
        <w:rPr>
          <w:i/>
          <w:iCs/>
        </w:rPr>
        <w:t xml:space="preserve">The</w:t>
      </w:r>
      <w:r>
        <w:rPr>
          <w:i/>
          <w:iCs/>
        </w:rPr>
        <w:t xml:space="preserve"> </w:t>
      </w:r>
      <m:oMath>
        <m:sSup>
          <m:e>
            <m:r>
              <m:t>L</m:t>
            </m:r>
          </m:e>
          <m:sup>
            <m:r>
              <m:t>p</m:t>
            </m:r>
          </m:sup>
        </m:sSup>
      </m:oMath>
      <w:r>
        <w:rPr>
          <w:i/>
          <w:iCs/>
        </w:rPr>
        <w:t xml:space="preserve">-Fisher–Rao metric and Amari–Čencov</w:t>
      </w:r>
      <w:r>
        <w:rPr>
          <w:i/>
          <w:iCs/>
        </w:rPr>
        <w:t xml:space="preserve"> </w:t>
      </w:r>
      <m:oMath>
        <m:r>
          <m:t>α</m:t>
        </m:r>
      </m:oMath>
      <w:r>
        <w:rPr>
          <w:i/>
          <w:iCs/>
        </w:rPr>
        <w:t xml:space="preserve">-connections</w:t>
      </w:r>
      <w:r>
        <w:t xml:space="preserve">, and Shimpei Kobayashi and Yu Ohno,</w:t>
      </w:r>
      <w:r>
        <w:t xml:space="preserve"> </w:t>
      </w:r>
      <w:r>
        <w:rPr>
          <w:i/>
          <w:iCs/>
        </w:rPr>
        <w:t xml:space="preserve">A characterization of the alpha-connections on the statistical manifold of multivariate normal distributions</w:t>
      </w:r>
      <w:r>
        <w:t xml:space="preserve">.</w:t>
      </w:r>
      <w:r>
        <w:t xml:space="preserve"> </w:t>
      </w:r>
      <w:hyperlink r:id="rId30">
        <w:r>
          <w:rPr>
            <w:rStyle w:val="Hyperlink"/>
          </w:rPr>
          <w:t xml:space="preserve">[30]</w:t>
        </w:r>
      </w:hyperlink>
    </w:p>
    <w:p>
      <w:pPr>
        <w:pStyle w:val="BodyText"/>
      </w:pPr>
      <w:r>
        <w:t xml:space="preserve">For classical and quantum Fisher geometry and its relation to Fubini–Study geometry, see Paolo Facchi and collaborators,</w:t>
      </w:r>
      <w:r>
        <w:t xml:space="preserve"> </w:t>
      </w:r>
      <w:r>
        <w:rPr>
          <w:i/>
          <w:iCs/>
        </w:rPr>
        <w:t xml:space="preserve">Classical and Quantum Fisher Information in the Geometrical Formulation of Quantum Mechanics</w:t>
      </w:r>
      <w:r>
        <w:t xml:space="preserve">, and Ran Cheng,</w:t>
      </w:r>
      <w:r>
        <w:t xml:space="preserve"> </w:t>
      </w:r>
      <w:r>
        <w:rPr>
          <w:i/>
          <w:iCs/>
        </w:rPr>
        <w:t xml:space="preserve">Quantum Geometric Tensor (Fubini–Study Metric) in Simple Quantum System: A pedagogical Introduction</w:t>
      </w:r>
      <w:r>
        <w:t xml:space="preserve">.</w:t>
      </w:r>
      <w:r>
        <w:t xml:space="preserve"> </w:t>
      </w:r>
      <w:hyperlink r:id="rId32">
        <w:r>
          <w:rPr>
            <w:rStyle w:val="Hyperlink"/>
          </w:rPr>
          <w:t xml:space="preserve">[15]</w:t>
        </w:r>
      </w:hyperlink>
    </w:p>
    <w:p>
      <w:pPr>
        <w:pStyle w:val="BodyText"/>
      </w:pPr>
      <w:r>
        <w:t xml:space="preserve">For mixed-state geometry and the reduction of Bures-type structures to Fubini–Study in appropriate limits, see Xu-Yang Hou and collaborators,</w:t>
      </w:r>
      <w:r>
        <w:t xml:space="preserve"> </w:t>
      </w:r>
      <w:r>
        <w:rPr>
          <w:i/>
          <w:iCs/>
        </w:rPr>
        <w:t xml:space="preserve">Local geometry and quantum geometric tensor of mixed states</w:t>
      </w:r>
      <w:r>
        <w:t xml:space="preserve">.</w:t>
      </w:r>
      <w:r>
        <w:t xml:space="preserve"> </w:t>
      </w:r>
      <w:hyperlink r:id="rId34">
        <w:r>
          <w:rPr>
            <w:rStyle w:val="Hyperlink"/>
          </w:rPr>
          <w:t xml:space="preserve">[31]</w:t>
        </w:r>
      </w:hyperlink>
    </w:p>
    <w:p>
      <w:pPr>
        <w:pStyle w:val="BodyText"/>
      </w:pPr>
      <w:r>
        <w:t xml:space="preserve">For quantum relative entropy, see Takahiro Sagawa,</w:t>
      </w:r>
      <w:r>
        <w:t xml:space="preserve"> </w:t>
      </w:r>
      <w:r>
        <w:rPr>
          <w:i/>
          <w:iCs/>
        </w:rPr>
        <w:t xml:space="preserve">Second Law-Like Inequalities with Quantum Relative Entropy: An Introduction</w:t>
      </w:r>
      <w:r>
        <w:t xml:space="preserve">, and Henrik Wilming, Rodrigo Gallego, and Jens Eisert,</w:t>
      </w:r>
      <w:r>
        <w:t xml:space="preserve"> </w:t>
      </w:r>
      <w:r>
        <w:rPr>
          <w:i/>
          <w:iCs/>
        </w:rPr>
        <w:t xml:space="preserve">Axiomatic characterization of the quantum relative entropy and free energy</w:t>
      </w:r>
      <w:r>
        <w:t xml:space="preserve">.</w:t>
      </w:r>
      <w:r>
        <w:t xml:space="preserve"> </w:t>
      </w:r>
      <w:hyperlink r:id="rId35">
        <w:r>
          <w:rPr>
            <w:rStyle w:val="Hyperlink"/>
          </w:rPr>
          <w:t xml:space="preserve">[18]</w:t>
        </w:r>
      </w:hyperlink>
    </w:p>
    <w:p>
      <w:pPr>
        <w:pStyle w:val="BodyText"/>
      </w:pPr>
      <w:r>
        <w:t xml:space="preserve">For entropic or thermodynamic routes to gravity, see Ted Jacobson,</w:t>
      </w:r>
      <w:r>
        <w:t xml:space="preserve"> </w:t>
      </w:r>
      <w:r>
        <w:rPr>
          <w:i/>
          <w:iCs/>
        </w:rPr>
        <w:t xml:space="preserve">Thermodynamics of Spacetime: The Einstein Equation of State</w:t>
      </w:r>
      <w:r>
        <w:t xml:space="preserve">; Erik Verlinde,</w:t>
      </w:r>
      <w:r>
        <w:t xml:space="preserve"> </w:t>
      </w:r>
      <w:r>
        <w:rPr>
          <w:i/>
          <w:iCs/>
        </w:rPr>
        <w:t xml:space="preserve">On the Origin of Gravity and the Laws of Newton</w:t>
      </w:r>
      <w:r>
        <w:t xml:space="preserve">; and Ginestra Bianconi,</w:t>
      </w:r>
      <w:r>
        <w:t xml:space="preserve"> </w:t>
      </w:r>
      <w:r>
        <w:rPr>
          <w:i/>
          <w:iCs/>
        </w:rPr>
        <w:t xml:space="preserve">Gravity from entropy</w:t>
      </w:r>
      <w:r>
        <w:t xml:space="preserve"> </w:t>
      </w:r>
      <w:r>
        <w:t xml:space="preserve">together with her follow-up thermodynamic work.</w:t>
      </w:r>
      <w:r>
        <w:t xml:space="preserve"> </w:t>
      </w:r>
      <w:hyperlink r:id="rId22">
        <w:r>
          <w:rPr>
            <w:rStyle w:val="Hyperlink"/>
          </w:rPr>
          <w:t xml:space="preserve">[32]</w:t>
        </w:r>
      </w:hyperlink>
    </w:p>
    <w:p>
      <w:pPr>
        <w:pStyle w:val="BodyText"/>
      </w:pPr>
      <w:r>
        <w:t xml:space="preserve">For the link between stress–energy, entropy current, and covariant statistical mechanics, see F. Becattini,</w:t>
      </w:r>
      <w:r>
        <w:t xml:space="preserve"> </w:t>
      </w:r>
      <w:r>
        <w:rPr>
          <w:i/>
          <w:iCs/>
        </w:rPr>
        <w:t xml:space="preserve">Covariant statistical mechanics and the stress-energy tensor</w:t>
      </w:r>
      <w:r>
        <w:t xml:space="preserve">. For radiation moments in relativistic settings, see Masaru Shibata and collaborators,</w:t>
      </w:r>
      <w:r>
        <w:t xml:space="preserve"> </w:t>
      </w:r>
      <w:r>
        <w:rPr>
          <w:i/>
          <w:iCs/>
        </w:rPr>
        <w:t xml:space="preserve">Truncated Moment Formalism for Radiation Hydrodynamics in Numerical Relativity</w:t>
      </w:r>
      <w:r>
        <w:t xml:space="preserve">.</w:t>
      </w:r>
      <w:r>
        <w:t xml:space="preserve"> </w:t>
      </w:r>
      <w:hyperlink r:id="rId26">
        <w:r>
          <w:rPr>
            <w:rStyle w:val="Hyperlink"/>
          </w:rPr>
          <w:t xml:space="preserve">[8]</w:t>
        </w:r>
      </w:hyperlink>
    </w:p>
    <w:p>
      <w:pPr>
        <w:pStyle w:val="BodyText"/>
      </w:pPr>
      <w:r>
        <w:t xml:space="preserve">For the physical significance of the one-bit entropy unit</w:t>
      </w:r>
      <w:r>
        <w:t xml:space="preserve"> </w:t>
      </w:r>
      <m:oMath>
        <m:r>
          <m:rPr>
            <m:sty m:val="p"/>
          </m:rPr>
          <m:t>ln</m:t>
        </m:r>
        <m:r>
          <m:t>2</m:t>
        </m:r>
      </m:oMath>
      <w:r>
        <w:t xml:space="preserve">, see the modern experimental literature on Landauer’s principle, including Yonggun Jun, Momčilo Gavrilov, and John Bechhoefer,</w:t>
      </w:r>
      <w:r>
        <w:t xml:space="preserve"> </w:t>
      </w:r>
      <w:r>
        <w:rPr>
          <w:i/>
          <w:iCs/>
        </w:rPr>
        <w:t xml:space="preserve">High-precision test of Landauer’s principle in a feedback trap</w:t>
      </w:r>
      <w:r>
        <w:t xml:space="preserve">, and J. Hong and collaborators,</w:t>
      </w:r>
      <w:r>
        <w:t xml:space="preserve"> </w:t>
      </w:r>
      <w:r>
        <w:rPr>
          <w:i/>
          <w:iCs/>
        </w:rPr>
        <w:t xml:space="preserve">Experimental verification of Landauer’s principle in erasure of nanomagnetic memory bits</w:t>
      </w:r>
      <w:r>
        <w:t xml:space="preserve">.</w:t>
      </w:r>
      <w:r>
        <w:t xml:space="preserve"> </w:t>
      </w:r>
      <w:hyperlink r:id="rId42">
        <w:r>
          <w:rPr>
            <w:rStyle w:val="Hyperlink"/>
          </w:rPr>
          <w:t xml:space="preserve">[28]</w:t>
        </w:r>
      </w:hyperlink>
    </w:p>
    <w:bookmarkEnd w:id="44"/>
    <w:bookmarkStart w:id="45" w:name="open-questions-and-limitations"/>
    <w:p>
      <w:pPr>
        <w:pStyle w:val="Heading2"/>
      </w:pPr>
      <w:r>
        <w:t xml:space="preserve">Open questions and limitations</w:t>
      </w:r>
    </w:p>
    <w:p>
      <w:pPr>
        <w:pStyle w:val="FirstParagraph"/>
      </w:pPr>
      <w:r>
        <w:t xml:space="preserve">Some of the most important objects in your request are</w:t>
      </w:r>
      <w:r>
        <w:t xml:space="preserve"> </w:t>
      </w:r>
      <w:r>
        <w:rPr>
          <w:b/>
          <w:bCs/>
        </w:rPr>
        <w:t xml:space="preserve">standard</w:t>
      </w:r>
      <w:r>
        <w:t xml:space="preserve"> </w:t>
      </w:r>
      <w:r>
        <w:t xml:space="preserve">and already well established: Fisher–Rao, Fubini–Study, KL divergence, Umegaki quantum relative entropy,</w:t>
      </w:r>
      <w:r>
        <w:t xml:space="preserve"> </w:t>
      </w:r>
      <m:oMath>
        <m:r>
          <m:t>α</m:t>
        </m:r>
      </m:oMath>
      <w:r>
        <w:t xml:space="preserve">-connections, tangent and cotangent bundles, and the Bianchi identity. Others are</w:t>
      </w:r>
      <w:r>
        <w:t xml:space="preserve"> </w:t>
      </w:r>
      <w:r>
        <w:rPr>
          <w:b/>
          <w:bCs/>
        </w:rPr>
        <w:t xml:space="preserve">specific proposals inside ToE</w:t>
      </w:r>
      <w:r>
        <w:t xml:space="preserve">: the Obidi transformation, the Obidi metric, the OCI, the</w:t>
      </w:r>
      <w:r>
        <w:t xml:space="preserve"> </w:t>
      </w:r>
      <m:oMath>
        <m:r>
          <m:t>α</m:t>
        </m:r>
      </m:oMath>
      <w:r>
        <w:t xml:space="preserve">–</w:t>
      </w:r>
      <m:oMath>
        <m:r>
          <m:t>q</m:t>
        </m:r>
      </m:oMath>
      <w:r>
        <w:t xml:space="preserve"> </w:t>
      </w:r>
      <w:r>
        <w:t xml:space="preserve">constitutive law in the exact form used by Letter III, and the staged derivation of the Einstein right-hand side from entropic tensors and currents. Those ToE objects should be read as original theoretical constructions presented in Letter III, not as settled consensus mathematics.</w:t>
      </w:r>
      <w:r>
        <w:t xml:space="preserve"> </w:t>
      </w:r>
      <w:hyperlink r:id="rId29">
        <w:r>
          <w:rPr>
            <w:rStyle w:val="Hyperlink"/>
          </w:rPr>
          <w:t xml:space="preserve">[12]</w:t>
        </w:r>
      </w:hyperlink>
      <w:r>
        <w:t xml:space="preserve"> </w:t>
      </w:r>
      <w:r>
        <w:t xml:space="preserve">fileciteturn0file0</w:t>
      </w:r>
    </w:p>
    <w:p>
      <w:pPr>
        <w:pStyle w:val="BodyText"/>
      </w:pPr>
      <w:r>
        <w:t xml:space="preserve">The main mathematical challenge still open for ToE is not the intuition but the full proof chain: making the emergence map, the Lorentzian-signature conversion, the entropic source tensor, and the conservation laws all work globally and rigorously in one self-contained formalism. Letter III gives a program and many ingredients for that program. Whether the complete derivation can be closed without extra assumptions remains a live research question.</w:t>
      </w:r>
      <w:r>
        <w:t xml:space="preserve"> </w:t>
      </w:r>
      <w:hyperlink r:id="rId36">
        <w:r>
          <w:rPr>
            <w:rStyle w:val="Hyperlink"/>
          </w:rPr>
          <w:t xml:space="preserve">[33]</w:t>
        </w:r>
      </w:hyperlink>
      <w:r>
        <w:t xml:space="preserve"> </w:t>
      </w:r>
      <w:r>
        <w:t xml:space="preserve">fileciteturn0file0</w:t>
      </w:r>
    </w:p>
    <w:bookmarkEnd w:id="45"/>
    <w:bookmarkEnd w:id="46"/>
    <w:bookmarkEnd w:id="47"/>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[13]</w:t>
        </w:r>
      </w:hyperlink>
      <w:r>
        <w:t xml:space="preserve"> </w:t>
      </w:r>
      <w:hyperlink r:id="rId21">
        <w:r>
          <w:rPr>
            <w:rStyle w:val="Hyperlink"/>
          </w:rPr>
          <w:t xml:space="preserve">[27]</w:t>
        </w:r>
      </w:hyperlink>
      <w:r>
        <w:t xml:space="preserve"> </w:t>
      </w:r>
      <w:r>
        <w:t xml:space="preserve">https://arxiv.org/abs/1207.6736</w:t>
      </w:r>
    </w:p>
    <w:p>
      <w:pPr>
        <w:pStyle w:val="BodyText"/>
      </w:pPr>
      <w:hyperlink r:id="rId21">
        <w:r>
          <w:rPr>
            <w:rStyle w:val="Hyperlink"/>
          </w:rPr>
          <w:t xml:space="preserve">https://arxiv.org/abs/1207.6736</w:t>
        </w:r>
      </w:hyperlink>
    </w:p>
    <w:p>
      <w:pPr>
        <w:pStyle w:val="BodyText"/>
      </w:pPr>
      <w:hyperlink r:id="rId22">
        <w:r>
          <w:rPr>
            <w:rStyle w:val="Hyperlink"/>
          </w:rPr>
          <w:t xml:space="preserve">[3]</w:t>
        </w:r>
      </w:hyperlink>
      <w:r>
        <w:t xml:space="preserve"> </w:t>
      </w:r>
      <w:hyperlink r:id="rId22">
        <w:r>
          <w:rPr>
            <w:rStyle w:val="Hyperlink"/>
          </w:rPr>
          <w:t xml:space="preserve">[32]</w:t>
        </w:r>
      </w:hyperlink>
      <w:r>
        <w:t xml:space="preserve"> </w:t>
      </w:r>
      <w:r>
        <w:t xml:space="preserve">https://arxiv.org/abs/gr-qc/9504004</w:t>
      </w:r>
    </w:p>
    <w:p>
      <w:pPr>
        <w:pStyle w:val="BodyText"/>
      </w:pPr>
      <w:hyperlink r:id="rId22">
        <w:r>
          <w:rPr>
            <w:rStyle w:val="Hyperlink"/>
          </w:rPr>
          <w:t xml:space="preserve">https://arxiv.org/abs/gr-qc/9504004</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r>
        <w:t xml:space="preserve">https://arxiv.org/abs/1204.2191</w:t>
      </w:r>
    </w:p>
    <w:p>
      <w:pPr>
        <w:pStyle w:val="BodyText"/>
      </w:pPr>
      <w:hyperlink r:id="rId24">
        <w:r>
          <w:rPr>
            <w:rStyle w:val="Hyperlink"/>
          </w:rPr>
          <w:t xml:space="preserve">https://arxiv.org/abs/1204.2191</w:t>
        </w:r>
      </w:hyperlink>
    </w:p>
    <w:p>
      <w:pPr>
        <w:pStyle w:val="BodyText"/>
      </w:pPr>
      <w:hyperlink r:id="rId25">
        <w:r>
          <w:rPr>
            <w:rStyle w:val="Hyperlink"/>
          </w:rPr>
          <w:t xml:space="preserve">[6]</w:t>
        </w:r>
      </w:hyperlink>
      <w:r>
        <w:t xml:space="preserve"> </w:t>
      </w:r>
      <w:hyperlink r:id="rId25">
        <w:r>
          <w:rPr>
            <w:rStyle w:val="Hyperlink"/>
          </w:rPr>
          <w:t xml:space="preserve">[7]</w:t>
        </w:r>
      </w:hyperlink>
      <w:r>
        <w:t xml:space="preserve"> </w:t>
      </w:r>
      <w:r>
        <w:t xml:space="preserve">https://arxiv.org/abs/1604.07862</w:t>
      </w:r>
    </w:p>
    <w:p>
      <w:pPr>
        <w:pStyle w:val="BodyText"/>
      </w:pPr>
      <w:hyperlink r:id="rId25">
        <w:r>
          <w:rPr>
            <w:rStyle w:val="Hyperlink"/>
          </w:rPr>
          <w:t xml:space="preserve">https://arxiv.org/abs/1604.07862</w:t>
        </w:r>
      </w:hyperlink>
    </w:p>
    <w:p>
      <w:pPr>
        <w:pStyle w:val="BodyText"/>
      </w:pPr>
      <w:hyperlink r:id="rId26">
        <w:r>
          <w:rPr>
            <w:rStyle w:val="Hyperlink"/>
          </w:rPr>
          <w:t xml:space="preserve">[8]</w:t>
        </w:r>
      </w:hyperlink>
      <w:r>
        <w:t xml:space="preserve"> </w:t>
      </w:r>
      <w:hyperlink r:id="rId26">
        <w:r>
          <w:rPr>
            <w:rStyle w:val="Hyperlink"/>
          </w:rPr>
          <w:t xml:space="preserve">[24]</w:t>
        </w:r>
      </w:hyperlink>
      <w:r>
        <w:t xml:space="preserve"> </w:t>
      </w:r>
      <w:hyperlink r:id="rId26">
        <w:r>
          <w:rPr>
            <w:rStyle w:val="Hyperlink"/>
          </w:rPr>
          <w:t xml:space="preserve">[29]</w:t>
        </w:r>
      </w:hyperlink>
      <w:r>
        <w:t xml:space="preserve"> </w:t>
      </w:r>
      <w:r>
        <w:t xml:space="preserve">https://arxiv.org/abs/1201.5278</w:t>
      </w:r>
    </w:p>
    <w:p>
      <w:pPr>
        <w:pStyle w:val="BodyText"/>
      </w:pPr>
      <w:hyperlink r:id="rId26">
        <w:r>
          <w:rPr>
            <w:rStyle w:val="Hyperlink"/>
          </w:rPr>
          <w:t xml:space="preserve">https://arxiv.org/abs/1201.5278</w:t>
        </w:r>
      </w:hyperlink>
    </w:p>
    <w:p>
      <w:pPr>
        <w:pStyle w:val="BodyText"/>
      </w:pPr>
      <w:hyperlink r:id="rId28">
        <w:r>
          <w:rPr>
            <w:rStyle w:val="Hyperlink"/>
          </w:rPr>
          <w:t xml:space="preserve">[11]</w:t>
        </w:r>
      </w:hyperlink>
      <w:r>
        <w:t xml:space="preserve"> </w:t>
      </w:r>
      <w:r>
        <w:t xml:space="preserve">https://arxiv.org/abs/2303.07673</w:t>
      </w:r>
    </w:p>
    <w:p>
      <w:pPr>
        <w:pStyle w:val="BodyText"/>
      </w:pPr>
      <w:hyperlink r:id="rId28">
        <w:r>
          <w:rPr>
            <w:rStyle w:val="Hyperlink"/>
          </w:rPr>
          <w:t xml:space="preserve">https://arxiv.org/abs/2303.07673</w:t>
        </w:r>
      </w:hyperlink>
    </w:p>
    <w:p>
      <w:pPr>
        <w:pStyle w:val="BodyText"/>
      </w:pPr>
      <w:hyperlink r:id="rId29">
        <w:r>
          <w:rPr>
            <w:rStyle w:val="Hyperlink"/>
          </w:rPr>
          <w:t xml:space="preserve">[12]</w:t>
        </w:r>
      </w:hyperlink>
      <w:r>
        <w:t xml:space="preserve"> </w:t>
      </w:r>
      <w:r>
        <w:t xml:space="preserve">https://arxiv.org/abs/1701.08895</w:t>
      </w:r>
    </w:p>
    <w:p>
      <w:pPr>
        <w:pStyle w:val="BodyText"/>
      </w:pPr>
      <w:hyperlink r:id="rId29">
        <w:r>
          <w:rPr>
            <w:rStyle w:val="Hyperlink"/>
          </w:rPr>
          <w:t xml:space="preserve">https://arxiv.org/abs/1701.08895</w:t>
        </w:r>
      </w:hyperlink>
    </w:p>
    <w:p>
      <w:pPr>
        <w:pStyle w:val="BodyText"/>
      </w:pPr>
      <w:hyperlink r:id="rId30">
        <w:r>
          <w:rPr>
            <w:rStyle w:val="Hyperlink"/>
          </w:rPr>
          <w:t xml:space="preserve">[14]</w:t>
        </w:r>
      </w:hyperlink>
      <w:r>
        <w:t xml:space="preserve"> </w:t>
      </w:r>
      <w:hyperlink r:id="rId30">
        <w:r>
          <w:rPr>
            <w:rStyle w:val="Hyperlink"/>
          </w:rPr>
          <w:t xml:space="preserve">[30]</w:t>
        </w:r>
      </w:hyperlink>
      <w:r>
        <w:t xml:space="preserve"> </w:t>
      </w:r>
      <w:r>
        <w:t xml:space="preserve">https://arxiv.org/abs/2306.14533</w:t>
      </w:r>
    </w:p>
    <w:p>
      <w:pPr>
        <w:pStyle w:val="BodyText"/>
      </w:pPr>
      <w:hyperlink r:id="rId30">
        <w:r>
          <w:rPr>
            <w:rStyle w:val="Hyperlink"/>
          </w:rPr>
          <w:t xml:space="preserve">https://arxiv.org/abs/2306.14533</w:t>
        </w:r>
      </w:hyperlink>
    </w:p>
    <w:p>
      <w:pPr>
        <w:pStyle w:val="BodyText"/>
      </w:pPr>
      <w:hyperlink r:id="rId32">
        <w:r>
          <w:rPr>
            <w:rStyle w:val="Hyperlink"/>
          </w:rPr>
          <w:t xml:space="preserve">[15]</w:t>
        </w:r>
      </w:hyperlink>
      <w:r>
        <w:t xml:space="preserve"> </w:t>
      </w:r>
      <w:hyperlink r:id="rId32">
        <w:r>
          <w:rPr>
            <w:rStyle w:val="Hyperlink"/>
          </w:rPr>
          <w:t xml:space="preserve">[25]</w:t>
        </w:r>
      </w:hyperlink>
      <w:r>
        <w:t xml:space="preserve"> </w:t>
      </w:r>
      <w:r>
        <w:t xml:space="preserve">https://arxiv.org/abs/1009.5219</w:t>
      </w:r>
    </w:p>
    <w:p>
      <w:pPr>
        <w:pStyle w:val="BodyText"/>
      </w:pPr>
      <w:hyperlink r:id="rId32">
        <w:r>
          <w:rPr>
            <w:rStyle w:val="Hyperlink"/>
          </w:rPr>
          <w:t xml:space="preserve">https://arxiv.org/abs/1009.5219</w:t>
        </w:r>
      </w:hyperlink>
    </w:p>
    <w:p>
      <w:pPr>
        <w:pStyle w:val="BodyText"/>
      </w:pPr>
      <w:hyperlink r:id="rId33">
        <w:r>
          <w:rPr>
            <w:rStyle w:val="Hyperlink"/>
          </w:rPr>
          <w:t xml:space="preserve">[16]</w:t>
        </w:r>
      </w:hyperlink>
      <w:r>
        <w:t xml:space="preserve"> </w:t>
      </w:r>
      <w:r>
        <w:t xml:space="preserve">https://arxiv.org/abs/1012.1337</w:t>
      </w:r>
    </w:p>
    <w:p>
      <w:pPr>
        <w:pStyle w:val="BodyText"/>
      </w:pPr>
      <w:hyperlink r:id="rId33">
        <w:r>
          <w:rPr>
            <w:rStyle w:val="Hyperlink"/>
          </w:rPr>
          <w:t xml:space="preserve">https://arxiv.org/abs/1012.1337</w:t>
        </w:r>
      </w:hyperlink>
    </w:p>
    <w:p>
      <w:pPr>
        <w:pStyle w:val="BodyText"/>
      </w:pPr>
      <w:hyperlink r:id="rId34">
        <w:r>
          <w:rPr>
            <w:rStyle w:val="Hyperlink"/>
          </w:rPr>
          <w:t xml:space="preserve">[17]</w:t>
        </w:r>
      </w:hyperlink>
      <w:r>
        <w:t xml:space="preserve"> </w:t>
      </w:r>
      <w:hyperlink r:id="rId34">
        <w:r>
          <w:rPr>
            <w:rStyle w:val="Hyperlink"/>
          </w:rPr>
          <w:t xml:space="preserve">[31]</w:t>
        </w:r>
      </w:hyperlink>
      <w:r>
        <w:t xml:space="preserve"> </w:t>
      </w:r>
      <w:r>
        <w:t xml:space="preserve">https://arxiv.org/abs/2305.07597</w:t>
      </w:r>
    </w:p>
    <w:p>
      <w:pPr>
        <w:pStyle w:val="BodyText"/>
      </w:pPr>
      <w:hyperlink r:id="rId34">
        <w:r>
          <w:rPr>
            <w:rStyle w:val="Hyperlink"/>
          </w:rPr>
          <w:t xml:space="preserve">https://arxiv.org/abs/2305.07597</w:t>
        </w:r>
      </w:hyperlink>
    </w:p>
    <w:p>
      <w:pPr>
        <w:pStyle w:val="BodyText"/>
      </w:pPr>
      <w:hyperlink r:id="rId35">
        <w:r>
          <w:rPr>
            <w:rStyle w:val="Hyperlink"/>
          </w:rPr>
          <w:t xml:space="preserve">[18]</w:t>
        </w:r>
      </w:hyperlink>
      <w:r>
        <w:t xml:space="preserve"> </w:t>
      </w:r>
      <w:hyperlink r:id="rId35">
        <w:r>
          <w:rPr>
            <w:rStyle w:val="Hyperlink"/>
          </w:rPr>
          <w:t xml:space="preserve">[19]</w:t>
        </w:r>
      </w:hyperlink>
      <w:r>
        <w:t xml:space="preserve"> </w:t>
      </w:r>
      <w:r>
        <w:t xml:space="preserve">https://arxiv.org/abs/1202.0983</w:t>
      </w:r>
    </w:p>
    <w:p>
      <w:pPr>
        <w:pStyle w:val="BodyText"/>
      </w:pPr>
      <w:hyperlink r:id="rId35">
        <w:r>
          <w:rPr>
            <w:rStyle w:val="Hyperlink"/>
          </w:rPr>
          <w:t xml:space="preserve">https://arxiv.org/abs/1202.0983</w:t>
        </w:r>
      </w:hyperlink>
    </w:p>
    <w:p>
      <w:pPr>
        <w:pStyle w:val="BodyText"/>
      </w:pPr>
      <w:hyperlink r:id="rId36">
        <w:r>
          <w:rPr>
            <w:rStyle w:val="Hyperlink"/>
          </w:rPr>
          <w:t xml:space="preserve">[20]</w:t>
        </w:r>
      </w:hyperlink>
      <w:r>
        <w:t xml:space="preserve"> </w:t>
      </w:r>
      <w:hyperlink r:id="rId36">
        <w:r>
          <w:rPr>
            <w:rStyle w:val="Hyperlink"/>
          </w:rPr>
          <w:t xml:space="preserve">[33]</w:t>
        </w:r>
      </w:hyperlink>
      <w:r>
        <w:t xml:space="preserve"> </w:t>
      </w:r>
      <w:r>
        <w:t xml:space="preserve">https://arxiv.org/abs/2408.14391</w:t>
      </w:r>
    </w:p>
    <w:p>
      <w:pPr>
        <w:pStyle w:val="BodyText"/>
      </w:pPr>
      <w:hyperlink r:id="rId36">
        <w:r>
          <w:rPr>
            <w:rStyle w:val="Hyperlink"/>
          </w:rPr>
          <w:t xml:space="preserve">https://arxiv.org/abs/2408.14391</w:t>
        </w:r>
      </w:hyperlink>
    </w:p>
    <w:p>
      <w:pPr>
        <w:pStyle w:val="BodyText"/>
      </w:pPr>
      <w:hyperlink r:id="rId38">
        <w:r>
          <w:rPr>
            <w:rStyle w:val="Hyperlink"/>
          </w:rPr>
          <w:t xml:space="preserve">[21]</w:t>
        </w:r>
      </w:hyperlink>
      <w:r>
        <w:t xml:space="preserve"> </w:t>
      </w:r>
      <w:hyperlink r:id="rId38">
        <w:r>
          <w:rPr>
            <w:rStyle w:val="Hyperlink"/>
          </w:rPr>
          <w:t xml:space="preserve">[23]</w:t>
        </w:r>
      </w:hyperlink>
      <w:r>
        <w:t xml:space="preserve"> </w:t>
      </w:r>
      <w:r>
        <w:t xml:space="preserve">https://arxiv.org/abs/2201.00938</w:t>
      </w:r>
    </w:p>
    <w:p>
      <w:pPr>
        <w:pStyle w:val="BodyText"/>
      </w:pPr>
      <w:hyperlink r:id="rId38">
        <w:r>
          <w:rPr>
            <w:rStyle w:val="Hyperlink"/>
          </w:rPr>
          <w:t xml:space="preserve">https://arxiv.org/abs/2201.00938</w:t>
        </w:r>
      </w:hyperlink>
    </w:p>
    <w:p>
      <w:pPr>
        <w:pStyle w:val="BodyText"/>
      </w:pPr>
      <w:hyperlink r:id="rId39">
        <w:r>
          <w:rPr>
            <w:rStyle w:val="Hyperlink"/>
          </w:rPr>
          <w:t xml:space="preserve">[22]</w:t>
        </w:r>
      </w:hyperlink>
      <w:r>
        <w:t xml:space="preserve"> </w:t>
      </w:r>
      <w:r>
        <w:t xml:space="preserve">https://arxiv.org/abs/1512.06761</w:t>
      </w:r>
    </w:p>
    <w:p>
      <w:pPr>
        <w:pStyle w:val="BodyText"/>
      </w:pPr>
      <w:hyperlink r:id="rId39">
        <w:r>
          <w:rPr>
            <w:rStyle w:val="Hyperlink"/>
          </w:rPr>
          <w:t xml:space="preserve">https://arxiv.org/abs/1512.06761</w:t>
        </w:r>
      </w:hyperlink>
    </w:p>
    <w:p>
      <w:pPr>
        <w:pStyle w:val="BodyText"/>
      </w:pPr>
      <w:hyperlink r:id="rId41">
        <w:r>
          <w:rPr>
            <w:rStyle w:val="Hyperlink"/>
          </w:rPr>
          <w:t xml:space="preserve">[26]</w:t>
        </w:r>
      </w:hyperlink>
      <w:r>
        <w:t xml:space="preserve"> </w:t>
      </w:r>
      <w:r>
        <w:t xml:space="preserve">https://arxiv.org/abs/2107.11925</w:t>
      </w:r>
    </w:p>
    <w:p>
      <w:pPr>
        <w:pStyle w:val="BodyText"/>
      </w:pPr>
      <w:hyperlink r:id="rId41">
        <w:r>
          <w:rPr>
            <w:rStyle w:val="Hyperlink"/>
          </w:rPr>
          <w:t xml:space="preserve">https://arxiv.org/abs/2107.11925</w:t>
        </w:r>
      </w:hyperlink>
    </w:p>
    <w:p>
      <w:pPr>
        <w:pStyle w:val="BodyText"/>
      </w:pPr>
      <w:hyperlink r:id="rId42">
        <w:r>
          <w:rPr>
            <w:rStyle w:val="Hyperlink"/>
          </w:rPr>
          <w:t xml:space="preserve">[28]</w:t>
        </w:r>
      </w:hyperlink>
      <w:r>
        <w:t xml:space="preserve"> </w:t>
      </w:r>
      <w:r>
        <w:t xml:space="preserve">https://arxiv.org/abs/1408.5089</w:t>
      </w:r>
    </w:p>
    <w:p>
      <w:pPr>
        <w:pStyle w:val="BodyText"/>
      </w:pPr>
      <w:hyperlink r:id="rId42">
        <w:r>
          <w:rPr>
            <w:rStyle w:val="Hyperlink"/>
          </w:rPr>
          <w:t xml:space="preserve">https://arxiv.org/abs/1408.5089</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arxiv.org/abs/1009.5219" TargetMode="External" /><Relationship Type="http://schemas.openxmlformats.org/officeDocument/2006/relationships/hyperlink" Id="rId33" Target="https://arxiv.org/abs/1012.1337" TargetMode="External" /><Relationship Type="http://schemas.openxmlformats.org/officeDocument/2006/relationships/hyperlink" Id="rId26" Target="https://arxiv.org/abs/1201.5278" TargetMode="External" /><Relationship Type="http://schemas.openxmlformats.org/officeDocument/2006/relationships/hyperlink" Id="rId35" Target="https://arxiv.org/abs/1202.0983" TargetMode="External" /><Relationship Type="http://schemas.openxmlformats.org/officeDocument/2006/relationships/hyperlink" Id="rId24" Target="https://arxiv.org/abs/1204.2191" TargetMode="External" /><Relationship Type="http://schemas.openxmlformats.org/officeDocument/2006/relationships/hyperlink" Id="rId21" Target="https://arxiv.org/abs/1207.6736" TargetMode="External" /><Relationship Type="http://schemas.openxmlformats.org/officeDocument/2006/relationships/hyperlink" Id="rId42" Target="https://arxiv.org/abs/1408.5089" TargetMode="External" /><Relationship Type="http://schemas.openxmlformats.org/officeDocument/2006/relationships/hyperlink" Id="rId39" Target="https://arxiv.org/abs/1512.06761" TargetMode="External" /><Relationship Type="http://schemas.openxmlformats.org/officeDocument/2006/relationships/hyperlink" Id="rId25" Target="https://arxiv.org/abs/1604.07862" TargetMode="External" /><Relationship Type="http://schemas.openxmlformats.org/officeDocument/2006/relationships/hyperlink" Id="rId29" Target="https://arxiv.org/abs/1701.08895" TargetMode="External" /><Relationship Type="http://schemas.openxmlformats.org/officeDocument/2006/relationships/hyperlink" Id="rId41" Target="https://arxiv.org/abs/2107.11925" TargetMode="External" /><Relationship Type="http://schemas.openxmlformats.org/officeDocument/2006/relationships/hyperlink" Id="rId38" Target="https://arxiv.org/abs/2201.00938" TargetMode="External" /><Relationship Type="http://schemas.openxmlformats.org/officeDocument/2006/relationships/hyperlink" Id="rId28" Target="https://arxiv.org/abs/2303.07673" TargetMode="External" /><Relationship Type="http://schemas.openxmlformats.org/officeDocument/2006/relationships/hyperlink" Id="rId34" Target="https://arxiv.org/abs/2305.07597" TargetMode="External" /><Relationship Type="http://schemas.openxmlformats.org/officeDocument/2006/relationships/hyperlink" Id="rId30" Target="https://arxiv.org/abs/2306.14533" TargetMode="External" /><Relationship Type="http://schemas.openxmlformats.org/officeDocument/2006/relationships/hyperlink" Id="rId36" Target="https://arxiv.org/abs/2408.14391" TargetMode="External" /><Relationship Type="http://schemas.openxmlformats.org/officeDocument/2006/relationships/hyperlink" Id="rId22" Target="https://arxiv.org/abs/gr-qc/9504004" TargetMode="External" /></Relationships>
</file>

<file path=word/_rels/footnotes.xml.rels><?xml version="1.0" encoding="UTF-8"?><Relationships xmlns="http://schemas.openxmlformats.org/package/2006/relationships"><Relationship Type="http://schemas.openxmlformats.org/officeDocument/2006/relationships/hyperlink" Id="rId32" Target="https://arxiv.org/abs/1009.5219" TargetMode="External" /><Relationship Type="http://schemas.openxmlformats.org/officeDocument/2006/relationships/hyperlink" Id="rId33" Target="https://arxiv.org/abs/1012.1337" TargetMode="External" /><Relationship Type="http://schemas.openxmlformats.org/officeDocument/2006/relationships/hyperlink" Id="rId26" Target="https://arxiv.org/abs/1201.5278" TargetMode="External" /><Relationship Type="http://schemas.openxmlformats.org/officeDocument/2006/relationships/hyperlink" Id="rId35" Target="https://arxiv.org/abs/1202.0983" TargetMode="External" /><Relationship Type="http://schemas.openxmlformats.org/officeDocument/2006/relationships/hyperlink" Id="rId24" Target="https://arxiv.org/abs/1204.2191" TargetMode="External" /><Relationship Type="http://schemas.openxmlformats.org/officeDocument/2006/relationships/hyperlink" Id="rId21" Target="https://arxiv.org/abs/1207.6736" TargetMode="External" /><Relationship Type="http://schemas.openxmlformats.org/officeDocument/2006/relationships/hyperlink" Id="rId42" Target="https://arxiv.org/abs/1408.5089" TargetMode="External" /><Relationship Type="http://schemas.openxmlformats.org/officeDocument/2006/relationships/hyperlink" Id="rId39" Target="https://arxiv.org/abs/1512.06761" TargetMode="External" /><Relationship Type="http://schemas.openxmlformats.org/officeDocument/2006/relationships/hyperlink" Id="rId25" Target="https://arxiv.org/abs/1604.07862" TargetMode="External" /><Relationship Type="http://schemas.openxmlformats.org/officeDocument/2006/relationships/hyperlink" Id="rId29" Target="https://arxiv.org/abs/1701.08895" TargetMode="External" /><Relationship Type="http://schemas.openxmlformats.org/officeDocument/2006/relationships/hyperlink" Id="rId41" Target="https://arxiv.org/abs/2107.11925" TargetMode="External" /><Relationship Type="http://schemas.openxmlformats.org/officeDocument/2006/relationships/hyperlink" Id="rId38" Target="https://arxiv.org/abs/2201.00938" TargetMode="External" /><Relationship Type="http://schemas.openxmlformats.org/officeDocument/2006/relationships/hyperlink" Id="rId28" Target="https://arxiv.org/abs/2303.07673" TargetMode="External" /><Relationship Type="http://schemas.openxmlformats.org/officeDocument/2006/relationships/hyperlink" Id="rId34" Target="https://arxiv.org/abs/2305.07597" TargetMode="External" /><Relationship Type="http://schemas.openxmlformats.org/officeDocument/2006/relationships/hyperlink" Id="rId30" Target="https://arxiv.org/abs/2306.14533" TargetMode="External" /><Relationship Type="http://schemas.openxmlformats.org/officeDocument/2006/relationships/hyperlink" Id="rId36" Target="https://arxiv.org/abs/2408.14391" TargetMode="External" /><Relationship Type="http://schemas.openxmlformats.org/officeDocument/2006/relationships/hyperlink" Id="rId22" Target="https://arxiv.org/abs/gr-qc/95040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2026-06-03T07:12:12Z</dcterms:created>
  <dcterms:modified xsi:type="dcterms:W3CDTF">2026-06-03T07:12:12Z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