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apter-5"/>
    <w:p>
      <w:pPr>
        <w:pStyle w:val="Heading1"/>
      </w:pPr>
      <w:r>
        <w:t xml:space="preserve">Chapter 5</w:t>
      </w:r>
    </w:p>
    <w:bookmarkEnd w:id="20"/>
    <w:bookmarkStart w:id="22" w:name="hybrid-manifold-architecture-system-hmas"/>
    <w:p>
      <w:pPr>
        <w:pStyle w:val="Heading1"/>
      </w:pPr>
      <w:r>
        <w:t xml:space="preserve">Hybrid Manifold Architecture System (HMAS)</w:t>
      </w:r>
    </w:p>
    <w:bookmarkStart w:id="21" w:name="introduction"/>
    <w:p>
      <w:pPr>
        <w:pStyle w:val="Heading2"/>
      </w:pPr>
      <w:r>
        <w:t xml:space="preserve">5.1 Introduction</w:t>
      </w:r>
    </w:p>
    <w:p>
      <w:pPr>
        <w:pStyle w:val="FirstParagraph"/>
      </w:pPr>
      <w:r>
        <w:t xml:space="preserve">The central mathematical innovation of the Theory of Entropicity is the Hybrid Manifold Architecture System (HMAS).</w:t>
      </w:r>
    </w:p>
    <w:p>
      <w:pPr>
        <w:pStyle w:val="BodyText"/>
      </w:pPr>
      <w:r>
        <w:t xml:space="preserve">The purpose of HMAS is to provide a unified geometric framework capable of simultaneously describing:</w:t>
      </w:r>
    </w:p>
    <w:p>
      <w:pPr>
        <w:pStyle w:val="Compact"/>
        <w:numPr>
          <w:ilvl w:val="0"/>
          <w:numId w:val="1001"/>
        </w:numPr>
      </w:pPr>
      <w:r>
        <w:t xml:space="preserve">Classical information geometry.</w:t>
      </w:r>
    </w:p>
    <w:p>
      <w:pPr>
        <w:pStyle w:val="Compact"/>
        <w:numPr>
          <w:ilvl w:val="0"/>
          <w:numId w:val="1001"/>
        </w:numPr>
      </w:pPr>
      <w:r>
        <w:t xml:space="preserve">Quantum information geometry.</w:t>
      </w:r>
    </w:p>
    <w:p>
      <w:pPr>
        <w:pStyle w:val="Compact"/>
        <w:numPr>
          <w:ilvl w:val="0"/>
          <w:numId w:val="1001"/>
        </w:numPr>
      </w:pPr>
      <w:r>
        <w:t xml:space="preserve">Physical spacetime geometry.</w:t>
      </w:r>
    </w:p>
    <w:p>
      <w:pPr>
        <w:pStyle w:val="FirstParagraph"/>
      </w:pPr>
      <w:r>
        <w:t xml:space="preserve">Conventional differential geometry is constructed upon a single metric structure. General Relativity, for example, employs a Lorentzian metric to describe gravitation and spacetime curvature.</w:t>
      </w:r>
    </w:p>
    <w:p>
      <w:pPr>
        <w:pStyle w:val="BodyText"/>
      </w:pPr>
      <w:r>
        <w:t xml:space="preserve">The Theory of Entropicity proposes that such a description is incomplete.</w:t>
      </w:r>
    </w:p>
    <w:p>
      <w:pPr>
        <w:pStyle w:val="BodyText"/>
      </w:pPr>
      <w:r>
        <w:t xml:space="preserve">Information itself possesses geometry.</w:t>
      </w:r>
    </w:p>
    <w:p>
      <w:pPr>
        <w:pStyle w:val="BodyText"/>
      </w:pPr>
      <w:r>
        <w:t xml:space="preserve">Quantum states possess geometry.</w:t>
      </w:r>
    </w:p>
    <w:p>
      <w:pPr>
        <w:pStyle w:val="BodyText"/>
      </w:pPr>
      <w:r>
        <w:t xml:space="preserve">Spacetime possesses geometry.</w:t>
      </w:r>
    </w:p>
    <w:p>
      <w:pPr>
        <w:pStyle w:val="BodyText"/>
      </w:pPr>
      <w:r>
        <w:t xml:space="preserve">If all three geometrical structures are physically meaningful, then a more comprehensive framework must incorporate them simultaneously.</w:t>
      </w:r>
    </w:p>
    <w:p>
      <w:pPr>
        <w:pStyle w:val="BodyText"/>
      </w:pPr>
      <w:r>
        <w:t xml:space="preserve">HMAS is introduced precisely for this purpose.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the-foundational-geometrical-triad"/>
    <w:p>
      <w:pPr>
        <w:pStyle w:val="Heading1"/>
      </w:pPr>
      <w:r>
        <w:t xml:space="preserve">5.2 The Foundational Geometrical Triad</w:t>
      </w:r>
    </w:p>
    <w:p>
      <w:pPr>
        <w:pStyle w:val="FirstParagraph"/>
      </w:pPr>
      <w:r>
        <w:t xml:space="preserve">The Hybrid Manifold Architecture System is built upon three distinct geometric sectors.</w:t>
      </w:r>
    </w:p>
    <w:p>
      <w:pPr>
        <w:pStyle w:val="BodyText"/>
      </w:pPr>
      <w:r>
        <w:t xml:space="preserve">These sectors constitute the fundamental geometrical triad of ToE.</w:t>
      </w:r>
    </w:p>
    <w:p>
      <w:pPr>
        <w:pStyle w:val="BodyText"/>
      </w:pPr>
      <w:r>
        <w:t xml:space="preserve">The sector index is defined as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J</w:t>
      </w:r>
      <w:r>
        <w:t xml:space="preserve"> </w:t>
      </w:r>
      <w:r>
        <w:t xml:space="preserve"> </w:t>
      </w:r>
      <w:r>
        <w:t xml:space="preserve">{</w:t>
      </w:r>
      <w:r>
        <w:t xml:space="preserve"> </w:t>
      </w:r>
      <w:r>
        <w:t xml:space="preserve">FR,</w:t>
      </w:r>
      <w:r>
        <w:t xml:space="preserve"> </w:t>
      </w:r>
      <w:r>
        <w:t xml:space="preserve">FS,</w:t>
      </w:r>
      <w:r>
        <w:t xml:space="preserve"> </w:t>
      </w:r>
      <w:r>
        <w:t xml:space="preserve">L</w:t>
      </w:r>
      <w:r>
        <w:t xml:space="preserve"> </w:t>
      </w:r>
      <w:r>
        <w:t xml:space="preserve">}.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three sectors are: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FR</w:t>
      </w:r>
      <w:r>
        <w:t xml:space="preserve"> </w:t>
      </w:r>
      <w:r>
        <w:t xml:space="preserve">=</w:t>
      </w:r>
      <w:r>
        <w:t xml:space="preserve"> </w:t>
      </w:r>
      <w:r>
        <w:t xml:space="preserve">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FS</w:t>
      </w:r>
      <w:r>
        <w:t xml:space="preserve"> </w:t>
      </w:r>
      <w:r>
        <w:t xml:space="preserve">=</w:t>
      </w:r>
      <w:r>
        <w:t xml:space="preserve"> </w:t>
      </w:r>
      <w:r>
        <w:t xml:space="preserve">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L</w:t>
      </w:r>
      <w:r>
        <w:t xml:space="preserve"> </w:t>
      </w:r>
      <w:r>
        <w:t xml:space="preserve">=</w:t>
      </w:r>
      <w:r>
        <w:t xml:space="preserve"> </w:t>
      </w:r>
      <w:r>
        <w:t xml:space="preserve">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Each sector possesses an independent metric structure and associated geometric quantities.</w:t>
      </w:r>
    </w:p>
    <w:p>
      <w:pPr>
        <w:pStyle w:val="BodyText"/>
      </w:pPr>
      <w:r>
        <w:t xml:space="preserve">The sector index (J) serves as a label identifying the geometric origin of a given tensor or field.</w:t>
      </w:r>
    </w:p>
    <w:p>
      <w:r>
        <w:pict>
          <v:rect style="width:0;height:1.5pt" o:hralign="center" o:hrstd="t" o:hr="t"/>
        </w:pict>
      </w:r>
    </w:p>
    <w:bookmarkEnd w:id="23"/>
    <w:bookmarkStart w:id="26" w:name="fisherrao-sector"/>
    <w:p>
      <w:pPr>
        <w:pStyle w:val="Heading1"/>
      </w:pPr>
      <w:r>
        <w:t xml:space="preserve">5.3 Fisher–Rao Sector</w:t>
      </w:r>
    </w:p>
    <w:bookmarkStart w:id="24" w:name="classical-information-geometry"/>
    <w:p>
      <w:pPr>
        <w:pStyle w:val="Heading2"/>
      </w:pPr>
      <w:r>
        <w:t xml:space="preserve">5.3.1 Classical Information Geometry</w:t>
      </w:r>
    </w:p>
    <w:p>
      <w:pPr>
        <w:pStyle w:val="FirstParagraph"/>
      </w:pPr>
      <w:r>
        <w:t xml:space="preserve">The Fisher–Rao sector describes the geometry of classical statistical states.</w:t>
      </w:r>
    </w:p>
    <w:p>
      <w:pPr>
        <w:pStyle w:val="BodyText"/>
      </w:pPr>
      <w:r>
        <w:t xml:space="preserve">A probability distribution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p(x|</w:t>
      </w:r>
      <w:r>
        <w:t xml:space="preserve">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is treated as a point on a statistical manifold.</w:t>
      </w:r>
    </w:p>
    <w:p>
      <w:pPr>
        <w:pStyle w:val="BodyText"/>
      </w:pPr>
      <w:r>
        <w:t xml:space="preserve">The Fisher–Rao metric is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g^{(FR)}_{ij}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p(x|</w:t>
      </w:r>
      <w:r>
        <w:t xml:space="preserve">)</w:t>
      </w:r>
      <w:r>
        <w:t xml:space="preserve"> </w:t>
      </w:r>
      <w:r>
        <w:t xml:space="preserve">,</w:t>
      </w:r>
      <w:r>
        <w:t xml:space="preserve"> </w:t>
      </w:r>
      <w:r>
        <w:t xml:space="preserve"> </w:t>
      </w:r>
      <w:r>
        <w:t xml:space="preserve">,</w:t>
      </w:r>
      <w:r>
        <w:t xml:space="preserve"> </w:t>
      </w:r>
      <w:r>
        <w:t xml:space="preserve"> </w:t>
      </w:r>
      <w:r>
        <w:t xml:space="preserve">,dx.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This metric quantifies statistical distinguishability.</w:t>
      </w:r>
    </w:p>
    <w:p>
      <w:pPr>
        <w:pStyle w:val="BodyText"/>
      </w:pPr>
      <w:r>
        <w:t xml:space="preserve">Nearby points correspond to probability distributions that are difficult to distinguish experimentally.</w:t>
      </w:r>
    </w:p>
    <w:p>
      <w:pPr>
        <w:pStyle w:val="BodyText"/>
      </w:pPr>
      <w:r>
        <w:t xml:space="preserve">Distant points correspond to distributions that are easily distinguishable.</w:t>
      </w:r>
    </w:p>
    <w:p>
      <w:r>
        <w:pict>
          <v:rect style="width:0;height:1.5pt" o:hralign="center" o:hrstd="t" o:hr="t"/>
        </w:pict>
      </w:r>
    </w:p>
    <w:bookmarkEnd w:id="24"/>
    <w:bookmarkStart w:id="25" w:name="physical-interpretation"/>
    <w:p>
      <w:pPr>
        <w:pStyle w:val="Heading2"/>
      </w:pPr>
      <w:r>
        <w:t xml:space="preserve">5.3.2 Physical Interpretation</w:t>
      </w:r>
    </w:p>
    <w:p>
      <w:pPr>
        <w:pStyle w:val="FirstParagraph"/>
      </w:pPr>
      <w:r>
        <w:t xml:space="preserve">Within the Theory of Entropicity, the Fisher–Rao sector represents the geometry of classical information.</w:t>
      </w:r>
    </w:p>
    <w:p>
      <w:pPr>
        <w:pStyle w:val="BodyText"/>
      </w:pPr>
      <w:r>
        <w:t xml:space="preserve">It encodes:</w:t>
      </w:r>
    </w:p>
    <w:p>
      <w:pPr>
        <w:pStyle w:val="Compact"/>
        <w:numPr>
          <w:ilvl w:val="0"/>
          <w:numId w:val="1002"/>
        </w:numPr>
      </w:pPr>
      <w:r>
        <w:t xml:space="preserve">uncertainty,</w:t>
      </w:r>
    </w:p>
    <w:p>
      <w:pPr>
        <w:pStyle w:val="Compact"/>
        <w:numPr>
          <w:ilvl w:val="0"/>
          <w:numId w:val="1002"/>
        </w:numPr>
      </w:pPr>
      <w:r>
        <w:t xml:space="preserve">statistical organization,</w:t>
      </w:r>
    </w:p>
    <w:p>
      <w:pPr>
        <w:pStyle w:val="Compact"/>
        <w:numPr>
          <w:ilvl w:val="0"/>
          <w:numId w:val="1002"/>
        </w:numPr>
      </w:pPr>
      <w:r>
        <w:t xml:space="preserve">information flow,</w:t>
      </w:r>
    </w:p>
    <w:p>
      <w:pPr>
        <w:pStyle w:val="Compact"/>
        <w:numPr>
          <w:ilvl w:val="0"/>
          <w:numId w:val="1002"/>
        </w:numPr>
      </w:pPr>
      <w:r>
        <w:t xml:space="preserve">entropy gradients.</w:t>
      </w:r>
    </w:p>
    <w:p>
      <w:pPr>
        <w:pStyle w:val="FirstParagraph"/>
      </w:pPr>
      <w:r>
        <w:t xml:space="preserve">This sector provides the classical informational substrate upon which higher-level geometric structures may emerge.</w:t>
      </w:r>
    </w:p>
    <w:p>
      <w:pPr>
        <w:pStyle w:val="BodyText"/>
      </w:pPr>
      <w:r>
        <w:t xml:space="preserve">The Fisher–Rao sector is therefore interpreted not merely as a mathematical construction but as a physically significant informational geometry.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fubinistudy-sector"/>
    <w:p>
      <w:pPr>
        <w:pStyle w:val="Heading1"/>
      </w:pPr>
      <w:r>
        <w:t xml:space="preserve">5.4 Fubini–Study Sector</w:t>
      </w:r>
    </w:p>
    <w:bookmarkStart w:id="27" w:name="quantum-information-geometry"/>
    <w:p>
      <w:pPr>
        <w:pStyle w:val="Heading2"/>
      </w:pPr>
      <w:r>
        <w:t xml:space="preserve">5.4.1 Quantum Information Geometry</w:t>
      </w:r>
    </w:p>
    <w:p>
      <w:pPr>
        <w:pStyle w:val="FirstParagraph"/>
      </w:pPr>
      <w:r>
        <w:t xml:space="preserve">The second sector describes quantum informational structure.</w:t>
      </w:r>
    </w:p>
    <w:p>
      <w:pPr>
        <w:pStyle w:val="BodyText"/>
      </w:pPr>
      <w:r>
        <w:t xml:space="preserve">For normalized quantum states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|</w:t>
      </w:r>
      <w:r>
        <w:t xml:space="preserve">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Fubini–Study metric is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ds^2_{FS}</w:t>
      </w:r>
      <w:r>
        <w:t xml:space="preserve"> </w:t>
      </w:r>
      <w:r>
        <w:t xml:space="preserve">=</w:t>
      </w:r>
      <w:r>
        <w:t xml:space="preserve"> </w:t>
      </w:r>
      <w:r>
        <w:t xml:space="preserve">4</w:t>
      </w:r>
      <w:r>
        <w:t xml:space="preserve"> </w:t>
      </w:r>
      <w:r>
        <w:t xml:space="preserve">(</w:t>
      </w:r>
      <w:r>
        <w:t xml:space="preserve"> </w:t>
      </w:r>
      <w:r>
        <w:t xml:space="preserve">d</w:t>
      </w:r>
      <w:r>
        <w:t xml:space="preserve">|d</w:t>
      </w:r>
    </w:p>
    <w:p>
      <w:pPr>
        <w:pStyle w:val="Compact"/>
        <w:numPr>
          <w:ilvl w:val="0"/>
          <w:numId w:val="1003"/>
        </w:numPr>
      </w:pPr>
      <w:r>
        <w:t xml:space="preserve">|</w:t>
      </w:r>
      <w:r>
        <w:t xml:space="preserve">|d</w:t>
      </w:r>
      <w:r>
        <w:t xml:space="preserve">|^2</w:t>
      </w:r>
      <w:r>
        <w:t xml:space="preserve"> </w:t>
      </w:r>
      <w:r>
        <w:t xml:space="preserve">).</w:t>
      </w:r>
      <w:r>
        <w:t xml:space="preserve"> </w:t>
      </w:r>
      <w:r>
        <w:t xml:space="preserve">]</w:t>
      </w:r>
    </w:p>
    <w:p>
      <w:pPr>
        <w:pStyle w:val="FirstParagraph"/>
      </w:pPr>
      <w:r>
        <w:t xml:space="preserve">This metric defines distances on projective Hilbert space.</w:t>
      </w:r>
    </w:p>
    <w:p>
      <w:r>
        <w:pict>
          <v:rect style="width:0;height:1.5pt" o:hralign="center" o:hrstd="t" o:hr="t"/>
        </w:pict>
      </w:r>
    </w:p>
    <w:bookmarkEnd w:id="27"/>
    <w:bookmarkStart w:id="28" w:name="physical-interpretation-1"/>
    <w:p>
      <w:pPr>
        <w:pStyle w:val="Heading2"/>
      </w:pPr>
      <w:r>
        <w:t xml:space="preserve">5.4.2 Physical Interpretation</w:t>
      </w:r>
    </w:p>
    <w:p>
      <w:pPr>
        <w:pStyle w:val="FirstParagraph"/>
      </w:pPr>
      <w:r>
        <w:t xml:space="preserve">The Fubini–Study sector captures:</w:t>
      </w:r>
    </w:p>
    <w:p>
      <w:pPr>
        <w:pStyle w:val="Compact"/>
        <w:numPr>
          <w:ilvl w:val="0"/>
          <w:numId w:val="1004"/>
        </w:numPr>
      </w:pPr>
      <w:r>
        <w:t xml:space="preserve">quantum distinguishability,</w:t>
      </w:r>
    </w:p>
    <w:p>
      <w:pPr>
        <w:pStyle w:val="Compact"/>
        <w:numPr>
          <w:ilvl w:val="0"/>
          <w:numId w:val="1004"/>
        </w:numPr>
      </w:pPr>
      <w:r>
        <w:t xml:space="preserve">quantum coherence,</w:t>
      </w:r>
    </w:p>
    <w:p>
      <w:pPr>
        <w:pStyle w:val="Compact"/>
        <w:numPr>
          <w:ilvl w:val="0"/>
          <w:numId w:val="1004"/>
        </w:numPr>
      </w:pPr>
      <w:r>
        <w:t xml:space="preserve">entanglement structure,</w:t>
      </w:r>
    </w:p>
    <w:p>
      <w:pPr>
        <w:pStyle w:val="Compact"/>
        <w:numPr>
          <w:ilvl w:val="0"/>
          <w:numId w:val="1004"/>
        </w:numPr>
      </w:pPr>
      <w:r>
        <w:t xml:space="preserve">quantum informational organization.</w:t>
      </w:r>
    </w:p>
    <w:p>
      <w:pPr>
        <w:pStyle w:val="FirstParagraph"/>
      </w:pPr>
      <w:r>
        <w:t xml:space="preserve">While the Fisher–Rao sector describes classical information, the Fubini–Study sector describes quantum information.</w:t>
      </w:r>
    </w:p>
    <w:p>
      <w:pPr>
        <w:pStyle w:val="BodyText"/>
      </w:pPr>
      <w:r>
        <w:t xml:space="preserve">Together they provide a comprehensive informational foundation.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lorentzian-sector"/>
    <w:p>
      <w:pPr>
        <w:pStyle w:val="Heading1"/>
      </w:pPr>
      <w:r>
        <w:t xml:space="preserve">5.5 Lorentzian Sector</w:t>
      </w:r>
    </w:p>
    <w:bookmarkStart w:id="30" w:name="spacetime-geometry"/>
    <w:p>
      <w:pPr>
        <w:pStyle w:val="Heading2"/>
      </w:pPr>
      <w:r>
        <w:t xml:space="preserve">5.5.1 Spacetime Geometry</w:t>
      </w:r>
    </w:p>
    <w:p>
      <w:pPr>
        <w:pStyle w:val="FirstParagraph"/>
      </w:pPr>
      <w:r>
        <w:t xml:space="preserve">The Lorentzian sector corresponds to ordinary spacetime.</w:t>
      </w:r>
    </w:p>
    <w:p>
      <w:pPr>
        <w:pStyle w:val="BodyText"/>
      </w:pPr>
      <w:r>
        <w:t xml:space="preserve">Its metric tensor is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g^{(L)}_{</w:t>
      </w:r>
      <w:r>
        <w:t xml:space="preserve">}.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line element is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ds^2</w:t>
      </w:r>
      <w:r>
        <w:t xml:space="preserve"> </w:t>
      </w:r>
      <w:r>
        <w:t xml:space="preserve">=</w:t>
      </w:r>
      <w:r>
        <w:t xml:space="preserve"> </w:t>
      </w:r>
      <w:r>
        <w:t xml:space="preserve">g^{(L)}_{</w:t>
      </w:r>
      <w:r>
        <w:t xml:space="preserve">}</w:t>
      </w:r>
      <w:r>
        <w:t xml:space="preserve"> </w:t>
      </w:r>
      <w:r>
        <w:t xml:space="preserve">dx</w:t>
      </w:r>
      <w:r>
        <w:rPr>
          <w:vertAlign w:val="superscript"/>
        </w:rPr>
        <w:t xml:space="preserve">dx</w:t>
      </w:r>
      <w:r>
        <w:t xml:space="preserve">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This is the metric of General Relativity.</w:t>
      </w:r>
    </w:p>
    <w:p>
      <w:pPr>
        <w:pStyle w:val="BodyText"/>
      </w:pPr>
      <w:r>
        <w:t xml:space="preserve">All familiar gravitational phenomena emerge from this sector.</w:t>
      </w:r>
    </w:p>
    <w:p>
      <w:r>
        <w:pict>
          <v:rect style="width:0;height:1.5pt" o:hralign="center" o:hrstd="t" o:hr="t"/>
        </w:pict>
      </w:r>
    </w:p>
    <w:bookmarkEnd w:id="30"/>
    <w:bookmarkStart w:id="31" w:name="physical-interpretation-2"/>
    <w:p>
      <w:pPr>
        <w:pStyle w:val="Heading2"/>
      </w:pPr>
      <w:r>
        <w:t xml:space="preserve">5.5.2 Physical Interpretation</w:t>
      </w:r>
    </w:p>
    <w:p>
      <w:pPr>
        <w:pStyle w:val="FirstParagraph"/>
      </w:pPr>
      <w:r>
        <w:t xml:space="preserve">The Lorentzian sector represents:</w:t>
      </w:r>
    </w:p>
    <w:p>
      <w:pPr>
        <w:pStyle w:val="Compact"/>
        <w:numPr>
          <w:ilvl w:val="0"/>
          <w:numId w:val="1005"/>
        </w:numPr>
      </w:pPr>
      <w:r>
        <w:t xml:space="preserve">spacetime,</w:t>
      </w:r>
    </w:p>
    <w:p>
      <w:pPr>
        <w:pStyle w:val="Compact"/>
        <w:numPr>
          <w:ilvl w:val="0"/>
          <w:numId w:val="1005"/>
        </w:numPr>
      </w:pPr>
      <w:r>
        <w:t xml:space="preserve">gravitation,</w:t>
      </w:r>
    </w:p>
    <w:p>
      <w:pPr>
        <w:pStyle w:val="Compact"/>
        <w:numPr>
          <w:ilvl w:val="0"/>
          <w:numId w:val="1005"/>
        </w:numPr>
      </w:pPr>
      <w:r>
        <w:t xml:space="preserve">causal structure,</w:t>
      </w:r>
    </w:p>
    <w:p>
      <w:pPr>
        <w:pStyle w:val="Compact"/>
        <w:numPr>
          <w:ilvl w:val="0"/>
          <w:numId w:val="1005"/>
        </w:numPr>
      </w:pPr>
      <w:r>
        <w:t xml:space="preserve">relativistic dynamics.</w:t>
      </w:r>
    </w:p>
    <w:p>
      <w:pPr>
        <w:pStyle w:val="FirstParagraph"/>
      </w:pPr>
      <w:r>
        <w:t xml:space="preserve">In conventional physics this sector is regarded as fundamental.</w:t>
      </w:r>
    </w:p>
    <w:p>
      <w:pPr>
        <w:pStyle w:val="BodyText"/>
      </w:pPr>
      <w:r>
        <w:t xml:space="preserve">In the Theory of Entropicity it is regarded as emergent.</w:t>
      </w:r>
    </w:p>
    <w:p>
      <w:pPr>
        <w:pStyle w:val="BodyText"/>
      </w:pPr>
      <w:r>
        <w:t xml:space="preserve">This distinction is crucial.</w:t>
      </w:r>
    </w:p>
    <w:p>
      <w:pPr>
        <w:pStyle w:val="BodyText"/>
      </w:pPr>
      <w:r>
        <w:t xml:space="preserve">The Lorentzian sector occupies the highest level of the entropic hierarchy rather than the lowest.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entropic-hierarchy-of-emergence"/>
    <w:p>
      <w:pPr>
        <w:pStyle w:val="Heading1"/>
      </w:pPr>
      <w:r>
        <w:t xml:space="preserve">5.6 Entropic Hierarchy of Emergence</w:t>
      </w:r>
    </w:p>
    <w:p>
      <w:pPr>
        <w:pStyle w:val="FirstParagraph"/>
      </w:pPr>
      <w:r>
        <w:t xml:space="preserve">The Theory of Entropicity proposes the following hierarchy: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More explicitly,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S</w:t>
      </w:r>
      <w:r>
        <w:t xml:space="preserve"> </w:t>
      </w:r>
      <w:r>
        <w:t xml:space="preserve"> </w:t>
      </w:r>
      <w:r>
        <w:t xml:space="preserve">(FR,FS)</w:t>
      </w:r>
      <w:r>
        <w:t xml:space="preserve"> </w:t>
      </w:r>
      <w:r>
        <w:t xml:space="preserve"> </w:t>
      </w:r>
      <w:r>
        <w:t xml:space="preserve">L.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informational sectors therefore occupy a deeper ontological level than the spacetime sector.</w:t>
      </w:r>
    </w:p>
    <w:p>
      <w:pPr>
        <w:pStyle w:val="BodyText"/>
      </w:pPr>
      <w:r>
        <w:t xml:space="preserve">The Lorentzian geometry emerges from informational organization.</w:t>
      </w:r>
    </w:p>
    <w:p>
      <w:pPr>
        <w:pStyle w:val="BodyText"/>
      </w:pPr>
      <w:r>
        <w:t xml:space="preserve">This represents one of the defining philosophical and mathematical commitments of the theory.</w:t>
      </w:r>
    </w:p>
    <w:p>
      <w:r>
        <w:pict>
          <v:rect style="width:0;height:1.5pt" o:hralign="center" o:hrstd="t" o:hr="t"/>
        </w:pict>
      </w:r>
    </w:p>
    <w:bookmarkEnd w:id="33"/>
    <w:bookmarkStart w:id="35" w:name="construction-of-the-hmas-metric"/>
    <w:p>
      <w:pPr>
        <w:pStyle w:val="Heading1"/>
      </w:pPr>
      <w:r>
        <w:t xml:space="preserve">5.7 Construction of the HMAS Metric</w:t>
      </w:r>
    </w:p>
    <w:p>
      <w:pPr>
        <w:pStyle w:val="FirstParagraph"/>
      </w:pPr>
      <w:r>
        <w:t xml:space="preserve">The three sectors are unified through the Hybrid Manifold Architecture System.</w:t>
      </w:r>
    </w:p>
    <w:p>
      <w:pPr>
        <w:pStyle w:val="BodyText"/>
      </w:pPr>
      <w:r>
        <w:t xml:space="preserve">The HMAS metric is defined by combining the sectoral metrics.</w:t>
      </w:r>
    </w:p>
    <w:p>
      <w:pPr>
        <w:pStyle w:val="BodyText"/>
      </w:pPr>
      <w:r>
        <w:t xml:space="preserve">The fundamental decomposition is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g_{</w:t>
      </w:r>
      <w:r>
        <w:t xml:space="preserve">}</w:t>
      </w:r>
      <w:r>
        <w:t xml:space="preserve"> </w:t>
      </w:r>
      <w:r>
        <w:t xml:space="preserve">=</w:t>
      </w:r>
      <w:r>
        <w:t xml:space="preserve"> </w:t>
      </w:r>
      <w:r>
        <w:t xml:space="preserve">g^{(FR)}_{</w:t>
      </w:r>
      <w:r>
        <w:t xml:space="preserve">}</w:t>
      </w:r>
    </w:p>
    <w:p>
      <w:pPr>
        <w:numPr>
          <w:ilvl w:val="0"/>
          <w:numId w:val="1006"/>
        </w:numPr>
      </w:pPr>
      <w:r>
        <w:t xml:space="preserve">g^{(FS)}_{</w:t>
      </w:r>
      <w:r>
        <w:t xml:space="preserve">}</w:t>
      </w:r>
    </w:p>
    <w:p>
      <w:pPr>
        <w:numPr>
          <w:ilvl w:val="0"/>
          <w:numId w:val="1006"/>
        </w:numPr>
      </w:pPr>
      <w:r>
        <w:t xml:space="preserve">g^{(L)}_{</w:t>
      </w:r>
      <w:r>
        <w:t xml:space="preserve">}.</w:t>
      </w:r>
      <w:r>
        <w:t xml:space="preserve"> </w:t>
      </w:r>
      <w:r>
        <w:t xml:space="preserve">]</w:t>
      </w:r>
    </w:p>
    <w:p>
      <w:pPr>
        <w:pStyle w:val="FirstParagraph"/>
      </w:pPr>
      <w:r>
        <w:t xml:space="preserve">This relation is known as the Obidi Addition Rule for the metric.</w:t>
      </w:r>
    </w:p>
    <w:p>
      <w:pPr>
        <w:pStyle w:val="BodyText"/>
      </w:pPr>
      <w:r>
        <w:t xml:space="preserve">It expresses the principle that the observable geometry contains contributions from all sectors.</w:t>
      </w:r>
    </w:p>
    <w:p>
      <w:r>
        <w:pict>
          <v:rect style="width:0;height:1.5pt" o:hralign="center" o:hrstd="t" o:hr="t"/>
        </w:pict>
      </w:r>
    </w:p>
    <w:bookmarkStart w:id="34" w:name="sectoral-interpretation"/>
    <w:p>
      <w:pPr>
        <w:pStyle w:val="Heading2"/>
      </w:pPr>
      <w:r>
        <w:t xml:space="preserve">5.7.1 Sectoral Interpretation</w:t>
      </w:r>
    </w:p>
    <w:p>
      <w:pPr>
        <w:pStyle w:val="FirstParagraph"/>
      </w:pPr>
      <w:r>
        <w:t xml:space="preserve">Each term contributes distinct information: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g^{(FR)}_{</w:t>
      </w:r>
      <w:r>
        <w:t xml:space="preserve">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encodes classical informational geometry.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g^{(FS)}_{</w:t>
      </w:r>
      <w:r>
        <w:t xml:space="preserve">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encodes quantum informational geometry.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g^{(L)}_{</w:t>
      </w:r>
      <w:r>
        <w:t xml:space="preserve">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encodes spacetime geometry.</w:t>
      </w:r>
    </w:p>
    <w:p>
      <w:pPr>
        <w:pStyle w:val="BodyText"/>
      </w:pPr>
      <w:r>
        <w:t xml:space="preserve">The total metric therefore contains both informational and gravitational content.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hmas-determinant-structure"/>
    <w:p>
      <w:pPr>
        <w:pStyle w:val="Heading1"/>
      </w:pPr>
      <w:r>
        <w:t xml:space="preserve">5.8 HMAS Determinant Structure</w:t>
      </w:r>
    </w:p>
    <w:p>
      <w:pPr>
        <w:pStyle w:val="FirstParagraph"/>
      </w:pPr>
      <w:r>
        <w:t xml:space="preserve">Because HMAS contains multiple sectors, its volume structure differs from that of conventional geometry.</w:t>
      </w:r>
    </w:p>
    <w:p>
      <w:pPr>
        <w:pStyle w:val="BodyText"/>
      </w:pPr>
      <w:r>
        <w:t xml:space="preserve">The determinant factorizes according to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|g|</w:t>
      </w:r>
      <w:r>
        <w:t xml:space="preserve"> </w:t>
      </w:r>
      <w:r>
        <w:t xml:space="preserve">=</w:t>
      </w:r>
      <w:r>
        <w:t xml:space="preserve"> </w:t>
      </w:r>
      <w:r>
        <w:t xml:space="preserve">|g_{FR}|</w:t>
      </w:r>
      <w:r>
        <w:t xml:space="preserve"> </w:t>
      </w:r>
      <w:r>
        <w:t xml:space="preserve">,</w:t>
      </w:r>
      <w:r>
        <w:t xml:space="preserve"> </w:t>
      </w:r>
      <w:r>
        <w:t xml:space="preserve">|g_{FS}|</w:t>
      </w:r>
      <w:r>
        <w:t xml:space="preserve"> </w:t>
      </w:r>
      <w:r>
        <w:t xml:space="preserve">,</w:t>
      </w:r>
      <w:r>
        <w:t xml:space="preserve"> </w:t>
      </w:r>
      <w:r>
        <w:t xml:space="preserve">|g_L|.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This expression follows from the Obidi Multiplication Rule.</w:t>
      </w:r>
    </w:p>
    <w:p>
      <w:pPr>
        <w:pStyle w:val="BodyText"/>
      </w:pPr>
      <w:r>
        <w:t xml:space="preserve">The corresponding invariant volume element becomes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dV_{HMAS}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,</w:t>
      </w:r>
      <w:r>
        <w:t xml:space="preserve"> </w:t>
      </w:r>
      <w:r>
        <w:t xml:space="preserve"> </w:t>
      </w:r>
      <w:r>
        <w:t xml:space="preserve">,</w:t>
      </w:r>
      <w:r>
        <w:t xml:space="preserve"> </w:t>
      </w:r>
      <w:r>
        <w:t xml:space="preserve"> </w:t>
      </w:r>
      <w:r>
        <w:t xml:space="preserve">,</w:t>
      </w:r>
      <w:r>
        <w:t xml:space="preserve"> </w:t>
      </w:r>
      <w:r>
        <w:t xml:space="preserve">d^4x.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This generalized measure plays a central role in the Local Obidi Action.</w:t>
      </w:r>
    </w:p>
    <w:p>
      <w:r>
        <w:pict>
          <v:rect style="width:0;height:1.5pt" o:hralign="center" o:hrstd="t" o:hr="t"/>
        </w:pict>
      </w:r>
    </w:p>
    <w:bookmarkEnd w:id="36"/>
    <w:bookmarkStart w:id="37" w:name="sectoral-curvature"/>
    <w:p>
      <w:pPr>
        <w:pStyle w:val="Heading1"/>
      </w:pPr>
      <w:r>
        <w:t xml:space="preserve">5.9 Sectoral Curvature</w:t>
      </w:r>
    </w:p>
    <w:p>
      <w:pPr>
        <w:pStyle w:val="FirstParagraph"/>
      </w:pPr>
      <w:r>
        <w:t xml:space="preserve">Each sector possesses independent curvature quantities.</w:t>
      </w:r>
    </w:p>
    <w:p>
      <w:pPr>
        <w:pStyle w:val="BodyText"/>
      </w:pPr>
      <w:r>
        <w:t xml:space="preserve">For every sector (J),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R^{(J)}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denotes the Ricci scalar,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R^{(J)}_{</w:t>
      </w:r>
      <w:r>
        <w:t xml:space="preserve">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denotes the Ricci tensor,</w:t>
      </w:r>
    </w:p>
    <w:p>
      <w:pPr>
        <w:pStyle w:val="BodyText"/>
      </w:pPr>
      <w:r>
        <w:t xml:space="preserve">and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G^{(J)}_{</w:t>
      </w:r>
      <w:r>
        <w:t xml:space="preserve">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denotes the Einstein tensor.</w:t>
      </w:r>
    </w:p>
    <w:p>
      <w:pPr>
        <w:pStyle w:val="BodyText"/>
      </w:pPr>
      <w:r>
        <w:t xml:space="preserve">Specifically,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G^{(J)}</w:t>
      </w:r>
      <w:r>
        <w:rPr>
          <w:i/>
          <w:iCs/>
        </w:rPr>
        <w:t xml:space="preserve">{</w:t>
      </w:r>
      <w:r>
        <w:rPr>
          <w:i/>
          <w:iCs/>
        </w:rPr>
        <w:t xml:space="preserve">}</w:t>
      </w:r>
      <w:r>
        <w:rPr>
          <w:i/>
          <w:iCs/>
        </w:rPr>
        <w:t xml:space="preserve"> </w:t>
      </w:r>
      <w:r>
        <w:rPr>
          <w:i/>
          <w:iCs/>
        </w:rP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R^{(J)}</w:t>
      </w:r>
      <w:r>
        <w:t xml:space="preserve">{</w:t>
      </w:r>
      <w:r>
        <w:t xml:space="preserve">}</w:t>
      </w:r>
    </w:p>
    <w:p>
      <w:pPr>
        <w:pStyle w:val="Compact"/>
        <w:numPr>
          <w:ilvl w:val="0"/>
          <w:numId w:val="1007"/>
        </w:numPr>
      </w:pPr>
      <w:r>
        <w:t xml:space="preserve">g^{(J)}_{</w:t>
      </w:r>
      <w:r>
        <w:t xml:space="preserve">}</w:t>
      </w:r>
      <w:r>
        <w:t xml:space="preserve"> </w:t>
      </w:r>
      <w:r>
        <w:t xml:space="preserve">R^{(J)}.</w:t>
      </w:r>
      <w:r>
        <w:t xml:space="preserve"> </w:t>
      </w:r>
      <w:r>
        <w:t xml:space="preserve">]</w:t>
      </w:r>
    </w:p>
    <w:p>
      <w:pPr>
        <w:pStyle w:val="FirstParagraph"/>
      </w:pPr>
      <w:r>
        <w:t xml:space="preserve">Each geometry therefore possesses its own gravitational-like structure.</w:t>
      </w:r>
    </w:p>
    <w:p>
      <w:r>
        <w:pict>
          <v:rect style="width:0;height:1.5pt" o:hralign="center" o:hrstd="t" o:hr="t"/>
        </w:pict>
      </w:r>
    </w:p>
    <w:bookmarkEnd w:id="37"/>
    <w:bookmarkStart w:id="38" w:name="sectoral-independence"/>
    <w:p>
      <w:pPr>
        <w:pStyle w:val="Heading1"/>
      </w:pPr>
      <w:r>
        <w:t xml:space="preserve">5.10 Sectoral Independence</w:t>
      </w:r>
    </w:p>
    <w:p>
      <w:pPr>
        <w:pStyle w:val="FirstParagraph"/>
      </w:pPr>
      <w:r>
        <w:t xml:space="preserve">An important assumption of HMAS is that sectors remain geometrically distinct.</w:t>
      </w:r>
    </w:p>
    <w:p>
      <w:pPr>
        <w:pStyle w:val="BodyText"/>
      </w:pPr>
      <w:r>
        <w:t xml:space="preserve">A tensor belonging to one sector is not automatically identified with a tensor belonging to another.</w:t>
      </w:r>
    </w:p>
    <w:p>
      <w:pPr>
        <w:pStyle w:val="BodyText"/>
      </w:pPr>
      <w:r>
        <w:t xml:space="preserve">Thus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g^{(FR)}</w:t>
      </w:r>
      <w:r>
        <w:rPr>
          <w:i/>
          <w:iCs/>
        </w:rPr>
        <w:t xml:space="preserve">{</w:t>
      </w:r>
      <w:r>
        <w:rPr>
          <w:i/>
          <w:iCs/>
        </w:rPr>
        <w:t xml:space="preserve">}</w:t>
      </w:r>
      <w:r>
        <w:rPr>
          <w:i/>
          <w:iCs/>
        </w:rPr>
        <w:t xml:space="preserve"> </w:t>
      </w:r>
      <w:r>
        <w:rPr>
          <w:i/>
          <w:iCs/>
        </w:rPr>
        <w:t xml:space="preserve"> </w:t>
      </w:r>
      <w:r>
        <w:rPr>
          <w:i/>
          <w:iCs/>
        </w:rPr>
        <w:t xml:space="preserve">g^{(FS)}</w:t>
      </w:r>
      <w:r>
        <w:t xml:space="preserve">{</w:t>
      </w:r>
      <w:r>
        <w:t xml:space="preserve">}</w:t>
      </w:r>
      <w:r>
        <w:t xml:space="preserve"> </w:t>
      </w:r>
      <w:r>
        <w:t xml:space="preserve"> </w:t>
      </w:r>
      <w:r>
        <w:t xml:space="preserve">g^{(L)}_{</w:t>
      </w:r>
      <w:r>
        <w:t xml:space="preserve">}.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Each sector retains independent geometric meaning.</w:t>
      </w:r>
    </w:p>
    <w:p>
      <w:pPr>
        <w:pStyle w:val="BodyText"/>
      </w:pPr>
      <w:r>
        <w:t xml:space="preserve">Communication between sectors occurs through the entropy field and through the dynamical structure of the Obidi Action.</w:t>
      </w:r>
    </w:p>
    <w:p>
      <w:r>
        <w:pict>
          <v:rect style="width:0;height:1.5pt" o:hralign="center" o:hrstd="t" o:hr="t"/>
        </w:pict>
      </w:r>
    </w:p>
    <w:bookmarkEnd w:id="38"/>
    <w:bookmarkStart w:id="39" w:name="information-gravity"/>
    <w:p>
      <w:pPr>
        <w:pStyle w:val="Heading1"/>
      </w:pPr>
      <w:r>
        <w:t xml:space="preserve">5.11 Information Gravity</w:t>
      </w:r>
    </w:p>
    <w:p>
      <w:pPr>
        <w:pStyle w:val="FirstParagraph"/>
      </w:pPr>
      <w:r>
        <w:t xml:space="preserve">One of the most important conceptual consequences of HMAS concerns the notion of information gravity.</w:t>
      </w:r>
    </w:p>
    <w:p>
      <w:pPr>
        <w:pStyle w:val="BodyText"/>
      </w:pPr>
      <w:r>
        <w:t xml:space="preserve">The reasoning proceeds as follows.</w:t>
      </w:r>
    </w:p>
    <w:p>
      <w:pPr>
        <w:pStyle w:val="BodyText"/>
      </w:pPr>
      <w:r>
        <w:t xml:space="preserve">Information possesses geometry.</w:t>
      </w:r>
    </w:p>
    <w:p>
      <w:pPr>
        <w:pStyle w:val="BodyText"/>
      </w:pPr>
      <w:r>
        <w:t xml:space="preserve">The Fisher–Rao metric and Fubini–Study metric establish this rigorously.</w:t>
      </w:r>
    </w:p>
    <w:p>
      <w:pPr>
        <w:pStyle w:val="BodyText"/>
      </w:pPr>
      <w:r>
        <w:t xml:space="preserve">Geometry possesses gravitational significance.</w:t>
      </w:r>
    </w:p>
    <w:p>
      <w:pPr>
        <w:pStyle w:val="BodyText"/>
      </w:pPr>
      <w:r>
        <w:t xml:space="preserve">General Relativity establishes this rigorously.</w:t>
      </w:r>
    </w:p>
    <w:p>
      <w:pPr>
        <w:pStyle w:val="BodyText"/>
      </w:pPr>
      <w:r>
        <w:t xml:space="preserve">Therefore,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 </w:t>
      </w:r>
      <w:r>
        <w:t xml:space="preserve">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This conclusion constitutes one of the foundational insights motivating the Theory of Entropicity.</w:t>
      </w:r>
    </w:p>
    <w:p>
      <w:pPr>
        <w:pStyle w:val="BodyText"/>
      </w:pPr>
      <w:r>
        <w:t xml:space="preserve">The informational sectors are therefore not passive mathematical constructs.</w:t>
      </w:r>
    </w:p>
    <w:p>
      <w:pPr>
        <w:pStyle w:val="BodyText"/>
      </w:pPr>
      <w:r>
        <w:t xml:space="preserve">They possess dynamical significance capable of influencing emergent spacetime geometry.</w:t>
      </w:r>
    </w:p>
    <w:p>
      <w:r>
        <w:pict>
          <v:rect style="width:0;height:1.5pt" o:hralign="center" o:hrstd="t" o:hr="t"/>
        </w:pict>
      </w:r>
    </w:p>
    <w:bookmarkEnd w:id="39"/>
    <w:bookmarkStart w:id="40" w:name="the-entropic-origin-of-geometry"/>
    <w:p>
      <w:pPr>
        <w:pStyle w:val="Heading1"/>
      </w:pPr>
      <w:r>
        <w:t xml:space="preserve">5.12 The Entropic Origin of Geometry</w:t>
      </w:r>
    </w:p>
    <w:p>
      <w:pPr>
        <w:pStyle w:val="FirstParagraph"/>
      </w:pPr>
      <w:r>
        <w:t xml:space="preserve">The ultimate objective of HMAS is to provide a framework through which geometry itself emerges.</w:t>
      </w:r>
    </w:p>
    <w:p>
      <w:pPr>
        <w:pStyle w:val="BodyText"/>
      </w:pPr>
      <w:r>
        <w:t xml:space="preserve">The theory proposes that entropy organizes information.</w:t>
      </w:r>
    </w:p>
    <w:p>
      <w:pPr>
        <w:pStyle w:val="BodyText"/>
      </w:pPr>
      <w:r>
        <w:t xml:space="preserve">Information acquires geometry.</w:t>
      </w:r>
    </w:p>
    <w:p>
      <w:pPr>
        <w:pStyle w:val="BodyText"/>
      </w:pPr>
      <w:r>
        <w:t xml:space="preserve">Geometry acquires curvature.</w:t>
      </w:r>
    </w:p>
    <w:p>
      <w:pPr>
        <w:pStyle w:val="BodyText"/>
      </w:pPr>
      <w:r>
        <w:t xml:space="preserve">Curvature manifests as gravity.</w:t>
      </w:r>
    </w:p>
    <w:p>
      <w:pPr>
        <w:pStyle w:val="BodyText"/>
      </w:pPr>
      <w:r>
        <w:t xml:space="preserve">This chain may be written as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S</w:t>
      </w:r>
      <w:r>
        <w:t xml:space="preserve"> </w:t>
      </w:r>
      <w:r>
        <w:t xml:space="preserve"> </w:t>
      </w:r>
      <w:r>
        <w:t xml:space="preserve">I</w:t>
      </w:r>
      <w:r>
        <w:t xml:space="preserve"> </w:t>
      </w:r>
      <w:r>
        <w:t xml:space="preserve"> </w:t>
      </w:r>
      <w:r>
        <w:t xml:space="preserve">G_I</w:t>
      </w:r>
      <w:r>
        <w:t xml:space="preserve"> </w:t>
      </w:r>
      <w:r>
        <w:t xml:space="preserve"> </w:t>
      </w:r>
      <w:r>
        <w:t xml:space="preserve">G_L</w:t>
      </w:r>
      <w:r>
        <w:t xml:space="preserve"> </w:t>
      </w:r>
      <w:r>
        <w:t xml:space="preserve"> </w:t>
      </w:r>
      <w:r>
        <w:t xml:space="preserve">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G_I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denotes informational geometry and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G_L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denotes Lorentzian geometry.</w:t>
      </w:r>
    </w:p>
    <w:p>
      <w:pPr>
        <w:pStyle w:val="BodyText"/>
      </w:pPr>
      <w:r>
        <w:t xml:space="preserve">In this sense, spacetime becomes a macroscopic manifestation of deeper informational organization.</w:t>
      </w:r>
    </w:p>
    <w:p>
      <w:r>
        <w:pict>
          <v:rect style="width:0;height:1.5pt" o:hralign="center" o:hrstd="t" o:hr="t"/>
        </w:pict>
      </w:r>
    </w:p>
    <w:bookmarkEnd w:id="40"/>
    <w:bookmarkStart w:id="41" w:name="hmas-as-the-geometric-foundation-of-toe"/>
    <w:p>
      <w:pPr>
        <w:pStyle w:val="Heading1"/>
      </w:pPr>
      <w:r>
        <w:t xml:space="preserve">5.13 HMAS as the Geometric Foundation of ToE</w:t>
      </w:r>
    </w:p>
    <w:p>
      <w:pPr>
        <w:pStyle w:val="FirstParagraph"/>
      </w:pPr>
      <w:r>
        <w:t xml:space="preserve">The Hybrid Manifold Architecture System serves as the geometric foundation upon which all subsequent developments of the Theory of Entropicity are constructed.</w:t>
      </w:r>
    </w:p>
    <w:p>
      <w:pPr>
        <w:pStyle w:val="BodyText"/>
      </w:pPr>
      <w:r>
        <w:t xml:space="preserve">Without HMAS there can be:</w:t>
      </w:r>
    </w:p>
    <w:p>
      <w:pPr>
        <w:pStyle w:val="Compact"/>
        <w:numPr>
          <w:ilvl w:val="0"/>
          <w:numId w:val="1008"/>
        </w:numPr>
      </w:pPr>
      <w:r>
        <w:t xml:space="preserve">no Obidi Convention,</w:t>
      </w:r>
    </w:p>
    <w:p>
      <w:pPr>
        <w:pStyle w:val="Compact"/>
        <w:numPr>
          <w:ilvl w:val="0"/>
          <w:numId w:val="1008"/>
        </w:numPr>
      </w:pPr>
      <w:r>
        <w:t xml:space="preserve">no hierarchical tensor calculus,</w:t>
      </w:r>
    </w:p>
    <w:p>
      <w:pPr>
        <w:pStyle w:val="Compact"/>
        <w:numPr>
          <w:ilvl w:val="0"/>
          <w:numId w:val="1008"/>
        </w:numPr>
      </w:pPr>
      <w:r>
        <w:t xml:space="preserve">no sectoral action principle,</w:t>
      </w:r>
    </w:p>
    <w:p>
      <w:pPr>
        <w:pStyle w:val="Compact"/>
        <w:numPr>
          <w:ilvl w:val="0"/>
          <w:numId w:val="1008"/>
        </w:numPr>
      </w:pPr>
      <w:r>
        <w:t xml:space="preserve">no entropic field equations.</w:t>
      </w:r>
    </w:p>
    <w:p>
      <w:pPr>
        <w:pStyle w:val="FirstParagraph"/>
      </w:pPr>
      <w:r>
        <w:t xml:space="preserve">HMAS therefore occupies a position analogous to that of spacetime manifolds in General Relativity.</w:t>
      </w:r>
    </w:p>
    <w:p>
      <w:pPr>
        <w:pStyle w:val="BodyText"/>
      </w:pPr>
      <w:r>
        <w:t xml:space="preserve">However, whereas General Relativity employs a single geometry, HMAS employs a hierarchy of interacting geometries.</w:t>
      </w:r>
    </w:p>
    <w:p>
      <w:pPr>
        <w:pStyle w:val="BodyText"/>
      </w:pPr>
      <w:r>
        <w:t xml:space="preserve">This extension constitutes one of the principal innovations of the Theory of Entropicity.</w:t>
      </w:r>
    </w:p>
    <w:p>
      <w:r>
        <w:pict>
          <v:rect style="width:0;height:1.5pt" o:hralign="center" o:hrstd="t" o:hr="t"/>
        </w:pict>
      </w:r>
    </w:p>
    <w:bookmarkEnd w:id="41"/>
    <w:bookmarkStart w:id="42" w:name="transition-to-the-obidi-convention"/>
    <w:p>
      <w:pPr>
        <w:pStyle w:val="Heading1"/>
      </w:pPr>
      <w:r>
        <w:t xml:space="preserve">5.14 Transition to the Obidi Convention</w:t>
      </w:r>
    </w:p>
    <w:p>
      <w:pPr>
        <w:pStyle w:val="FirstParagraph"/>
      </w:pPr>
      <w:r>
        <w:t xml:space="preserve">The introduction of HMAS immediately raises a mathematical problem.</w:t>
      </w:r>
    </w:p>
    <w:p>
      <w:pPr>
        <w:pStyle w:val="BodyText"/>
      </w:pPr>
      <w:r>
        <w:t xml:space="preserve">How can tensors belonging to multiple geometric sectors be represented within a single formalism?</w:t>
      </w:r>
    </w:p>
    <w:p>
      <w:pPr>
        <w:pStyle w:val="BodyText"/>
      </w:pPr>
      <w:r>
        <w:t xml:space="preserve">Standard tensor notation is insufficient because it assumes only one geometric structure.</w:t>
      </w:r>
    </w:p>
    <w:p>
      <w:pPr>
        <w:pStyle w:val="BodyText"/>
      </w:pPr>
      <w:r>
        <w:t xml:space="preserve">A new tensor language is therefore required.</w:t>
      </w:r>
    </w:p>
    <w:p>
      <w:pPr>
        <w:pStyle w:val="BodyText"/>
      </w:pPr>
      <w:r>
        <w:t xml:space="preserve">The next chapter introduces the Obidi Convention, a hierarchical indexing framework specifically designed to describe tensors, fields, and dynamical equations within the Hybrid Manifold Architecture System.</w:t>
      </w:r>
    </w:p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2026-06-13T05:20:08Z</dcterms:created>
  <dcterms:modified xsi:type="dcterms:W3CDTF">2026-06-13T05:20:08Z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