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01437" w14:textId="77777777" w:rsidR="00DE1B55" w:rsidRDefault="00CD33C7" w:rsidP="007B1B8C">
      <w:pPr>
        <w:jc w:val="center"/>
        <w:rPr>
          <w:b/>
          <w:sz w:val="28"/>
        </w:rPr>
      </w:pPr>
      <w:r w:rsidRPr="001F1D78">
        <w:rPr>
          <w:b/>
          <w:sz w:val="28"/>
        </w:rPr>
        <w:t xml:space="preserve">Disciplined </w:t>
      </w:r>
      <w:r w:rsidR="003459CF">
        <w:rPr>
          <w:b/>
          <w:sz w:val="28"/>
        </w:rPr>
        <w:t>E</w:t>
      </w:r>
      <w:r w:rsidR="00DF7128">
        <w:rPr>
          <w:b/>
          <w:sz w:val="28"/>
        </w:rPr>
        <w:t xml:space="preserve">ntrepreneurship Workbook </w:t>
      </w:r>
    </w:p>
    <w:p w14:paraId="49C55A7E" w14:textId="0BC6F173" w:rsidR="00523400" w:rsidRPr="001F1D78" w:rsidRDefault="00DF7128" w:rsidP="00BB2452">
      <w:pPr>
        <w:pStyle w:val="Heading1"/>
      </w:pPr>
      <w:r>
        <w:t>Step 19</w:t>
      </w:r>
      <w:proofErr w:type="gramStart"/>
      <w:r w:rsidR="00CD33C7" w:rsidRPr="001F1D78">
        <w:t xml:space="preserve">:  </w:t>
      </w:r>
      <w:r>
        <w:t>Estimate</w:t>
      </w:r>
      <w:proofErr w:type="gramEnd"/>
      <w:r>
        <w:t xml:space="preserve"> the Cost of Customer Acquisition (COCA)</w:t>
      </w:r>
      <w:r w:rsidR="00981EA7">
        <w:t xml:space="preserve"> Worksheets</w:t>
      </w:r>
    </w:p>
    <w:p w14:paraId="5CDCD9C6" w14:textId="454EAC44" w:rsidR="007216C7" w:rsidRDefault="007216C7" w:rsidP="00BB2452">
      <w:pPr>
        <w:pStyle w:val="Heading2"/>
      </w:pPr>
      <w:r w:rsidRPr="00AE0985">
        <w:t>W</w:t>
      </w:r>
      <w:r w:rsidR="00DB3929" w:rsidRPr="00AE0985">
        <w:t>orksheet</w:t>
      </w:r>
      <w:r w:rsidR="00DE1B55">
        <w:t>s</w:t>
      </w:r>
    </w:p>
    <w:p w14:paraId="1F9B5AEC" w14:textId="77777777" w:rsidR="004A0CEB" w:rsidRPr="00DE1B55" w:rsidRDefault="005A7FEB" w:rsidP="00BB2452">
      <w:pPr>
        <w:pStyle w:val="Heading3"/>
      </w:pPr>
      <w:r w:rsidRPr="00DE1B55">
        <w:t>Assumptions for COCA Estimation</w:t>
      </w:r>
    </w:p>
    <w:p w14:paraId="25FBC8FB" w14:textId="77777777" w:rsidR="00DD30BA" w:rsidRDefault="00DD30BA" w:rsidP="005A7FEB"/>
    <w:p w14:paraId="164175CC" w14:textId="77777777" w:rsidR="006D0BDD" w:rsidRDefault="006D0BDD" w:rsidP="002D2681">
      <w:pPr>
        <w:pStyle w:val="ListParagraph"/>
        <w:numPr>
          <w:ilvl w:val="1"/>
          <w:numId w:val="2"/>
        </w:numPr>
      </w:pPr>
      <w:r>
        <w:t>What was the time interval you defined for the following phases in Step #18, Worksheets Section, Item II?</w:t>
      </w:r>
    </w:p>
    <w:p w14:paraId="6850C47C" w14:textId="0A09A423" w:rsidR="006D0BDD" w:rsidRDefault="006D0BDD" w:rsidP="002D2681">
      <w:pPr>
        <w:pStyle w:val="ListParagraph"/>
        <w:numPr>
          <w:ilvl w:val="3"/>
          <w:numId w:val="2"/>
        </w:numPr>
      </w:pPr>
      <w:r>
        <w:t>Short Term</w:t>
      </w:r>
      <w:r w:rsidR="00AF502A">
        <w:t>: 0-6 months</w:t>
      </w:r>
    </w:p>
    <w:p w14:paraId="7D8EBDC8" w14:textId="65CAA367" w:rsidR="006D0BDD" w:rsidRDefault="006D0BDD" w:rsidP="002D2681">
      <w:pPr>
        <w:pStyle w:val="ListParagraph"/>
        <w:numPr>
          <w:ilvl w:val="3"/>
          <w:numId w:val="2"/>
        </w:numPr>
      </w:pPr>
      <w:r>
        <w:t>Medium Term</w:t>
      </w:r>
      <w:r w:rsidR="00AF502A">
        <w:t>: 6-18 months</w:t>
      </w:r>
    </w:p>
    <w:p w14:paraId="6813A1B5" w14:textId="6B075153" w:rsidR="006D0BDD" w:rsidRDefault="006D0BDD" w:rsidP="002D2681">
      <w:pPr>
        <w:pStyle w:val="ListParagraph"/>
        <w:numPr>
          <w:ilvl w:val="3"/>
          <w:numId w:val="2"/>
        </w:numPr>
      </w:pPr>
      <w:r>
        <w:t>Long Term</w:t>
      </w:r>
      <w:r w:rsidR="00AF502A">
        <w:t>: Over 18 months</w:t>
      </w:r>
    </w:p>
    <w:p w14:paraId="542F86ED" w14:textId="77777777" w:rsidR="00513415" w:rsidRPr="00023AC4" w:rsidRDefault="00513415" w:rsidP="00023AC4">
      <w:pPr>
        <w:ind w:left="1080"/>
      </w:pPr>
    </w:p>
    <w:p w14:paraId="3E581AB3" w14:textId="77777777" w:rsidR="00363C88" w:rsidRPr="00BB2452" w:rsidRDefault="00363C88" w:rsidP="00BB2452">
      <w:pPr>
        <w:rPr>
          <w:b/>
        </w:rPr>
      </w:pPr>
      <w:r w:rsidRPr="00BB2452">
        <w:rPr>
          <w:rStyle w:val="Heading3Char"/>
        </w:rPr>
        <w:t>Total Sales and Marketing Expenses List</w:t>
      </w:r>
      <w:r w:rsidRPr="00BB2452">
        <w:rPr>
          <w:b/>
        </w:rPr>
        <w:br/>
      </w:r>
      <w:proofErr w:type="spellStart"/>
      <w:r w:rsidRPr="00DE1B55">
        <w:t>List</w:t>
      </w:r>
      <w:proofErr w:type="spellEnd"/>
      <w:r w:rsidRPr="00DE1B55">
        <w:t xml:space="preserve"> the expected sales and marketing expenses, and their costs. This input will be used</w:t>
      </w:r>
      <w:r w:rsidR="004770AD" w:rsidRPr="00DE1B55">
        <w:t xml:space="preserve"> when estimating the cost of customer acquisition.</w:t>
      </w:r>
      <w:r w:rsidRPr="00BB2452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2693"/>
        <w:gridCol w:w="2701"/>
        <w:gridCol w:w="2692"/>
      </w:tblGrid>
      <w:tr w:rsidR="00363C88" w14:paraId="0174BEC4" w14:textId="77777777" w:rsidTr="00363C88">
        <w:tc>
          <w:tcPr>
            <w:tcW w:w="2754" w:type="dxa"/>
          </w:tcPr>
          <w:p w14:paraId="55050E62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Sales Expenses</w:t>
            </w:r>
          </w:p>
        </w:tc>
        <w:tc>
          <w:tcPr>
            <w:tcW w:w="2754" w:type="dxa"/>
          </w:tcPr>
          <w:p w14:paraId="3E0598C6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Short Term</w:t>
            </w:r>
          </w:p>
        </w:tc>
        <w:tc>
          <w:tcPr>
            <w:tcW w:w="2754" w:type="dxa"/>
          </w:tcPr>
          <w:p w14:paraId="77C2AF3B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Medium Term</w:t>
            </w:r>
          </w:p>
        </w:tc>
        <w:tc>
          <w:tcPr>
            <w:tcW w:w="2754" w:type="dxa"/>
          </w:tcPr>
          <w:p w14:paraId="02C95955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Long Term</w:t>
            </w:r>
          </w:p>
        </w:tc>
      </w:tr>
      <w:tr w:rsidR="00363C88" w14:paraId="50EBD47C" w14:textId="77777777" w:rsidTr="00073204">
        <w:trPr>
          <w:trHeight w:val="2780"/>
        </w:trPr>
        <w:tc>
          <w:tcPr>
            <w:tcW w:w="2754" w:type="dxa"/>
          </w:tcPr>
          <w:p w14:paraId="15EE4DF5" w14:textId="77777777" w:rsidR="00363C88" w:rsidRDefault="00AF502A" w:rsidP="00363C88">
            <w:pPr>
              <w:rPr>
                <w:b/>
              </w:rPr>
            </w:pPr>
            <w:r w:rsidRPr="00AF502A">
              <w:rPr>
                <w:b/>
              </w:rPr>
              <w:t>Inside sales team</w:t>
            </w:r>
          </w:p>
          <w:p w14:paraId="6E267BCE" w14:textId="77777777" w:rsidR="00AF502A" w:rsidRDefault="00AF502A" w:rsidP="00363C88">
            <w:pPr>
              <w:rPr>
                <w:b/>
              </w:rPr>
            </w:pPr>
          </w:p>
          <w:p w14:paraId="7F762940" w14:textId="77777777" w:rsidR="00AF502A" w:rsidRDefault="00AF502A" w:rsidP="00363C88">
            <w:pPr>
              <w:rPr>
                <w:b/>
              </w:rPr>
            </w:pPr>
            <w:r>
              <w:rPr>
                <w:b/>
              </w:rPr>
              <w:t>Sales ops and support</w:t>
            </w:r>
          </w:p>
          <w:p w14:paraId="31781A88" w14:textId="77777777" w:rsidR="00AF502A" w:rsidRDefault="00AF502A" w:rsidP="00363C88">
            <w:pPr>
              <w:rPr>
                <w:b/>
              </w:rPr>
            </w:pPr>
          </w:p>
          <w:p w14:paraId="2A48C70E" w14:textId="77777777" w:rsidR="00AF502A" w:rsidRDefault="00AF502A" w:rsidP="00363C88">
            <w:pPr>
              <w:rPr>
                <w:b/>
              </w:rPr>
            </w:pPr>
            <w:r>
              <w:rPr>
                <w:b/>
              </w:rPr>
              <w:t>CRM tools and software</w:t>
            </w:r>
          </w:p>
          <w:p w14:paraId="0CA83525" w14:textId="77777777" w:rsidR="00AF502A" w:rsidRDefault="00AF502A" w:rsidP="00363C88">
            <w:pPr>
              <w:rPr>
                <w:b/>
              </w:rPr>
            </w:pPr>
          </w:p>
          <w:p w14:paraId="3622CB4F" w14:textId="77777777" w:rsidR="00AF502A" w:rsidRDefault="00AF502A" w:rsidP="00363C88">
            <w:pPr>
              <w:rPr>
                <w:b/>
              </w:rPr>
            </w:pPr>
            <w:r>
              <w:rPr>
                <w:b/>
              </w:rPr>
              <w:t>B2B account reps</w:t>
            </w:r>
          </w:p>
          <w:p w14:paraId="44D6E261" w14:textId="77777777" w:rsidR="00AF502A" w:rsidRDefault="00AF502A" w:rsidP="00363C88">
            <w:pPr>
              <w:rPr>
                <w:b/>
              </w:rPr>
            </w:pPr>
          </w:p>
          <w:p w14:paraId="76C7111C" w14:textId="024F8653" w:rsidR="00AF502A" w:rsidRDefault="00AF502A" w:rsidP="00363C88">
            <w:pPr>
              <w:rPr>
                <w:b/>
              </w:rPr>
            </w:pPr>
            <w:r>
              <w:rPr>
                <w:b/>
              </w:rPr>
              <w:t>Legal for contacts</w:t>
            </w:r>
          </w:p>
        </w:tc>
        <w:tc>
          <w:tcPr>
            <w:tcW w:w="2754" w:type="dxa"/>
          </w:tcPr>
          <w:p w14:paraId="56083E33" w14:textId="1C85E29A" w:rsidR="00363C88" w:rsidRDefault="00AF502A" w:rsidP="00363C88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2</w:t>
            </w:r>
            <w:r>
              <w:rPr>
                <w:b/>
              </w:rPr>
              <w:t>0 000</w:t>
            </w:r>
          </w:p>
          <w:p w14:paraId="6006A140" w14:textId="77777777" w:rsidR="00AF502A" w:rsidRDefault="00AF502A" w:rsidP="00363C88">
            <w:pPr>
              <w:rPr>
                <w:b/>
              </w:rPr>
            </w:pPr>
          </w:p>
          <w:p w14:paraId="51791550" w14:textId="77777777" w:rsidR="00AF502A" w:rsidRDefault="00AF502A" w:rsidP="00363C88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15</w:t>
            </w:r>
            <w:r>
              <w:rPr>
                <w:b/>
              </w:rPr>
              <w:t xml:space="preserve"> 000</w:t>
            </w:r>
          </w:p>
          <w:p w14:paraId="2B0FE4A4" w14:textId="77777777" w:rsidR="00AF502A" w:rsidRDefault="00AF502A" w:rsidP="00363C88">
            <w:pPr>
              <w:rPr>
                <w:b/>
              </w:rPr>
            </w:pPr>
          </w:p>
          <w:p w14:paraId="05DDD644" w14:textId="0A4565A1" w:rsidR="00AF502A" w:rsidRDefault="00AF502A" w:rsidP="00363C88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5</w:t>
            </w:r>
            <w:r>
              <w:rPr>
                <w:b/>
              </w:rPr>
              <w:t xml:space="preserve"> 000</w:t>
            </w:r>
          </w:p>
          <w:p w14:paraId="6402F4E8" w14:textId="77777777" w:rsidR="00AF502A" w:rsidRDefault="00AF502A" w:rsidP="00363C88">
            <w:pPr>
              <w:rPr>
                <w:b/>
              </w:rPr>
            </w:pPr>
          </w:p>
          <w:p w14:paraId="441CC656" w14:textId="71C2AC77" w:rsidR="00AF502A" w:rsidRDefault="00AF502A" w:rsidP="00363C88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b/>
              </w:rPr>
              <w:t>0</w:t>
            </w:r>
          </w:p>
          <w:p w14:paraId="3AC0F955" w14:textId="77777777" w:rsidR="00AF502A" w:rsidRDefault="00AF502A" w:rsidP="00363C88">
            <w:pPr>
              <w:rPr>
                <w:b/>
              </w:rPr>
            </w:pPr>
          </w:p>
          <w:p w14:paraId="4DE860F1" w14:textId="6CF3AA4F" w:rsidR="00AF502A" w:rsidRDefault="00AF502A" w:rsidP="00363C88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0</w:t>
            </w:r>
          </w:p>
        </w:tc>
        <w:tc>
          <w:tcPr>
            <w:tcW w:w="2754" w:type="dxa"/>
          </w:tcPr>
          <w:p w14:paraId="1ABC9C49" w14:textId="66AD73AE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45</w:t>
            </w:r>
            <w:r>
              <w:rPr>
                <w:b/>
              </w:rPr>
              <w:t xml:space="preserve"> 000</w:t>
            </w:r>
          </w:p>
          <w:p w14:paraId="50C4595C" w14:textId="77777777" w:rsidR="00AF502A" w:rsidRDefault="00AF502A" w:rsidP="00AF502A">
            <w:pPr>
              <w:rPr>
                <w:b/>
              </w:rPr>
            </w:pPr>
          </w:p>
          <w:p w14:paraId="17A50B25" w14:textId="3060B2F6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25</w:t>
            </w:r>
            <w:r>
              <w:rPr>
                <w:b/>
              </w:rPr>
              <w:t xml:space="preserve"> 000</w:t>
            </w:r>
          </w:p>
          <w:p w14:paraId="31A9536C" w14:textId="77777777" w:rsidR="00AF502A" w:rsidRDefault="00AF502A" w:rsidP="00AF502A">
            <w:pPr>
              <w:rPr>
                <w:b/>
              </w:rPr>
            </w:pPr>
          </w:p>
          <w:p w14:paraId="47F22CED" w14:textId="1BDF88E9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10</w:t>
            </w:r>
            <w:r>
              <w:rPr>
                <w:b/>
              </w:rPr>
              <w:t xml:space="preserve"> 000</w:t>
            </w:r>
          </w:p>
          <w:p w14:paraId="30B26002" w14:textId="77777777" w:rsidR="00AF502A" w:rsidRDefault="00AF502A" w:rsidP="00AF502A">
            <w:pPr>
              <w:rPr>
                <w:b/>
              </w:rPr>
            </w:pPr>
          </w:p>
          <w:p w14:paraId="4619F362" w14:textId="02EC20D5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0 000</w:t>
            </w:r>
          </w:p>
          <w:p w14:paraId="6C9ADB74" w14:textId="77777777" w:rsidR="00AF502A" w:rsidRDefault="00AF502A" w:rsidP="00AF502A">
            <w:pPr>
              <w:rPr>
                <w:b/>
              </w:rPr>
            </w:pPr>
          </w:p>
          <w:p w14:paraId="66DBDB6F" w14:textId="23BF3BAB" w:rsidR="00363C88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5 000</w:t>
            </w:r>
          </w:p>
        </w:tc>
        <w:tc>
          <w:tcPr>
            <w:tcW w:w="2754" w:type="dxa"/>
          </w:tcPr>
          <w:p w14:paraId="73037099" w14:textId="2E84533C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6</w:t>
            </w:r>
            <w:r w:rsidR="00A73582">
              <w:rPr>
                <w:rFonts w:cstheme="minorHAnsi"/>
                <w:b/>
              </w:rPr>
              <w:t>0</w:t>
            </w:r>
            <w:r>
              <w:rPr>
                <w:b/>
              </w:rPr>
              <w:t xml:space="preserve"> 000</w:t>
            </w:r>
          </w:p>
          <w:p w14:paraId="6603837C" w14:textId="77777777" w:rsidR="00AF502A" w:rsidRDefault="00AF502A" w:rsidP="00AF502A">
            <w:pPr>
              <w:rPr>
                <w:b/>
              </w:rPr>
            </w:pPr>
          </w:p>
          <w:p w14:paraId="2FD80716" w14:textId="648DC633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A73582">
              <w:rPr>
                <w:rFonts w:cstheme="minorHAnsi"/>
                <w:b/>
              </w:rPr>
              <w:t>35</w:t>
            </w:r>
            <w:r>
              <w:rPr>
                <w:b/>
              </w:rPr>
              <w:t xml:space="preserve"> 000</w:t>
            </w:r>
          </w:p>
          <w:p w14:paraId="0D94A512" w14:textId="77777777" w:rsidR="00AF502A" w:rsidRDefault="00AF502A" w:rsidP="00AF502A">
            <w:pPr>
              <w:rPr>
                <w:b/>
              </w:rPr>
            </w:pPr>
          </w:p>
          <w:p w14:paraId="1A8D615C" w14:textId="3C8C31BB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5</w:t>
            </w:r>
            <w:r>
              <w:rPr>
                <w:b/>
              </w:rPr>
              <w:t xml:space="preserve"> 000</w:t>
            </w:r>
          </w:p>
          <w:p w14:paraId="3CDCB447" w14:textId="77777777" w:rsidR="00AF502A" w:rsidRDefault="00AF502A" w:rsidP="00AF502A">
            <w:pPr>
              <w:rPr>
                <w:b/>
              </w:rPr>
            </w:pPr>
          </w:p>
          <w:p w14:paraId="79FCE7EC" w14:textId="5984CCDB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A73582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0 000</w:t>
            </w:r>
          </w:p>
          <w:p w14:paraId="765A4AA8" w14:textId="77777777" w:rsidR="00AF502A" w:rsidRDefault="00AF502A" w:rsidP="00AF502A">
            <w:pPr>
              <w:rPr>
                <w:b/>
              </w:rPr>
            </w:pPr>
          </w:p>
          <w:p w14:paraId="1B7E2205" w14:textId="3358AA44" w:rsidR="00363C88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10 000</w:t>
            </w:r>
          </w:p>
        </w:tc>
      </w:tr>
    </w:tbl>
    <w:p w14:paraId="02437B82" w14:textId="3015CEC6" w:rsidR="00363C88" w:rsidRDefault="00363C88" w:rsidP="0007320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2552"/>
        <w:gridCol w:w="2431"/>
      </w:tblGrid>
      <w:tr w:rsidR="00363C88" w14:paraId="6A1D79B8" w14:textId="77777777" w:rsidTr="00AF502A">
        <w:tc>
          <w:tcPr>
            <w:tcW w:w="3256" w:type="dxa"/>
          </w:tcPr>
          <w:p w14:paraId="71E5D143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Marketing Expenses</w:t>
            </w:r>
          </w:p>
        </w:tc>
        <w:tc>
          <w:tcPr>
            <w:tcW w:w="2551" w:type="dxa"/>
          </w:tcPr>
          <w:p w14:paraId="1899E989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Short Term</w:t>
            </w:r>
          </w:p>
        </w:tc>
        <w:tc>
          <w:tcPr>
            <w:tcW w:w="2552" w:type="dxa"/>
          </w:tcPr>
          <w:p w14:paraId="63A0F06E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Medium Term</w:t>
            </w:r>
          </w:p>
        </w:tc>
        <w:tc>
          <w:tcPr>
            <w:tcW w:w="2431" w:type="dxa"/>
          </w:tcPr>
          <w:p w14:paraId="303486A0" w14:textId="77777777" w:rsidR="00363C88" w:rsidRDefault="00363C88" w:rsidP="00363C88">
            <w:pPr>
              <w:rPr>
                <w:b/>
              </w:rPr>
            </w:pPr>
            <w:r>
              <w:rPr>
                <w:b/>
              </w:rPr>
              <w:t>Long Term</w:t>
            </w:r>
          </w:p>
        </w:tc>
      </w:tr>
      <w:tr w:rsidR="00363C88" w14:paraId="370FEAF7" w14:textId="77777777" w:rsidTr="00AF502A">
        <w:trPr>
          <w:trHeight w:val="2780"/>
        </w:trPr>
        <w:tc>
          <w:tcPr>
            <w:tcW w:w="3256" w:type="dxa"/>
          </w:tcPr>
          <w:p w14:paraId="16B943E9" w14:textId="77777777" w:rsidR="00363C88" w:rsidRDefault="00AF502A" w:rsidP="00363C88">
            <w:pPr>
              <w:rPr>
                <w:b/>
              </w:rPr>
            </w:pPr>
            <w:r w:rsidRPr="00AF502A">
              <w:rPr>
                <w:b/>
              </w:rPr>
              <w:t>Paid social ads (Reddit, IG)</w:t>
            </w:r>
          </w:p>
          <w:p w14:paraId="28AA2D55" w14:textId="77777777" w:rsidR="00AF502A" w:rsidRDefault="00AF502A" w:rsidP="00363C88">
            <w:pPr>
              <w:rPr>
                <w:b/>
              </w:rPr>
            </w:pPr>
          </w:p>
          <w:p w14:paraId="1A5900AE" w14:textId="606E4896" w:rsidR="00AF502A" w:rsidRDefault="00AF502A" w:rsidP="00363C88">
            <w:pPr>
              <w:rPr>
                <w:b/>
              </w:rPr>
            </w:pPr>
            <w:r w:rsidRPr="00AF502A">
              <w:rPr>
                <w:b/>
              </w:rPr>
              <w:t xml:space="preserve">Influencer </w:t>
            </w:r>
            <w:r>
              <w:rPr>
                <w:b/>
              </w:rPr>
              <w:t>and</w:t>
            </w:r>
            <w:r w:rsidRPr="00AF502A">
              <w:rPr>
                <w:b/>
              </w:rPr>
              <w:t xml:space="preserve"> partnerships</w:t>
            </w:r>
          </w:p>
          <w:p w14:paraId="1FA192AE" w14:textId="77777777" w:rsidR="00AF502A" w:rsidRDefault="00AF502A" w:rsidP="00363C88">
            <w:pPr>
              <w:rPr>
                <w:b/>
              </w:rPr>
            </w:pPr>
          </w:p>
          <w:p w14:paraId="5928C256" w14:textId="77777777" w:rsidR="00AF502A" w:rsidRDefault="00AF502A" w:rsidP="00363C88">
            <w:pPr>
              <w:rPr>
                <w:b/>
              </w:rPr>
            </w:pPr>
            <w:r w:rsidRPr="00AF502A">
              <w:rPr>
                <w:b/>
              </w:rPr>
              <w:t>SEO, blogs, email campaigns</w:t>
            </w:r>
          </w:p>
          <w:p w14:paraId="1D10A287" w14:textId="77777777" w:rsidR="00AF502A" w:rsidRDefault="00AF502A" w:rsidP="00363C88">
            <w:pPr>
              <w:rPr>
                <w:b/>
              </w:rPr>
            </w:pPr>
          </w:p>
          <w:p w14:paraId="75BE2F6F" w14:textId="77777777" w:rsidR="00AF502A" w:rsidRDefault="00AF502A" w:rsidP="00363C88">
            <w:pPr>
              <w:rPr>
                <w:b/>
              </w:rPr>
            </w:pPr>
            <w:r w:rsidRPr="00AF502A">
              <w:rPr>
                <w:b/>
              </w:rPr>
              <w:t>Virtual events</w:t>
            </w:r>
            <w:r>
              <w:rPr>
                <w:b/>
              </w:rPr>
              <w:t xml:space="preserve"> and </w:t>
            </w:r>
            <w:r w:rsidRPr="00AF502A">
              <w:rPr>
                <w:b/>
              </w:rPr>
              <w:t>webinars</w:t>
            </w:r>
          </w:p>
          <w:p w14:paraId="4752C9A7" w14:textId="77777777" w:rsidR="00AF502A" w:rsidRDefault="00AF502A" w:rsidP="00363C88">
            <w:pPr>
              <w:rPr>
                <w:b/>
              </w:rPr>
            </w:pPr>
          </w:p>
          <w:p w14:paraId="07D380A2" w14:textId="3AF9FB69" w:rsidR="00AF502A" w:rsidRDefault="00AF502A" w:rsidP="00363C88">
            <w:pPr>
              <w:rPr>
                <w:b/>
              </w:rPr>
            </w:pPr>
            <w:r w:rsidRPr="00AF502A">
              <w:rPr>
                <w:b/>
              </w:rPr>
              <w:t>YouTube</w:t>
            </w:r>
          </w:p>
        </w:tc>
        <w:tc>
          <w:tcPr>
            <w:tcW w:w="2551" w:type="dxa"/>
          </w:tcPr>
          <w:p w14:paraId="53565415" w14:textId="25D1CD8A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0</w:t>
            </w:r>
            <w:r>
              <w:rPr>
                <w:b/>
              </w:rPr>
              <w:t xml:space="preserve"> 000</w:t>
            </w:r>
          </w:p>
          <w:p w14:paraId="26A5A37E" w14:textId="77777777" w:rsidR="00363C88" w:rsidRDefault="00363C88" w:rsidP="00363C88">
            <w:pPr>
              <w:rPr>
                <w:b/>
              </w:rPr>
            </w:pPr>
          </w:p>
          <w:p w14:paraId="3B7DD970" w14:textId="6823CE14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10</w:t>
            </w:r>
            <w:r>
              <w:rPr>
                <w:b/>
              </w:rPr>
              <w:t xml:space="preserve"> 000</w:t>
            </w:r>
          </w:p>
          <w:p w14:paraId="5F8DF7E1" w14:textId="77777777" w:rsidR="00AF502A" w:rsidRDefault="00AF502A" w:rsidP="00363C88">
            <w:pPr>
              <w:rPr>
                <w:b/>
              </w:rPr>
            </w:pPr>
          </w:p>
          <w:p w14:paraId="4E87DE54" w14:textId="77777777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€5</w:t>
            </w:r>
            <w:r>
              <w:rPr>
                <w:b/>
              </w:rPr>
              <w:t xml:space="preserve"> 000</w:t>
            </w:r>
          </w:p>
          <w:p w14:paraId="53C7D004" w14:textId="77777777" w:rsidR="00AF502A" w:rsidRDefault="00AF502A" w:rsidP="00363C88">
            <w:pPr>
              <w:rPr>
                <w:b/>
              </w:rPr>
            </w:pPr>
          </w:p>
          <w:p w14:paraId="3383F907" w14:textId="77777777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€5</w:t>
            </w:r>
            <w:r>
              <w:rPr>
                <w:b/>
              </w:rPr>
              <w:t xml:space="preserve"> 000</w:t>
            </w:r>
          </w:p>
          <w:p w14:paraId="272FD6BE" w14:textId="77777777" w:rsidR="00AF502A" w:rsidRDefault="00AF502A" w:rsidP="00363C88">
            <w:pPr>
              <w:rPr>
                <w:b/>
              </w:rPr>
            </w:pPr>
          </w:p>
          <w:p w14:paraId="57FA72D5" w14:textId="74C2B9A4" w:rsidR="00AF502A" w:rsidRDefault="00AF502A" w:rsidP="00363C88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0</w:t>
            </w:r>
          </w:p>
        </w:tc>
        <w:tc>
          <w:tcPr>
            <w:tcW w:w="2552" w:type="dxa"/>
          </w:tcPr>
          <w:p w14:paraId="6A863390" w14:textId="2252643B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5</w:t>
            </w:r>
            <w:r>
              <w:rPr>
                <w:b/>
              </w:rPr>
              <w:t xml:space="preserve"> 000</w:t>
            </w:r>
          </w:p>
          <w:p w14:paraId="39750257" w14:textId="77777777" w:rsidR="00AF502A" w:rsidRDefault="00AF502A" w:rsidP="00AF502A">
            <w:pPr>
              <w:rPr>
                <w:b/>
              </w:rPr>
            </w:pPr>
          </w:p>
          <w:p w14:paraId="58E79414" w14:textId="0AAF5808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0</w:t>
            </w:r>
            <w:r>
              <w:rPr>
                <w:b/>
              </w:rPr>
              <w:t xml:space="preserve"> 000</w:t>
            </w:r>
          </w:p>
          <w:p w14:paraId="4728A040" w14:textId="77777777" w:rsidR="00AF502A" w:rsidRDefault="00AF502A" w:rsidP="00AF502A">
            <w:pPr>
              <w:rPr>
                <w:b/>
              </w:rPr>
            </w:pPr>
          </w:p>
          <w:p w14:paraId="7C98A10C" w14:textId="4961AD0B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10</w:t>
            </w:r>
            <w:r>
              <w:rPr>
                <w:b/>
              </w:rPr>
              <w:t xml:space="preserve"> 000</w:t>
            </w:r>
          </w:p>
          <w:p w14:paraId="0667357C" w14:textId="77777777" w:rsidR="00AF502A" w:rsidRDefault="00AF502A" w:rsidP="00AF502A">
            <w:pPr>
              <w:rPr>
                <w:b/>
              </w:rPr>
            </w:pPr>
          </w:p>
          <w:p w14:paraId="407B8DB8" w14:textId="464302CC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10</w:t>
            </w:r>
            <w:r>
              <w:rPr>
                <w:b/>
              </w:rPr>
              <w:t xml:space="preserve"> 000</w:t>
            </w:r>
          </w:p>
          <w:p w14:paraId="5EF8A41C" w14:textId="77777777" w:rsidR="00AF502A" w:rsidRDefault="00AF502A" w:rsidP="00AF502A">
            <w:pPr>
              <w:rPr>
                <w:b/>
              </w:rPr>
            </w:pPr>
          </w:p>
          <w:p w14:paraId="3E14471F" w14:textId="7E241074" w:rsidR="00363C88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</w:t>
            </w:r>
            <w:r w:rsidR="00DD6E4D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 xml:space="preserve"> 000</w:t>
            </w:r>
          </w:p>
        </w:tc>
        <w:tc>
          <w:tcPr>
            <w:tcW w:w="2431" w:type="dxa"/>
          </w:tcPr>
          <w:p w14:paraId="45A1957E" w14:textId="425A7903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>0</w:t>
            </w:r>
            <w:r>
              <w:rPr>
                <w:b/>
              </w:rPr>
              <w:t xml:space="preserve"> 000</w:t>
            </w:r>
          </w:p>
          <w:p w14:paraId="62F0DC89" w14:textId="77777777" w:rsidR="00AF502A" w:rsidRDefault="00AF502A" w:rsidP="00AF502A">
            <w:pPr>
              <w:rPr>
                <w:b/>
              </w:rPr>
            </w:pPr>
          </w:p>
          <w:p w14:paraId="4D4964D6" w14:textId="0ADEDD58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>0</w:t>
            </w:r>
            <w:r>
              <w:rPr>
                <w:b/>
              </w:rPr>
              <w:t xml:space="preserve"> 000</w:t>
            </w:r>
          </w:p>
          <w:p w14:paraId="13AE4341" w14:textId="77777777" w:rsidR="00AF502A" w:rsidRDefault="00AF502A" w:rsidP="00AF502A">
            <w:pPr>
              <w:rPr>
                <w:b/>
              </w:rPr>
            </w:pPr>
          </w:p>
          <w:p w14:paraId="1F56E277" w14:textId="1D71308A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20</w:t>
            </w:r>
            <w:r>
              <w:rPr>
                <w:b/>
              </w:rPr>
              <w:t xml:space="preserve"> 000</w:t>
            </w:r>
          </w:p>
          <w:p w14:paraId="633ABE81" w14:textId="77777777" w:rsidR="00AF502A" w:rsidRDefault="00AF502A" w:rsidP="00AF502A">
            <w:pPr>
              <w:rPr>
                <w:b/>
              </w:rPr>
            </w:pPr>
          </w:p>
          <w:p w14:paraId="5FAB3B72" w14:textId="13C778BA" w:rsidR="00AF502A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</w:t>
            </w:r>
            <w:r w:rsidR="00DD6E4D">
              <w:rPr>
                <w:rFonts w:cstheme="minorHAnsi"/>
                <w:b/>
              </w:rPr>
              <w:t>5</w:t>
            </w:r>
            <w:r>
              <w:rPr>
                <w:b/>
              </w:rPr>
              <w:t xml:space="preserve"> 000</w:t>
            </w:r>
          </w:p>
          <w:p w14:paraId="4714636C" w14:textId="77777777" w:rsidR="00AF502A" w:rsidRDefault="00AF502A" w:rsidP="00AF502A">
            <w:pPr>
              <w:rPr>
                <w:b/>
              </w:rPr>
            </w:pPr>
          </w:p>
          <w:p w14:paraId="2AF93FC3" w14:textId="4269F9CC" w:rsidR="00363C88" w:rsidRDefault="00AF502A" w:rsidP="00AF502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5 000</w:t>
            </w:r>
          </w:p>
        </w:tc>
      </w:tr>
    </w:tbl>
    <w:p w14:paraId="78B5D860" w14:textId="77777777" w:rsidR="00363C88" w:rsidRDefault="00363C88" w:rsidP="00073204">
      <w:pPr>
        <w:rPr>
          <w:b/>
        </w:rPr>
      </w:pPr>
    </w:p>
    <w:p w14:paraId="733AC220" w14:textId="77777777" w:rsidR="00363C88" w:rsidRPr="00073204" w:rsidRDefault="00363C88" w:rsidP="00073204">
      <w:pPr>
        <w:rPr>
          <w:b/>
        </w:rPr>
      </w:pPr>
    </w:p>
    <w:p w14:paraId="25428320" w14:textId="24B591E8" w:rsidR="001805C2" w:rsidRPr="00BB2452" w:rsidRDefault="001805C2" w:rsidP="00BB245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1350"/>
        <w:gridCol w:w="1260"/>
        <w:gridCol w:w="1350"/>
        <w:gridCol w:w="1350"/>
        <w:gridCol w:w="1165"/>
      </w:tblGrid>
      <w:tr w:rsidR="000407EA" w:rsidRPr="000407EA" w14:paraId="22DC6D9E" w14:textId="77777777" w:rsidTr="00D57114">
        <w:tc>
          <w:tcPr>
            <w:tcW w:w="10790" w:type="dxa"/>
            <w:gridSpan w:val="6"/>
          </w:tcPr>
          <w:p w14:paraId="03AD1A73" w14:textId="64AB2953" w:rsidR="000407EA" w:rsidRPr="000407EA" w:rsidRDefault="00DE1B55" w:rsidP="00BB2452">
            <w:pPr>
              <w:pStyle w:val="Heading3"/>
            </w:pPr>
            <w:r>
              <w:lastRenderedPageBreak/>
              <w:t>Estimate</w:t>
            </w:r>
            <w:r w:rsidR="004770AD">
              <w:t xml:space="preserve"> the Cost of Customer Acquisition (COCA)</w:t>
            </w:r>
          </w:p>
        </w:tc>
      </w:tr>
      <w:tr w:rsidR="000407EA" w14:paraId="05389B7B" w14:textId="77777777" w:rsidTr="00D57114">
        <w:tc>
          <w:tcPr>
            <w:tcW w:w="4315" w:type="dxa"/>
          </w:tcPr>
          <w:p w14:paraId="7D6616F1" w14:textId="77777777" w:rsidR="000407EA" w:rsidRDefault="000407EA" w:rsidP="00DD30BA">
            <w:pPr>
              <w:rPr>
                <w:b/>
              </w:rPr>
            </w:pPr>
          </w:p>
        </w:tc>
        <w:tc>
          <w:tcPr>
            <w:tcW w:w="6475" w:type="dxa"/>
            <w:gridSpan w:val="5"/>
          </w:tcPr>
          <w:p w14:paraId="508B25DE" w14:textId="77777777" w:rsidR="000407EA" w:rsidRPr="000407EA" w:rsidRDefault="000407EA" w:rsidP="000407EA">
            <w:pPr>
              <w:jc w:val="center"/>
              <w:rPr>
                <w:b/>
                <w:u w:val="single"/>
              </w:rPr>
            </w:pPr>
            <w:r w:rsidRPr="000407EA">
              <w:rPr>
                <w:b/>
                <w:u w:val="single"/>
              </w:rPr>
              <w:t>Time Period</w:t>
            </w:r>
            <w:r>
              <w:rPr>
                <w:b/>
                <w:u w:val="single"/>
              </w:rPr>
              <w:t xml:space="preserve"> (default is year but can change)</w:t>
            </w:r>
          </w:p>
        </w:tc>
      </w:tr>
      <w:tr w:rsidR="000407EA" w14:paraId="6927995B" w14:textId="77777777" w:rsidTr="000407EA">
        <w:tc>
          <w:tcPr>
            <w:tcW w:w="4315" w:type="dxa"/>
          </w:tcPr>
          <w:p w14:paraId="67B16B63" w14:textId="77777777" w:rsidR="000407EA" w:rsidRDefault="000407EA" w:rsidP="000407EA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14:paraId="1C71AD87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1</w:t>
            </w:r>
          </w:p>
        </w:tc>
        <w:tc>
          <w:tcPr>
            <w:tcW w:w="1260" w:type="dxa"/>
          </w:tcPr>
          <w:p w14:paraId="501AD17C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2</w:t>
            </w:r>
          </w:p>
        </w:tc>
        <w:tc>
          <w:tcPr>
            <w:tcW w:w="1350" w:type="dxa"/>
          </w:tcPr>
          <w:p w14:paraId="2FE359CA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3</w:t>
            </w:r>
          </w:p>
        </w:tc>
        <w:tc>
          <w:tcPr>
            <w:tcW w:w="1350" w:type="dxa"/>
          </w:tcPr>
          <w:p w14:paraId="3FF868C2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4</w:t>
            </w:r>
          </w:p>
        </w:tc>
        <w:tc>
          <w:tcPr>
            <w:tcW w:w="1165" w:type="dxa"/>
          </w:tcPr>
          <w:p w14:paraId="37D7B42B" w14:textId="77777777" w:rsidR="000407EA" w:rsidRDefault="000407EA" w:rsidP="000407EA">
            <w:pPr>
              <w:jc w:val="center"/>
              <w:rPr>
                <w:b/>
              </w:rPr>
            </w:pPr>
            <w:r>
              <w:rPr>
                <w:b/>
              </w:rPr>
              <w:t>Year 5</w:t>
            </w:r>
          </w:p>
        </w:tc>
      </w:tr>
      <w:tr w:rsidR="000407EA" w14:paraId="5B46B7C5" w14:textId="77777777" w:rsidTr="000407EA">
        <w:tc>
          <w:tcPr>
            <w:tcW w:w="4315" w:type="dxa"/>
          </w:tcPr>
          <w:p w14:paraId="2F3319B1" w14:textId="37DCDE87" w:rsidR="000407EA" w:rsidRDefault="000407EA" w:rsidP="004524A7">
            <w:pPr>
              <w:rPr>
                <w:b/>
              </w:rPr>
            </w:pPr>
            <w:r>
              <w:rPr>
                <w:b/>
              </w:rPr>
              <w:t>New Customers forecasted</w:t>
            </w:r>
          </w:p>
        </w:tc>
        <w:tc>
          <w:tcPr>
            <w:tcW w:w="1350" w:type="dxa"/>
          </w:tcPr>
          <w:p w14:paraId="566D68C7" w14:textId="409960E9" w:rsidR="000407EA" w:rsidRDefault="00AF502A" w:rsidP="00DD30BA">
            <w:pPr>
              <w:rPr>
                <w:b/>
              </w:rPr>
            </w:pPr>
            <w:r>
              <w:rPr>
                <w:b/>
              </w:rPr>
              <w:t>1 000</w:t>
            </w:r>
          </w:p>
        </w:tc>
        <w:tc>
          <w:tcPr>
            <w:tcW w:w="1260" w:type="dxa"/>
          </w:tcPr>
          <w:p w14:paraId="3E596D17" w14:textId="7EC66EEF" w:rsidR="000407EA" w:rsidRDefault="00AF502A" w:rsidP="00DD30BA">
            <w:pPr>
              <w:rPr>
                <w:b/>
              </w:rPr>
            </w:pPr>
            <w:r>
              <w:rPr>
                <w:b/>
              </w:rPr>
              <w:t>2 500</w:t>
            </w:r>
          </w:p>
        </w:tc>
        <w:tc>
          <w:tcPr>
            <w:tcW w:w="1350" w:type="dxa"/>
          </w:tcPr>
          <w:p w14:paraId="07BADA2F" w14:textId="47E396A0" w:rsidR="000407EA" w:rsidRDefault="00AF502A" w:rsidP="00DD30BA">
            <w:pPr>
              <w:rPr>
                <w:b/>
              </w:rPr>
            </w:pPr>
            <w:r>
              <w:rPr>
                <w:b/>
              </w:rPr>
              <w:t>4 000</w:t>
            </w:r>
          </w:p>
        </w:tc>
        <w:tc>
          <w:tcPr>
            <w:tcW w:w="1350" w:type="dxa"/>
          </w:tcPr>
          <w:p w14:paraId="2650F3D9" w14:textId="7C412D3C" w:rsidR="000407EA" w:rsidRDefault="00AF502A" w:rsidP="00DD30BA">
            <w:pPr>
              <w:rPr>
                <w:b/>
              </w:rPr>
            </w:pPr>
            <w:r>
              <w:rPr>
                <w:b/>
              </w:rPr>
              <w:t>6 000</w:t>
            </w:r>
          </w:p>
        </w:tc>
        <w:tc>
          <w:tcPr>
            <w:tcW w:w="1165" w:type="dxa"/>
          </w:tcPr>
          <w:p w14:paraId="0AA79D35" w14:textId="455EFEB5" w:rsidR="000407EA" w:rsidRDefault="00AF502A" w:rsidP="00DD30BA">
            <w:pPr>
              <w:rPr>
                <w:b/>
              </w:rPr>
            </w:pPr>
            <w:r>
              <w:rPr>
                <w:b/>
              </w:rPr>
              <w:t>9 000</w:t>
            </w:r>
          </w:p>
        </w:tc>
      </w:tr>
      <w:tr w:rsidR="000407EA" w14:paraId="410DA671" w14:textId="77777777" w:rsidTr="000407EA">
        <w:tc>
          <w:tcPr>
            <w:tcW w:w="4315" w:type="dxa"/>
          </w:tcPr>
          <w:p w14:paraId="4304DF47" w14:textId="77777777" w:rsidR="000407EA" w:rsidRDefault="000407EA" w:rsidP="00DD30BA">
            <w:pPr>
              <w:rPr>
                <w:b/>
              </w:rPr>
            </w:pPr>
            <w:r>
              <w:rPr>
                <w:b/>
              </w:rPr>
              <w:t>All Sales expenses for period</w:t>
            </w:r>
          </w:p>
        </w:tc>
        <w:tc>
          <w:tcPr>
            <w:tcW w:w="1350" w:type="dxa"/>
          </w:tcPr>
          <w:p w14:paraId="2CF6710C" w14:textId="78692E8B" w:rsidR="000407EA" w:rsidRDefault="00AF502A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>0</w:t>
            </w:r>
            <w:r>
              <w:rPr>
                <w:b/>
              </w:rPr>
              <w:t xml:space="preserve"> 000</w:t>
            </w:r>
          </w:p>
        </w:tc>
        <w:tc>
          <w:tcPr>
            <w:tcW w:w="1260" w:type="dxa"/>
          </w:tcPr>
          <w:p w14:paraId="055BB36D" w14:textId="7105EE81" w:rsidR="000407EA" w:rsidRDefault="00AF502A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DD6E4D">
              <w:rPr>
                <w:rFonts w:cstheme="minorHAnsi"/>
                <w:b/>
              </w:rPr>
              <w:t>95</w:t>
            </w:r>
            <w:r>
              <w:rPr>
                <w:rFonts w:cstheme="minorHAnsi"/>
                <w:b/>
              </w:rPr>
              <w:t xml:space="preserve"> 000</w:t>
            </w:r>
          </w:p>
        </w:tc>
        <w:tc>
          <w:tcPr>
            <w:tcW w:w="1350" w:type="dxa"/>
          </w:tcPr>
          <w:p w14:paraId="29FF1CD0" w14:textId="4BE0EF9D" w:rsidR="000407EA" w:rsidRDefault="00AF502A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</w:t>
            </w:r>
            <w:r w:rsidR="00A73582">
              <w:rPr>
                <w:rFonts w:cstheme="minorHAnsi"/>
                <w:b/>
              </w:rPr>
              <w:t>4</w:t>
            </w:r>
            <w:r>
              <w:rPr>
                <w:rFonts w:cstheme="minorHAnsi"/>
                <w:b/>
              </w:rPr>
              <w:t>0 000</w:t>
            </w:r>
          </w:p>
        </w:tc>
        <w:tc>
          <w:tcPr>
            <w:tcW w:w="1350" w:type="dxa"/>
          </w:tcPr>
          <w:p w14:paraId="3B012497" w14:textId="14E90309" w:rsidR="000407EA" w:rsidRDefault="00AF502A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A73582">
              <w:rPr>
                <w:rFonts w:cstheme="minorHAnsi"/>
                <w:b/>
              </w:rPr>
              <w:t>18</w:t>
            </w:r>
            <w:r>
              <w:rPr>
                <w:rFonts w:cstheme="minorHAnsi"/>
                <w:b/>
              </w:rPr>
              <w:t>0 000</w:t>
            </w:r>
          </w:p>
        </w:tc>
        <w:tc>
          <w:tcPr>
            <w:tcW w:w="1165" w:type="dxa"/>
          </w:tcPr>
          <w:p w14:paraId="35E58435" w14:textId="5F5153E3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2</w:t>
            </w:r>
            <w:r w:rsidR="00A73582">
              <w:rPr>
                <w:rFonts w:cstheme="minorHAnsi"/>
                <w:b/>
              </w:rPr>
              <w:t>35</w:t>
            </w:r>
            <w:r>
              <w:rPr>
                <w:rFonts w:cstheme="minorHAnsi"/>
                <w:b/>
              </w:rPr>
              <w:t xml:space="preserve"> 000</w:t>
            </w:r>
          </w:p>
        </w:tc>
      </w:tr>
      <w:tr w:rsidR="000407EA" w14:paraId="5AE6E68B" w14:textId="77777777" w:rsidTr="000407EA">
        <w:tc>
          <w:tcPr>
            <w:tcW w:w="4315" w:type="dxa"/>
          </w:tcPr>
          <w:p w14:paraId="43B717F0" w14:textId="77777777" w:rsidR="000407EA" w:rsidRDefault="000407EA" w:rsidP="00DD30BA">
            <w:pPr>
              <w:rPr>
                <w:b/>
              </w:rPr>
            </w:pPr>
            <w:r>
              <w:rPr>
                <w:b/>
              </w:rPr>
              <w:t>All Marketing expenses for period</w:t>
            </w:r>
          </w:p>
        </w:tc>
        <w:tc>
          <w:tcPr>
            <w:tcW w:w="1350" w:type="dxa"/>
          </w:tcPr>
          <w:p w14:paraId="621E38B0" w14:textId="7B7574D0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30 000</w:t>
            </w:r>
          </w:p>
        </w:tc>
        <w:tc>
          <w:tcPr>
            <w:tcW w:w="1260" w:type="dxa"/>
          </w:tcPr>
          <w:p w14:paraId="3C71A45C" w14:textId="19D61328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65 000</w:t>
            </w:r>
          </w:p>
        </w:tc>
        <w:tc>
          <w:tcPr>
            <w:tcW w:w="1350" w:type="dxa"/>
          </w:tcPr>
          <w:p w14:paraId="6EBB30E4" w14:textId="1C38F7C7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120 000</w:t>
            </w:r>
          </w:p>
        </w:tc>
        <w:tc>
          <w:tcPr>
            <w:tcW w:w="1350" w:type="dxa"/>
          </w:tcPr>
          <w:p w14:paraId="1E4F8202" w14:textId="659611A3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150 000</w:t>
            </w:r>
          </w:p>
        </w:tc>
        <w:tc>
          <w:tcPr>
            <w:tcW w:w="1165" w:type="dxa"/>
          </w:tcPr>
          <w:p w14:paraId="6B3B3ED8" w14:textId="7D089B7E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</w:t>
            </w:r>
            <w:r w:rsidR="00A73582">
              <w:rPr>
                <w:rFonts w:cstheme="minorHAnsi"/>
                <w:b/>
              </w:rPr>
              <w:t>7</w:t>
            </w:r>
            <w:r>
              <w:rPr>
                <w:rFonts w:cstheme="minorHAnsi"/>
                <w:b/>
              </w:rPr>
              <w:t>0 000</w:t>
            </w:r>
          </w:p>
        </w:tc>
      </w:tr>
      <w:tr w:rsidR="000407EA" w14:paraId="45FCC677" w14:textId="77777777" w:rsidTr="000407EA">
        <w:tc>
          <w:tcPr>
            <w:tcW w:w="4315" w:type="dxa"/>
          </w:tcPr>
          <w:p w14:paraId="672748EC" w14:textId="77777777" w:rsidR="000407EA" w:rsidRDefault="000407EA" w:rsidP="00DD30BA">
            <w:pPr>
              <w:rPr>
                <w:b/>
              </w:rPr>
            </w:pPr>
            <w:r>
              <w:rPr>
                <w:b/>
              </w:rPr>
              <w:t xml:space="preserve">Total Marketing &amp; Sales expenses for period </w:t>
            </w:r>
          </w:p>
        </w:tc>
        <w:tc>
          <w:tcPr>
            <w:tcW w:w="1350" w:type="dxa"/>
          </w:tcPr>
          <w:p w14:paraId="69256B2F" w14:textId="37158AC0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70 000</w:t>
            </w:r>
          </w:p>
        </w:tc>
        <w:tc>
          <w:tcPr>
            <w:tcW w:w="1260" w:type="dxa"/>
          </w:tcPr>
          <w:p w14:paraId="5B8DE807" w14:textId="3D0EE515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160 000</w:t>
            </w:r>
          </w:p>
        </w:tc>
        <w:tc>
          <w:tcPr>
            <w:tcW w:w="1350" w:type="dxa"/>
          </w:tcPr>
          <w:p w14:paraId="6E0B3B58" w14:textId="3D004698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2</w:t>
            </w:r>
            <w:r w:rsidR="00A73582">
              <w:rPr>
                <w:rFonts w:cstheme="minorHAnsi"/>
                <w:b/>
              </w:rPr>
              <w:t>6</w:t>
            </w:r>
            <w:r>
              <w:rPr>
                <w:rFonts w:cstheme="minorHAnsi"/>
                <w:b/>
              </w:rPr>
              <w:t>0 000</w:t>
            </w:r>
          </w:p>
        </w:tc>
        <w:tc>
          <w:tcPr>
            <w:tcW w:w="1350" w:type="dxa"/>
          </w:tcPr>
          <w:p w14:paraId="3FF080E6" w14:textId="32BD9900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3</w:t>
            </w:r>
            <w:r w:rsidR="00A73582"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>0 000</w:t>
            </w:r>
          </w:p>
        </w:tc>
        <w:tc>
          <w:tcPr>
            <w:tcW w:w="1165" w:type="dxa"/>
          </w:tcPr>
          <w:p w14:paraId="088DE0FC" w14:textId="3E345302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 w:rsidR="00A73582">
              <w:rPr>
                <w:rFonts w:cstheme="minorHAnsi"/>
                <w:b/>
              </w:rPr>
              <w:t>405</w:t>
            </w:r>
            <w:r>
              <w:rPr>
                <w:rFonts w:cstheme="minorHAnsi"/>
                <w:b/>
              </w:rPr>
              <w:t xml:space="preserve"> 000</w:t>
            </w:r>
          </w:p>
        </w:tc>
      </w:tr>
      <w:tr w:rsidR="000407EA" w14:paraId="4A8062E5" w14:textId="77777777" w:rsidTr="000407EA">
        <w:tc>
          <w:tcPr>
            <w:tcW w:w="4315" w:type="dxa"/>
          </w:tcPr>
          <w:p w14:paraId="0D568F70" w14:textId="77777777" w:rsidR="000407EA" w:rsidRDefault="000407EA" w:rsidP="00DD30BA">
            <w:pPr>
              <w:rPr>
                <w:b/>
              </w:rPr>
            </w:pPr>
            <w:r>
              <w:rPr>
                <w:b/>
              </w:rPr>
              <w:t xml:space="preserve">COCA for the period </w:t>
            </w:r>
          </w:p>
        </w:tc>
        <w:tc>
          <w:tcPr>
            <w:tcW w:w="1350" w:type="dxa"/>
          </w:tcPr>
          <w:p w14:paraId="4CC964BF" w14:textId="13882F95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70.00</w:t>
            </w:r>
          </w:p>
        </w:tc>
        <w:tc>
          <w:tcPr>
            <w:tcW w:w="1260" w:type="dxa"/>
          </w:tcPr>
          <w:p w14:paraId="652AE1E7" w14:textId="7494825A" w:rsidR="000407EA" w:rsidRDefault="00DD6E4D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64.00</w:t>
            </w:r>
          </w:p>
        </w:tc>
        <w:tc>
          <w:tcPr>
            <w:tcW w:w="1350" w:type="dxa"/>
          </w:tcPr>
          <w:p w14:paraId="3929580D" w14:textId="7924238D" w:rsidR="000407EA" w:rsidRDefault="00A73582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65.00</w:t>
            </w:r>
          </w:p>
        </w:tc>
        <w:tc>
          <w:tcPr>
            <w:tcW w:w="1350" w:type="dxa"/>
          </w:tcPr>
          <w:p w14:paraId="0223AB3D" w14:textId="21B8F643" w:rsidR="000407EA" w:rsidRDefault="00A73582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55.00</w:t>
            </w:r>
          </w:p>
        </w:tc>
        <w:tc>
          <w:tcPr>
            <w:tcW w:w="1165" w:type="dxa"/>
          </w:tcPr>
          <w:p w14:paraId="2D6D05B3" w14:textId="78D4ECDC" w:rsidR="000407EA" w:rsidRDefault="00A73582" w:rsidP="00DD30BA">
            <w:pPr>
              <w:rPr>
                <w:b/>
              </w:rPr>
            </w:pPr>
            <w:r>
              <w:rPr>
                <w:rFonts w:cstheme="minorHAnsi"/>
                <w:b/>
              </w:rPr>
              <w:t>€</w:t>
            </w:r>
            <w:r>
              <w:rPr>
                <w:rFonts w:cstheme="minorHAnsi"/>
                <w:b/>
              </w:rPr>
              <w:t>45.00</w:t>
            </w:r>
          </w:p>
        </w:tc>
      </w:tr>
    </w:tbl>
    <w:p w14:paraId="5D175E06" w14:textId="77777777" w:rsidR="00DE1B55" w:rsidRDefault="00DE1B55" w:rsidP="001805C2">
      <w:pPr>
        <w:rPr>
          <w:b/>
        </w:rPr>
      </w:pPr>
    </w:p>
    <w:p w14:paraId="60B3D5D6" w14:textId="2F519FC2" w:rsidR="001805C2" w:rsidRPr="00DE1B55" w:rsidRDefault="001805C2" w:rsidP="00BB2452">
      <w:pPr>
        <w:pStyle w:val="Heading3"/>
      </w:pPr>
      <w:r w:rsidRPr="00DE1B55">
        <w:t xml:space="preserve">Convert Estimation into Short, Medium and Long Term </w:t>
      </w:r>
    </w:p>
    <w:p w14:paraId="6E1F545F" w14:textId="77777777" w:rsidR="001D0561" w:rsidRDefault="001805C2" w:rsidP="001805C2">
      <w:pPr>
        <w:ind w:left="1080"/>
      </w:pPr>
      <w:r>
        <w:t>Understanding these numbers are not precise, create a range you are comfortable with for the short, medium and long term (as defined in I(c) above) from the worksheet above.</w:t>
      </w:r>
    </w:p>
    <w:p w14:paraId="42F4B45A" w14:textId="582FAE16" w:rsidR="001805C2" w:rsidRDefault="001805C2" w:rsidP="00BB2452">
      <w:pPr>
        <w:pStyle w:val="ListParagraph"/>
        <w:numPr>
          <w:ilvl w:val="0"/>
          <w:numId w:val="6"/>
        </w:numPr>
      </w:pPr>
      <w:r>
        <w:t>Short Term COCA Range</w:t>
      </w:r>
      <w:r w:rsidR="00A73582">
        <w:t>:</w:t>
      </w:r>
      <w:r>
        <w:t xml:space="preserve"> </w:t>
      </w:r>
      <w:r w:rsidR="00A73582">
        <w:rPr>
          <w:rFonts w:cstheme="minorHAnsi"/>
          <w:b/>
        </w:rPr>
        <w:t>€</w:t>
      </w:r>
      <w:r w:rsidR="00A73582">
        <w:rPr>
          <w:rFonts w:cstheme="minorHAnsi"/>
          <w:b/>
        </w:rPr>
        <w:t>65-</w:t>
      </w:r>
      <w:r w:rsidR="00A73582">
        <w:rPr>
          <w:rFonts w:cstheme="minorHAnsi"/>
          <w:b/>
        </w:rPr>
        <w:t>€</w:t>
      </w:r>
      <w:r w:rsidR="00A73582">
        <w:rPr>
          <w:rFonts w:cstheme="minorHAnsi"/>
          <w:b/>
        </w:rPr>
        <w:t>75</w:t>
      </w:r>
    </w:p>
    <w:p w14:paraId="40B7B3A4" w14:textId="285E87C2" w:rsidR="001805C2" w:rsidRDefault="001805C2" w:rsidP="00BB2452">
      <w:pPr>
        <w:pStyle w:val="ListParagraph"/>
        <w:numPr>
          <w:ilvl w:val="0"/>
          <w:numId w:val="6"/>
        </w:numPr>
      </w:pPr>
      <w:r>
        <w:t>Medium Term COCA Range</w:t>
      </w:r>
      <w:r w:rsidR="00A73582">
        <w:t>:</w:t>
      </w:r>
      <w:r>
        <w:t xml:space="preserve"> </w:t>
      </w:r>
      <w:r w:rsidR="00A73582">
        <w:rPr>
          <w:rFonts w:cstheme="minorHAnsi"/>
          <w:b/>
        </w:rPr>
        <w:t>€</w:t>
      </w:r>
      <w:r w:rsidR="00A73582">
        <w:rPr>
          <w:rFonts w:cstheme="minorHAnsi"/>
          <w:b/>
        </w:rPr>
        <w:t>60-</w:t>
      </w:r>
      <w:r w:rsidR="00A73582">
        <w:rPr>
          <w:rFonts w:cstheme="minorHAnsi"/>
          <w:b/>
        </w:rPr>
        <w:t>€</w:t>
      </w:r>
      <w:r w:rsidR="00A73582">
        <w:rPr>
          <w:rFonts w:cstheme="minorHAnsi"/>
          <w:b/>
        </w:rPr>
        <w:t>70</w:t>
      </w:r>
    </w:p>
    <w:p w14:paraId="62737756" w14:textId="4723D618" w:rsidR="001805C2" w:rsidRDefault="001805C2" w:rsidP="00BB2452">
      <w:pPr>
        <w:pStyle w:val="ListParagraph"/>
        <w:numPr>
          <w:ilvl w:val="0"/>
          <w:numId w:val="6"/>
        </w:numPr>
      </w:pPr>
      <w:r>
        <w:t>Long Term (steady state) COCA Range</w:t>
      </w:r>
      <w:r w:rsidR="00A73582">
        <w:t>:</w:t>
      </w:r>
      <w:r>
        <w:t xml:space="preserve"> </w:t>
      </w:r>
      <w:r w:rsidR="00A73582">
        <w:rPr>
          <w:rFonts w:cstheme="minorHAnsi"/>
          <w:b/>
        </w:rPr>
        <w:t>€</w:t>
      </w:r>
      <w:r w:rsidR="00A73582">
        <w:rPr>
          <w:rFonts w:cstheme="minorHAnsi"/>
          <w:b/>
        </w:rPr>
        <w:t>45-</w:t>
      </w:r>
      <w:r w:rsidR="00A73582">
        <w:rPr>
          <w:rFonts w:cstheme="minorHAnsi"/>
          <w:b/>
        </w:rPr>
        <w:t>€</w:t>
      </w:r>
      <w:r w:rsidR="00A73582">
        <w:rPr>
          <w:rFonts w:cstheme="minorHAnsi"/>
          <w:b/>
        </w:rPr>
        <w:t>55</w:t>
      </w:r>
    </w:p>
    <w:p w14:paraId="02B61981" w14:textId="77777777" w:rsidR="001805C2" w:rsidRDefault="001805C2" w:rsidP="007216C7"/>
    <w:p w14:paraId="1EFD15A0" w14:textId="77777777" w:rsidR="00A02633" w:rsidRDefault="00A02633" w:rsidP="007216C7">
      <w:r>
        <w:br w:type="page"/>
      </w:r>
    </w:p>
    <w:p w14:paraId="6E335199" w14:textId="77777777" w:rsidR="001805C2" w:rsidRPr="0006057D" w:rsidRDefault="001805C2" w:rsidP="007216C7"/>
    <w:p w14:paraId="3903AF53" w14:textId="77777777" w:rsidR="003F2602" w:rsidRDefault="003F2602" w:rsidP="00BB2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1710"/>
        <w:gridCol w:w="3960"/>
        <w:gridCol w:w="2875"/>
      </w:tblGrid>
      <w:tr w:rsidR="00983F7B" w14:paraId="4D22DD49" w14:textId="77777777" w:rsidTr="006D2BF1">
        <w:tc>
          <w:tcPr>
            <w:tcW w:w="7915" w:type="dxa"/>
            <w:gridSpan w:val="4"/>
          </w:tcPr>
          <w:p w14:paraId="5D69DC51" w14:textId="1E63A102" w:rsidR="00983F7B" w:rsidRPr="00983F7B" w:rsidRDefault="00DE1B55" w:rsidP="00983F7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Key Drivers of COCA and Ways to Decrease It</w:t>
            </w:r>
          </w:p>
        </w:tc>
        <w:tc>
          <w:tcPr>
            <w:tcW w:w="2875" w:type="dxa"/>
          </w:tcPr>
          <w:p w14:paraId="4135EF1C" w14:textId="77777777" w:rsidR="00983F7B" w:rsidRDefault="00983F7B" w:rsidP="00983F7B"/>
        </w:tc>
      </w:tr>
      <w:tr w:rsidR="00983F7B" w:rsidRPr="006D2BF1" w14:paraId="3B1EFBFD" w14:textId="77777777" w:rsidTr="006D2BF1">
        <w:tc>
          <w:tcPr>
            <w:tcW w:w="445" w:type="dxa"/>
          </w:tcPr>
          <w:p w14:paraId="4D902ABC" w14:textId="77777777" w:rsidR="00983F7B" w:rsidRPr="006D2BF1" w:rsidRDefault="00983F7B" w:rsidP="00983F7B">
            <w:pPr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#</w:t>
            </w:r>
          </w:p>
        </w:tc>
        <w:tc>
          <w:tcPr>
            <w:tcW w:w="1800" w:type="dxa"/>
          </w:tcPr>
          <w:p w14:paraId="2EC459BF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Item</w:t>
            </w:r>
          </w:p>
        </w:tc>
        <w:tc>
          <w:tcPr>
            <w:tcW w:w="1710" w:type="dxa"/>
          </w:tcPr>
          <w:p w14:paraId="3DB3B9FF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Effect</w:t>
            </w:r>
          </w:p>
        </w:tc>
        <w:tc>
          <w:tcPr>
            <w:tcW w:w="3960" w:type="dxa"/>
          </w:tcPr>
          <w:p w14:paraId="32F33BA9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Action Possible to Decrease</w:t>
            </w:r>
          </w:p>
        </w:tc>
        <w:tc>
          <w:tcPr>
            <w:tcW w:w="2875" w:type="dxa"/>
          </w:tcPr>
          <w:p w14:paraId="38449BEF" w14:textId="77777777" w:rsidR="00983F7B" w:rsidRPr="006D2BF1" w:rsidRDefault="00983F7B" w:rsidP="00983F7B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Risk</w:t>
            </w:r>
          </w:p>
        </w:tc>
      </w:tr>
      <w:tr w:rsidR="00983F7B" w14:paraId="14870C13" w14:textId="77777777" w:rsidTr="006D2BF1">
        <w:tc>
          <w:tcPr>
            <w:tcW w:w="445" w:type="dxa"/>
          </w:tcPr>
          <w:p w14:paraId="2EB5DC6C" w14:textId="77777777" w:rsidR="00983F7B" w:rsidRDefault="00983F7B" w:rsidP="00983F7B">
            <w:r>
              <w:t>1</w:t>
            </w:r>
          </w:p>
        </w:tc>
        <w:tc>
          <w:tcPr>
            <w:tcW w:w="1800" w:type="dxa"/>
          </w:tcPr>
          <w:p w14:paraId="5630A235" w14:textId="4E9E8DA1" w:rsidR="006D2BF1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Paid Social Advertising</w:t>
            </w:r>
          </w:p>
          <w:p w14:paraId="22CB9CEE" w14:textId="77777777" w:rsidR="006D2BF1" w:rsidRPr="00A73582" w:rsidRDefault="006D2BF1" w:rsidP="00983F7B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7850097C" w14:textId="52928ED4" w:rsidR="00983F7B" w:rsidRPr="00A73582" w:rsidRDefault="00A73582" w:rsidP="006D2BF1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High</w:t>
            </w:r>
          </w:p>
        </w:tc>
        <w:tc>
          <w:tcPr>
            <w:tcW w:w="3960" w:type="dxa"/>
          </w:tcPr>
          <w:p w14:paraId="3188CEA3" w14:textId="6152ACD5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Improve organic content &amp; SEO to reduce dependency</w:t>
            </w:r>
          </w:p>
        </w:tc>
        <w:tc>
          <w:tcPr>
            <w:tcW w:w="2875" w:type="dxa"/>
          </w:tcPr>
          <w:p w14:paraId="686C0EF7" w14:textId="1C1E77E2" w:rsidR="00983F7B" w:rsidRPr="00A73582" w:rsidRDefault="00A73582" w:rsidP="006D2BF1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Medium – organic takes time to rank</w:t>
            </w:r>
          </w:p>
        </w:tc>
      </w:tr>
      <w:tr w:rsidR="00983F7B" w14:paraId="35714B9E" w14:textId="77777777" w:rsidTr="006D2BF1">
        <w:tc>
          <w:tcPr>
            <w:tcW w:w="445" w:type="dxa"/>
          </w:tcPr>
          <w:p w14:paraId="1BE6EF6D" w14:textId="77777777" w:rsidR="00983F7B" w:rsidRDefault="00983F7B" w:rsidP="00983F7B">
            <w:r>
              <w:t>2</w:t>
            </w:r>
          </w:p>
        </w:tc>
        <w:tc>
          <w:tcPr>
            <w:tcW w:w="1800" w:type="dxa"/>
          </w:tcPr>
          <w:p w14:paraId="057BD6C2" w14:textId="02DBCD81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Inside Sales Team Size</w:t>
            </w:r>
          </w:p>
          <w:p w14:paraId="7AEA7FC1" w14:textId="77777777" w:rsidR="006D2BF1" w:rsidRPr="00A73582" w:rsidRDefault="006D2BF1" w:rsidP="00983F7B">
            <w:pPr>
              <w:rPr>
                <w:b/>
                <w:bCs/>
              </w:rPr>
            </w:pPr>
          </w:p>
          <w:p w14:paraId="1134008F" w14:textId="77777777" w:rsidR="006D2BF1" w:rsidRPr="00A73582" w:rsidRDefault="006D2BF1" w:rsidP="00983F7B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130621BA" w14:textId="662E7D27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Medium</w:t>
            </w:r>
          </w:p>
        </w:tc>
        <w:tc>
          <w:tcPr>
            <w:tcW w:w="3960" w:type="dxa"/>
          </w:tcPr>
          <w:p w14:paraId="6D48A3C0" w14:textId="06765411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Implement automated chat + self-serve conversion tools</w:t>
            </w:r>
          </w:p>
        </w:tc>
        <w:tc>
          <w:tcPr>
            <w:tcW w:w="2875" w:type="dxa"/>
          </w:tcPr>
          <w:p w14:paraId="16BEEC05" w14:textId="602FB836" w:rsidR="00983F7B" w:rsidRPr="00A73582" w:rsidRDefault="00A73582" w:rsidP="006D2BF1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Low – customers are adapting to self-service</w:t>
            </w:r>
          </w:p>
        </w:tc>
      </w:tr>
      <w:tr w:rsidR="00983F7B" w14:paraId="16A0C8EA" w14:textId="77777777" w:rsidTr="006D2BF1">
        <w:tc>
          <w:tcPr>
            <w:tcW w:w="445" w:type="dxa"/>
          </w:tcPr>
          <w:p w14:paraId="566EB108" w14:textId="77777777" w:rsidR="00983F7B" w:rsidRDefault="00983F7B" w:rsidP="00983F7B">
            <w:r>
              <w:t>3</w:t>
            </w:r>
          </w:p>
        </w:tc>
        <w:tc>
          <w:tcPr>
            <w:tcW w:w="1800" w:type="dxa"/>
          </w:tcPr>
          <w:p w14:paraId="6F8A686E" w14:textId="4988DCB8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Influencer Partnerships</w:t>
            </w:r>
          </w:p>
          <w:p w14:paraId="2BD52CB6" w14:textId="77777777" w:rsidR="006D2BF1" w:rsidRPr="00A73582" w:rsidRDefault="006D2BF1" w:rsidP="00983F7B">
            <w:pPr>
              <w:rPr>
                <w:b/>
                <w:bCs/>
              </w:rPr>
            </w:pPr>
          </w:p>
          <w:p w14:paraId="2C21198F" w14:textId="77777777" w:rsidR="006D2BF1" w:rsidRPr="00A73582" w:rsidRDefault="006D2BF1" w:rsidP="00983F7B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0CDE5BD1" w14:textId="4CA1957F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Medium</w:t>
            </w:r>
          </w:p>
        </w:tc>
        <w:tc>
          <w:tcPr>
            <w:tcW w:w="3960" w:type="dxa"/>
          </w:tcPr>
          <w:p w14:paraId="497524BC" w14:textId="1D65D0B8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Shift toward affiliate-based performance pay</w:t>
            </w:r>
          </w:p>
        </w:tc>
        <w:tc>
          <w:tcPr>
            <w:tcW w:w="2875" w:type="dxa"/>
          </w:tcPr>
          <w:p w14:paraId="2E0F28E6" w14:textId="4701CF81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Medium – variable quality of affiliates</w:t>
            </w:r>
          </w:p>
        </w:tc>
      </w:tr>
      <w:tr w:rsidR="00983F7B" w14:paraId="1C750D35" w14:textId="77777777" w:rsidTr="006D2BF1">
        <w:tc>
          <w:tcPr>
            <w:tcW w:w="445" w:type="dxa"/>
          </w:tcPr>
          <w:p w14:paraId="314865D1" w14:textId="77777777" w:rsidR="00983F7B" w:rsidRDefault="00983F7B" w:rsidP="00983F7B">
            <w:r>
              <w:t>4</w:t>
            </w:r>
          </w:p>
        </w:tc>
        <w:tc>
          <w:tcPr>
            <w:tcW w:w="1800" w:type="dxa"/>
          </w:tcPr>
          <w:p w14:paraId="05D275F8" w14:textId="42F34862" w:rsidR="006D2BF1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 xml:space="preserve">CRM Tooling </w:t>
            </w:r>
            <w:r w:rsidRPr="00A73582">
              <w:rPr>
                <w:b/>
                <w:bCs/>
              </w:rPr>
              <w:t>and</w:t>
            </w:r>
            <w:r w:rsidRPr="00A73582">
              <w:rPr>
                <w:b/>
                <w:bCs/>
              </w:rPr>
              <w:t xml:space="preserve"> Sales Software</w:t>
            </w:r>
            <w:r w:rsidRPr="00A73582">
              <w:rPr>
                <w:b/>
                <w:bCs/>
              </w:rPr>
              <w:tab/>
            </w:r>
          </w:p>
          <w:p w14:paraId="76300CA6" w14:textId="77777777" w:rsidR="00A73582" w:rsidRPr="00A73582" w:rsidRDefault="00A73582" w:rsidP="00983F7B">
            <w:pPr>
              <w:rPr>
                <w:b/>
                <w:bCs/>
              </w:rPr>
            </w:pPr>
          </w:p>
          <w:p w14:paraId="760457F9" w14:textId="77777777" w:rsidR="006D2BF1" w:rsidRPr="00A73582" w:rsidRDefault="006D2BF1" w:rsidP="00983F7B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1FAFE418" w14:textId="01D5F22B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Low</w:t>
            </w:r>
          </w:p>
        </w:tc>
        <w:tc>
          <w:tcPr>
            <w:tcW w:w="3960" w:type="dxa"/>
          </w:tcPr>
          <w:p w14:paraId="39CE3147" w14:textId="7A586C1B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Consolidate platforms and negotiate tool licenses</w:t>
            </w:r>
            <w:r w:rsidRPr="00A73582">
              <w:rPr>
                <w:b/>
                <w:bCs/>
              </w:rPr>
              <w:tab/>
            </w:r>
          </w:p>
        </w:tc>
        <w:tc>
          <w:tcPr>
            <w:tcW w:w="2875" w:type="dxa"/>
          </w:tcPr>
          <w:p w14:paraId="3645525A" w14:textId="148008BE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Low – careful migration required</w:t>
            </w:r>
          </w:p>
        </w:tc>
      </w:tr>
      <w:tr w:rsidR="00983F7B" w14:paraId="69F7BD44" w14:textId="77777777" w:rsidTr="006D2BF1">
        <w:tc>
          <w:tcPr>
            <w:tcW w:w="445" w:type="dxa"/>
          </w:tcPr>
          <w:p w14:paraId="51885ACF" w14:textId="77777777" w:rsidR="00983F7B" w:rsidRDefault="00983F7B" w:rsidP="00983F7B">
            <w:r>
              <w:t>5</w:t>
            </w:r>
          </w:p>
        </w:tc>
        <w:tc>
          <w:tcPr>
            <w:tcW w:w="1800" w:type="dxa"/>
          </w:tcPr>
          <w:p w14:paraId="771085A5" w14:textId="59CC32DE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 xml:space="preserve">Webinars </w:t>
            </w:r>
            <w:r w:rsidRPr="00A73582">
              <w:rPr>
                <w:b/>
                <w:bCs/>
              </w:rPr>
              <w:t>and</w:t>
            </w:r>
            <w:r w:rsidRPr="00A73582">
              <w:rPr>
                <w:b/>
                <w:bCs/>
              </w:rPr>
              <w:t xml:space="preserve"> Virtual Events</w:t>
            </w:r>
          </w:p>
          <w:p w14:paraId="4FE411F6" w14:textId="77777777" w:rsidR="006D2BF1" w:rsidRPr="00A73582" w:rsidRDefault="006D2BF1" w:rsidP="00983F7B">
            <w:pPr>
              <w:rPr>
                <w:b/>
                <w:bCs/>
              </w:rPr>
            </w:pPr>
          </w:p>
          <w:p w14:paraId="7B91F07E" w14:textId="77777777" w:rsidR="006D2BF1" w:rsidRPr="00A73582" w:rsidRDefault="006D2BF1" w:rsidP="00983F7B">
            <w:pPr>
              <w:rPr>
                <w:b/>
                <w:bCs/>
              </w:rPr>
            </w:pPr>
          </w:p>
        </w:tc>
        <w:tc>
          <w:tcPr>
            <w:tcW w:w="1710" w:type="dxa"/>
          </w:tcPr>
          <w:p w14:paraId="28C401B8" w14:textId="03512A34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Low</w:t>
            </w:r>
          </w:p>
        </w:tc>
        <w:tc>
          <w:tcPr>
            <w:tcW w:w="3960" w:type="dxa"/>
          </w:tcPr>
          <w:p w14:paraId="0282B1B6" w14:textId="1B916991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Use recorded evergreen content instead of live formats</w:t>
            </w:r>
          </w:p>
        </w:tc>
        <w:tc>
          <w:tcPr>
            <w:tcW w:w="2875" w:type="dxa"/>
          </w:tcPr>
          <w:p w14:paraId="6AE839A1" w14:textId="4BC19079" w:rsidR="00983F7B" w:rsidRPr="00A73582" w:rsidRDefault="00A73582" w:rsidP="00983F7B">
            <w:pPr>
              <w:rPr>
                <w:b/>
                <w:bCs/>
              </w:rPr>
            </w:pPr>
            <w:r w:rsidRPr="00A73582">
              <w:rPr>
                <w:b/>
                <w:bCs/>
              </w:rPr>
              <w:t>Low – may reduce real-time engagement slightly</w:t>
            </w:r>
          </w:p>
        </w:tc>
      </w:tr>
    </w:tbl>
    <w:p w14:paraId="6024BA22" w14:textId="77777777" w:rsidR="00983F7B" w:rsidRDefault="00983F7B" w:rsidP="00983F7B"/>
    <w:p w14:paraId="7C05A1C9" w14:textId="1448B953" w:rsidR="00983F7B" w:rsidRDefault="006D623D" w:rsidP="00983F7B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800"/>
        <w:gridCol w:w="1710"/>
        <w:gridCol w:w="3960"/>
        <w:gridCol w:w="2875"/>
      </w:tblGrid>
      <w:tr w:rsidR="006D2BF1" w14:paraId="68B4B898" w14:textId="77777777" w:rsidTr="00D57114">
        <w:tc>
          <w:tcPr>
            <w:tcW w:w="7915" w:type="dxa"/>
            <w:gridSpan w:val="4"/>
          </w:tcPr>
          <w:p w14:paraId="7F1C8A63" w14:textId="6F247B2D" w:rsidR="006D2BF1" w:rsidRPr="00983F7B" w:rsidRDefault="006D623D" w:rsidP="00D57114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Example</w:t>
            </w:r>
            <w:proofErr w:type="gramStart"/>
            <w:r>
              <w:rPr>
                <w:b/>
                <w:sz w:val="28"/>
                <w:u w:val="single"/>
              </w:rPr>
              <w:t>:</w:t>
            </w:r>
            <w:r w:rsidR="006D2BF1" w:rsidRPr="00983F7B">
              <w:rPr>
                <w:b/>
                <w:sz w:val="28"/>
                <w:u w:val="single"/>
              </w:rPr>
              <w:t xml:space="preserve">  </w:t>
            </w:r>
            <w:r w:rsidR="00DE1B55">
              <w:rPr>
                <w:b/>
                <w:sz w:val="28"/>
                <w:u w:val="single"/>
              </w:rPr>
              <w:t>Key</w:t>
            </w:r>
            <w:proofErr w:type="gramEnd"/>
            <w:r w:rsidR="00DE1B55">
              <w:rPr>
                <w:b/>
                <w:sz w:val="28"/>
                <w:u w:val="single"/>
              </w:rPr>
              <w:t xml:space="preserve"> Drivers of COCA and Ways to Decrease It</w:t>
            </w:r>
          </w:p>
        </w:tc>
        <w:tc>
          <w:tcPr>
            <w:tcW w:w="2875" w:type="dxa"/>
          </w:tcPr>
          <w:p w14:paraId="04F5E73D" w14:textId="77777777" w:rsidR="006D2BF1" w:rsidRDefault="006D2BF1" w:rsidP="00D57114"/>
        </w:tc>
      </w:tr>
      <w:tr w:rsidR="006D2BF1" w:rsidRPr="006D2BF1" w14:paraId="5CC2F569" w14:textId="77777777" w:rsidTr="00D57114">
        <w:tc>
          <w:tcPr>
            <w:tcW w:w="445" w:type="dxa"/>
          </w:tcPr>
          <w:p w14:paraId="781A8A37" w14:textId="77777777" w:rsidR="006D2BF1" w:rsidRPr="006D2BF1" w:rsidRDefault="006D2BF1" w:rsidP="00D57114">
            <w:pPr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#</w:t>
            </w:r>
          </w:p>
        </w:tc>
        <w:tc>
          <w:tcPr>
            <w:tcW w:w="1800" w:type="dxa"/>
          </w:tcPr>
          <w:p w14:paraId="2D354882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Item</w:t>
            </w:r>
          </w:p>
        </w:tc>
        <w:tc>
          <w:tcPr>
            <w:tcW w:w="1710" w:type="dxa"/>
          </w:tcPr>
          <w:p w14:paraId="702B65AF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Effect</w:t>
            </w:r>
          </w:p>
        </w:tc>
        <w:tc>
          <w:tcPr>
            <w:tcW w:w="3960" w:type="dxa"/>
          </w:tcPr>
          <w:p w14:paraId="4BE8EF32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Action Possible to Decrease</w:t>
            </w:r>
          </w:p>
        </w:tc>
        <w:tc>
          <w:tcPr>
            <w:tcW w:w="2875" w:type="dxa"/>
          </w:tcPr>
          <w:p w14:paraId="422D3E7C" w14:textId="77777777" w:rsidR="006D2BF1" w:rsidRPr="006D2BF1" w:rsidRDefault="006D2BF1" w:rsidP="00D57114">
            <w:pPr>
              <w:jc w:val="center"/>
              <w:rPr>
                <w:b/>
                <w:u w:val="single"/>
              </w:rPr>
            </w:pPr>
            <w:r w:rsidRPr="006D2BF1">
              <w:rPr>
                <w:b/>
                <w:u w:val="single"/>
              </w:rPr>
              <w:t>Risk</w:t>
            </w:r>
          </w:p>
        </w:tc>
      </w:tr>
      <w:tr w:rsidR="006D2BF1" w14:paraId="1D55A37F" w14:textId="77777777" w:rsidTr="00D57114">
        <w:tc>
          <w:tcPr>
            <w:tcW w:w="445" w:type="dxa"/>
          </w:tcPr>
          <w:p w14:paraId="3E4D993B" w14:textId="77777777" w:rsidR="006D2BF1" w:rsidRDefault="006D2BF1" w:rsidP="00D57114">
            <w:r>
              <w:t>1</w:t>
            </w:r>
          </w:p>
        </w:tc>
        <w:tc>
          <w:tcPr>
            <w:tcW w:w="1800" w:type="dxa"/>
          </w:tcPr>
          <w:p w14:paraId="41FC4F57" w14:textId="77777777" w:rsidR="006D2BF1" w:rsidRDefault="006D2BF1" w:rsidP="00D57114">
            <w:r>
              <w:t xml:space="preserve">Field Sales </w:t>
            </w:r>
          </w:p>
        </w:tc>
        <w:tc>
          <w:tcPr>
            <w:tcW w:w="1710" w:type="dxa"/>
          </w:tcPr>
          <w:p w14:paraId="077C8D75" w14:textId="77777777" w:rsidR="006D2BF1" w:rsidRDefault="006D2BF1" w:rsidP="00D57114">
            <w:r>
              <w:t xml:space="preserve">High </w:t>
            </w:r>
          </w:p>
        </w:tc>
        <w:tc>
          <w:tcPr>
            <w:tcW w:w="3960" w:type="dxa"/>
          </w:tcPr>
          <w:p w14:paraId="504B749B" w14:textId="77777777" w:rsidR="006D2BF1" w:rsidRDefault="006D2BF1" w:rsidP="00D57114">
            <w:r>
              <w:t xml:space="preserve">Decrease number and increase Inside sales </w:t>
            </w:r>
          </w:p>
        </w:tc>
        <w:tc>
          <w:tcPr>
            <w:tcW w:w="2875" w:type="dxa"/>
          </w:tcPr>
          <w:p w14:paraId="79C53380" w14:textId="77777777" w:rsidR="006D2BF1" w:rsidRDefault="006D2BF1" w:rsidP="00D57114">
            <w:r>
              <w:t xml:space="preserve">High in short term – need to see how market adopts product; lack of direct </w:t>
            </w:r>
            <w:proofErr w:type="gramStart"/>
            <w:r>
              <w:t>sales people</w:t>
            </w:r>
            <w:proofErr w:type="gramEnd"/>
            <w:r>
              <w:t xml:space="preserve"> will </w:t>
            </w:r>
            <w:proofErr w:type="gramStart"/>
            <w:r>
              <w:t>definitely slow</w:t>
            </w:r>
            <w:proofErr w:type="gramEnd"/>
            <w:r>
              <w:t xml:space="preserve"> adoption</w:t>
            </w:r>
          </w:p>
        </w:tc>
      </w:tr>
      <w:tr w:rsidR="006D2BF1" w14:paraId="35440170" w14:textId="77777777" w:rsidTr="00D57114">
        <w:tc>
          <w:tcPr>
            <w:tcW w:w="445" w:type="dxa"/>
          </w:tcPr>
          <w:p w14:paraId="796E0B7C" w14:textId="77777777" w:rsidR="006D2BF1" w:rsidRDefault="006D2BF1" w:rsidP="00D57114">
            <w:r>
              <w:t>2</w:t>
            </w:r>
          </w:p>
        </w:tc>
        <w:tc>
          <w:tcPr>
            <w:tcW w:w="1800" w:type="dxa"/>
          </w:tcPr>
          <w:p w14:paraId="0DBB97C6" w14:textId="77777777" w:rsidR="006D2BF1" w:rsidRDefault="006D2BF1" w:rsidP="00D57114">
            <w:r>
              <w:t>Field Sales internationally</w:t>
            </w:r>
          </w:p>
        </w:tc>
        <w:tc>
          <w:tcPr>
            <w:tcW w:w="1710" w:type="dxa"/>
          </w:tcPr>
          <w:p w14:paraId="70BA46FE" w14:textId="77777777" w:rsidR="006D2BF1" w:rsidRDefault="006D2BF1" w:rsidP="00D57114">
            <w:r>
              <w:t>High</w:t>
            </w:r>
          </w:p>
        </w:tc>
        <w:tc>
          <w:tcPr>
            <w:tcW w:w="3960" w:type="dxa"/>
          </w:tcPr>
          <w:p w14:paraId="354263BA" w14:textId="4C86B803" w:rsidR="006D2BF1" w:rsidRDefault="006D2BF1" w:rsidP="00DE1B55">
            <w:r>
              <w:t xml:space="preserve">Use </w:t>
            </w:r>
            <w:r w:rsidR="00DE1B55">
              <w:t>third-party resellers</w:t>
            </w:r>
          </w:p>
        </w:tc>
        <w:tc>
          <w:tcPr>
            <w:tcW w:w="2875" w:type="dxa"/>
          </w:tcPr>
          <w:p w14:paraId="4EF8AE50" w14:textId="77777777" w:rsidR="006D2BF1" w:rsidRDefault="006D2BF1" w:rsidP="00D57114">
            <w:r>
              <w:t>Low in short term/High in long term because we don’t have direct connection with customers</w:t>
            </w:r>
          </w:p>
        </w:tc>
      </w:tr>
      <w:tr w:rsidR="006D2BF1" w14:paraId="6290232C" w14:textId="77777777" w:rsidTr="00D57114">
        <w:tc>
          <w:tcPr>
            <w:tcW w:w="445" w:type="dxa"/>
          </w:tcPr>
          <w:p w14:paraId="0CF7FF61" w14:textId="77777777" w:rsidR="006D2BF1" w:rsidRDefault="006D2BF1" w:rsidP="00D57114">
            <w:r>
              <w:t>3</w:t>
            </w:r>
          </w:p>
        </w:tc>
        <w:tc>
          <w:tcPr>
            <w:tcW w:w="1800" w:type="dxa"/>
          </w:tcPr>
          <w:p w14:paraId="210CEFFA" w14:textId="77777777" w:rsidR="006D2BF1" w:rsidRDefault="006D2BF1" w:rsidP="00D57114">
            <w:r>
              <w:t>Advertising Budget</w:t>
            </w:r>
          </w:p>
        </w:tc>
        <w:tc>
          <w:tcPr>
            <w:tcW w:w="1710" w:type="dxa"/>
          </w:tcPr>
          <w:p w14:paraId="085F0518" w14:textId="77777777" w:rsidR="006D2BF1" w:rsidRDefault="006D2BF1" w:rsidP="00D57114">
            <w:r>
              <w:t>Medium</w:t>
            </w:r>
          </w:p>
        </w:tc>
        <w:tc>
          <w:tcPr>
            <w:tcW w:w="3960" w:type="dxa"/>
          </w:tcPr>
          <w:p w14:paraId="405310D5" w14:textId="674E2514" w:rsidR="006D2BF1" w:rsidRDefault="006D2BF1" w:rsidP="00DE1B55">
            <w:r>
              <w:t xml:space="preserve">Build up </w:t>
            </w:r>
            <w:r w:rsidR="00DE1B55">
              <w:t>in-</w:t>
            </w:r>
            <w:r>
              <w:t>house social media and other capability</w:t>
            </w:r>
          </w:p>
        </w:tc>
        <w:tc>
          <w:tcPr>
            <w:tcW w:w="2875" w:type="dxa"/>
          </w:tcPr>
          <w:p w14:paraId="4DB98E2D" w14:textId="77777777" w:rsidR="006D2BF1" w:rsidRDefault="006D2BF1" w:rsidP="00D57114">
            <w:r>
              <w:t>Medium but probably worth it in long term</w:t>
            </w:r>
          </w:p>
        </w:tc>
      </w:tr>
      <w:tr w:rsidR="006D2BF1" w14:paraId="0374343B" w14:textId="77777777" w:rsidTr="00D57114">
        <w:tc>
          <w:tcPr>
            <w:tcW w:w="445" w:type="dxa"/>
          </w:tcPr>
          <w:p w14:paraId="4EA22C1F" w14:textId="77777777" w:rsidR="006D2BF1" w:rsidRDefault="006D2BF1" w:rsidP="00D57114">
            <w:r>
              <w:t>4</w:t>
            </w:r>
          </w:p>
        </w:tc>
        <w:tc>
          <w:tcPr>
            <w:tcW w:w="1800" w:type="dxa"/>
          </w:tcPr>
          <w:p w14:paraId="3E8372A2" w14:textId="77777777" w:rsidR="006D2BF1" w:rsidRDefault="006D2BF1" w:rsidP="00D57114">
            <w:r>
              <w:t xml:space="preserve">Field and Inside Sales </w:t>
            </w:r>
          </w:p>
        </w:tc>
        <w:tc>
          <w:tcPr>
            <w:tcW w:w="1710" w:type="dxa"/>
          </w:tcPr>
          <w:p w14:paraId="53D194BB" w14:textId="77777777" w:rsidR="006D2BF1" w:rsidRDefault="006D2BF1" w:rsidP="00D57114">
            <w:r>
              <w:t>Medium</w:t>
            </w:r>
          </w:p>
        </w:tc>
        <w:tc>
          <w:tcPr>
            <w:tcW w:w="3960" w:type="dxa"/>
          </w:tcPr>
          <w:p w14:paraId="2A43A8A5" w14:textId="3BF14FE0" w:rsidR="006D2BF1" w:rsidRDefault="006D2BF1" w:rsidP="00DE1B55">
            <w:r>
              <w:t xml:space="preserve">Supplement and reduce numbers with stronger Internet </w:t>
            </w:r>
            <w:r w:rsidR="00DE1B55">
              <w:t xml:space="preserve">sales </w:t>
            </w:r>
            <w:r>
              <w:t>investment</w:t>
            </w:r>
          </w:p>
        </w:tc>
        <w:tc>
          <w:tcPr>
            <w:tcW w:w="2875" w:type="dxa"/>
          </w:tcPr>
          <w:p w14:paraId="00A98C33" w14:textId="77777777" w:rsidR="006D2BF1" w:rsidRDefault="006D2BF1" w:rsidP="00D57114">
            <w:r>
              <w:t>Medium in short term and if works, low in long term</w:t>
            </w:r>
          </w:p>
        </w:tc>
      </w:tr>
      <w:tr w:rsidR="006D2BF1" w14:paraId="6402926F" w14:textId="77777777" w:rsidTr="00D57114">
        <w:tc>
          <w:tcPr>
            <w:tcW w:w="445" w:type="dxa"/>
          </w:tcPr>
          <w:p w14:paraId="1C047BA7" w14:textId="77777777" w:rsidR="006D2BF1" w:rsidRDefault="006D2BF1" w:rsidP="00D57114">
            <w:r>
              <w:t>5</w:t>
            </w:r>
          </w:p>
        </w:tc>
        <w:tc>
          <w:tcPr>
            <w:tcW w:w="1800" w:type="dxa"/>
          </w:tcPr>
          <w:p w14:paraId="730867D3" w14:textId="77777777" w:rsidR="006D2BF1" w:rsidRDefault="006D2BF1" w:rsidP="00D57114">
            <w:r>
              <w:t>Tradeshows</w:t>
            </w:r>
          </w:p>
        </w:tc>
        <w:tc>
          <w:tcPr>
            <w:tcW w:w="1710" w:type="dxa"/>
          </w:tcPr>
          <w:p w14:paraId="2484065F" w14:textId="77777777" w:rsidR="006D2BF1" w:rsidRDefault="006D2BF1" w:rsidP="00D57114">
            <w:r>
              <w:t>Medium</w:t>
            </w:r>
          </w:p>
        </w:tc>
        <w:tc>
          <w:tcPr>
            <w:tcW w:w="3960" w:type="dxa"/>
          </w:tcPr>
          <w:p w14:paraId="77F53E5A" w14:textId="77777777" w:rsidR="006D2BF1" w:rsidRDefault="006D2BF1" w:rsidP="00D57114">
            <w:r>
              <w:t>Eliminate and find a guerilla market approach at 10% of expense</w:t>
            </w:r>
          </w:p>
        </w:tc>
        <w:tc>
          <w:tcPr>
            <w:tcW w:w="2875" w:type="dxa"/>
          </w:tcPr>
          <w:p w14:paraId="16660CB7" w14:textId="77777777" w:rsidR="006D2BF1" w:rsidRDefault="006D2BF1" w:rsidP="00D57114">
            <w:r>
              <w:t>Medium in that our customers expect us to be at these shows and it gives our company credibility; Still something can probably be done here</w:t>
            </w:r>
          </w:p>
        </w:tc>
      </w:tr>
    </w:tbl>
    <w:p w14:paraId="3F6E0C37" w14:textId="42A6AE63" w:rsidR="00513415" w:rsidRDefault="00A02633" w:rsidP="00A73582">
      <w:r>
        <w:br w:type="page"/>
      </w:r>
    </w:p>
    <w:p w14:paraId="7BD7776A" w14:textId="56C1A0A5" w:rsidR="00B30B8C" w:rsidRPr="000D3E0B" w:rsidRDefault="006D2BF1" w:rsidP="00BB2452">
      <w:pPr>
        <w:pStyle w:val="Heading3"/>
      </w:pPr>
      <w:r w:rsidRPr="000D3E0B">
        <w:lastRenderedPageBreak/>
        <w:t>Comparison of LTV and COCA Over Time</w:t>
      </w:r>
    </w:p>
    <w:p w14:paraId="140D0AC2" w14:textId="7FB24FD4" w:rsidR="006D623D" w:rsidRPr="00BB2452" w:rsidRDefault="006D623D" w:rsidP="0012251D">
      <w:pPr>
        <w:ind w:left="360"/>
      </w:pPr>
      <w:r w:rsidRPr="00BB2452">
        <w:t>Label</w:t>
      </w:r>
      <w:r w:rsidR="0012251D" w:rsidRPr="00BB2452">
        <w:t xml:space="preserve"> the </w:t>
      </w:r>
      <w:r w:rsidRPr="00BB2452">
        <w:t xml:space="preserve">axes </w:t>
      </w:r>
      <w:r w:rsidR="0012251D" w:rsidRPr="00BB2452">
        <w:t xml:space="preserve">with the appropriate numbers and </w:t>
      </w:r>
      <w:proofErr w:type="gramStart"/>
      <w:r w:rsidR="0012251D" w:rsidRPr="00BB2452">
        <w:t>units</w:t>
      </w:r>
      <w:r w:rsidRPr="00BB2452">
        <w:t>,</w:t>
      </w:r>
      <w:r w:rsidR="0012251D" w:rsidRPr="00BB2452">
        <w:t xml:space="preserve"> and</w:t>
      </w:r>
      <w:proofErr w:type="gramEnd"/>
      <w:r w:rsidR="0012251D" w:rsidRPr="00BB2452">
        <w:t xml:space="preserve"> then </w:t>
      </w:r>
      <w:r w:rsidRPr="00BB2452">
        <w:t>plot the LTV and COCA on the graph based on your calculations from this step and from Step 17, Calculate the Lifetime Value (LTV) of an Acquired Customer. Draw a line to connect the three LTV points, and another line to connect the three COCA points.</w:t>
      </w:r>
    </w:p>
    <w:p w14:paraId="0049582E" w14:textId="357D6741" w:rsidR="006D2BF1" w:rsidRPr="006D2BF1" w:rsidRDefault="00A77831" w:rsidP="006D2BF1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Editable</w:t>
      </w:r>
      <w:proofErr w:type="gramEnd"/>
      <w:r>
        <w:rPr>
          <w:b/>
        </w:rPr>
        <w:t xml:space="preserve"> version of the graphic below is available in additional </w:t>
      </w:r>
      <w:proofErr w:type="spellStart"/>
      <w:r>
        <w:rPr>
          <w:b/>
        </w:rPr>
        <w:t>Powerpoint</w:t>
      </w:r>
      <w:proofErr w:type="spellEnd"/>
      <w:r>
        <w:rPr>
          <w:b/>
        </w:rPr>
        <w:t xml:space="preserve"> document)</w:t>
      </w:r>
    </w:p>
    <w:p w14:paraId="7737BC45" w14:textId="5EB2A91E" w:rsidR="006D2BF1" w:rsidRDefault="00A91D21" w:rsidP="00A91D21">
      <w:pPr>
        <w:jc w:val="center"/>
        <w:rPr>
          <w:b/>
        </w:rPr>
      </w:pPr>
      <w:r w:rsidRPr="00A91D21">
        <w:rPr>
          <w:b/>
          <w:noProof/>
        </w:rPr>
        <w:drawing>
          <wp:inline distT="0" distB="0" distL="0" distR="0" wp14:anchorId="676842B6" wp14:editId="4EAE586C">
            <wp:extent cx="6858000" cy="4248150"/>
            <wp:effectExtent l="0" t="0" r="0" b="0"/>
            <wp:docPr id="1660692478" name="Picture 1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2478" name="Picture 1" descr="A graph with a red line and blue line&#10;&#10;AI-generated content may be incorrect."/>
                    <pic:cNvPicPr/>
                  </pic:nvPicPr>
                  <pic:blipFill rotWithShape="1">
                    <a:blip r:embed="rId8"/>
                    <a:srcRect b="7864"/>
                    <a:stretch/>
                  </pic:blipFill>
                  <pic:spPr bwMode="auto">
                    <a:xfrm>
                      <a:off x="0" y="0"/>
                      <a:ext cx="6858000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E9CFA" w14:textId="77777777" w:rsidR="00285907" w:rsidRPr="000D3E0B" w:rsidRDefault="0012251D" w:rsidP="00BB2452">
      <w:pPr>
        <w:pStyle w:val="Heading3"/>
      </w:pPr>
      <w:r w:rsidRPr="000D3E0B">
        <w:t>Overall Interpretation of Unit Economics – Bringing it All Together</w:t>
      </w:r>
    </w:p>
    <w:p w14:paraId="6D18EAAD" w14:textId="77777777" w:rsidR="00285907" w:rsidRDefault="0012251D" w:rsidP="0012251D">
      <w:pPr>
        <w:ind w:left="360"/>
      </w:pPr>
      <w:r>
        <w:t>Now you have done all the hard work, let’s pull it together and consolidate what we know and what we should do now.</w:t>
      </w:r>
    </w:p>
    <w:p w14:paraId="6FEFD01A" w14:textId="69C1B3C8" w:rsidR="002055FF" w:rsidRDefault="0012251D" w:rsidP="002D2681">
      <w:pPr>
        <w:pStyle w:val="ListParagraph"/>
        <w:numPr>
          <w:ilvl w:val="0"/>
          <w:numId w:val="4"/>
        </w:numPr>
      </w:pPr>
      <w:r w:rsidRPr="00904294">
        <w:rPr>
          <w:b/>
        </w:rPr>
        <w:t>Basic 3X Test</w:t>
      </w:r>
      <w:proofErr w:type="gramStart"/>
      <w:r w:rsidRPr="00904294">
        <w:rPr>
          <w:b/>
        </w:rPr>
        <w:t>:</w:t>
      </w:r>
      <w:r>
        <w:t xml:space="preserve">  Is</w:t>
      </w:r>
      <w:proofErr w:type="gramEnd"/>
      <w:r>
        <w:t xml:space="preserve"> your LTV more than 3 times your COCA</w:t>
      </w:r>
      <w:r w:rsidR="000908B8">
        <w:t xml:space="preserve"> for your long-term </w:t>
      </w:r>
      <w:proofErr w:type="gramStart"/>
      <w:r w:rsidR="000908B8">
        <w:t>time period</w:t>
      </w:r>
      <w:proofErr w:type="gramEnd"/>
      <w:r>
        <w:t xml:space="preserve">?  This is essential because COCA only </w:t>
      </w:r>
      <w:proofErr w:type="gramStart"/>
      <w:r>
        <w:t>deal</w:t>
      </w:r>
      <w:proofErr w:type="gramEnd"/>
      <w:r>
        <w:t xml:space="preserve"> with </w:t>
      </w:r>
      <w:r w:rsidR="006D623D">
        <w:t xml:space="preserve">marketing </w:t>
      </w:r>
      <w:r>
        <w:t xml:space="preserve">and </w:t>
      </w:r>
      <w:r w:rsidR="006D623D">
        <w:t>sales</w:t>
      </w:r>
      <w:r>
        <w:t xml:space="preserve">.  </w:t>
      </w:r>
      <w:proofErr w:type="gramStart"/>
      <w:r>
        <w:t>The LTV</w:t>
      </w:r>
      <w:proofErr w:type="gramEnd"/>
      <w:r>
        <w:t xml:space="preserve"> must produce enough excess profit to also pay for </w:t>
      </w:r>
      <w:r w:rsidR="006D623D">
        <w:t xml:space="preserve">research </w:t>
      </w:r>
      <w:r>
        <w:t xml:space="preserve">and </w:t>
      </w:r>
      <w:r w:rsidR="006D623D">
        <w:t xml:space="preserve">development </w:t>
      </w:r>
      <w:r>
        <w:t xml:space="preserve">(R&amp;D) as well as </w:t>
      </w:r>
      <w:r w:rsidR="006D623D">
        <w:t xml:space="preserve">general </w:t>
      </w:r>
      <w:r>
        <w:t xml:space="preserve">and </w:t>
      </w:r>
      <w:r w:rsidR="006D623D">
        <w:t xml:space="preserve">administrative </w:t>
      </w:r>
      <w:r>
        <w:t>(G&amp;A) costs.  The R&amp;D costs can be significant</w:t>
      </w:r>
      <w:r w:rsidR="006D623D">
        <w:t>.</w:t>
      </w:r>
      <w:r>
        <w:t xml:space="preserve"> </w:t>
      </w:r>
      <w:r w:rsidR="006D623D">
        <w:t>T</w:t>
      </w:r>
      <w:r>
        <w:t xml:space="preserve">he 3X rule of thumb was created for </w:t>
      </w:r>
      <w:r w:rsidR="006D623D">
        <w:t xml:space="preserve">software </w:t>
      </w:r>
      <w:r>
        <w:t xml:space="preserve">as a </w:t>
      </w:r>
      <w:r w:rsidR="006D623D">
        <w:t xml:space="preserve">service </w:t>
      </w:r>
      <w:proofErr w:type="gramStart"/>
      <w:r>
        <w:t>companies</w:t>
      </w:r>
      <w:proofErr w:type="gramEnd"/>
      <w:r w:rsidR="006D623D">
        <w:t xml:space="preserve">, so the specifics of your industry may require a higher ratio </w:t>
      </w:r>
      <w:proofErr w:type="gramStart"/>
      <w:r w:rsidR="006D623D">
        <w:t>in order to</w:t>
      </w:r>
      <w:proofErr w:type="gramEnd"/>
      <w:r w:rsidR="006D623D">
        <w:t xml:space="preserve"> be successful</w:t>
      </w:r>
      <w:r>
        <w:t>.  Does you</w:t>
      </w:r>
      <w:r w:rsidR="006D623D">
        <w:t>r</w:t>
      </w:r>
      <w:r>
        <w:t xml:space="preserve"> LTV to COCA ratio clear the basic </w:t>
      </w:r>
      <w:r w:rsidR="006D623D">
        <w:t xml:space="preserve">3X </w:t>
      </w:r>
      <w:r>
        <w:t>threshold by a little, a reasonable amount</w:t>
      </w:r>
      <w:r w:rsidR="006D623D">
        <w:t>,</w:t>
      </w:r>
      <w:r>
        <w:t xml:space="preserve"> or a lot? </w:t>
      </w:r>
    </w:p>
    <w:p w14:paraId="5E0F6CF4" w14:textId="5A823261" w:rsidR="002055FF" w:rsidRPr="00A91D21" w:rsidRDefault="00A91D21" w:rsidP="002055FF">
      <w:pPr>
        <w:pStyle w:val="ListParagraph"/>
        <w:rPr>
          <w:b/>
          <w:bCs/>
        </w:rPr>
      </w:pPr>
      <w:r w:rsidRPr="00A91D21">
        <w:rPr>
          <w:b/>
          <w:bCs/>
        </w:rPr>
        <w:t>Yes, our Long-Term LTV to COCA ratio clears the basic 3X threshold. With a long-term COCA range of €45–€55 and an estimated LTV of €240, the LTV/COCA ratio is between 4.36x and 5.33x. This comfortably exceeds the 3X benchmark, indicating a strong foundational business model with room to fund additional overhead like R&amp;D and G&amp;A. The excess margin shows that the customer acquisition cost is efficient relative to the lifetime value of each customer.</w:t>
      </w:r>
    </w:p>
    <w:p w14:paraId="01FA8864" w14:textId="77777777" w:rsidR="00A91D21" w:rsidRPr="00A91D21" w:rsidRDefault="00A91D21" w:rsidP="00A91D21">
      <w:pPr>
        <w:pStyle w:val="ListParagraph"/>
      </w:pPr>
    </w:p>
    <w:p w14:paraId="10D3C20E" w14:textId="4FD38DFA" w:rsidR="002055FF" w:rsidRDefault="0012251D" w:rsidP="002D2681">
      <w:pPr>
        <w:pStyle w:val="ListParagraph"/>
        <w:numPr>
          <w:ilvl w:val="0"/>
          <w:numId w:val="4"/>
        </w:numPr>
      </w:pPr>
      <w:r w:rsidRPr="00904294">
        <w:rPr>
          <w:b/>
        </w:rPr>
        <w:t>R&amp;D Factor</w:t>
      </w:r>
      <w:proofErr w:type="gramStart"/>
      <w:r w:rsidRPr="00904294">
        <w:rPr>
          <w:b/>
        </w:rPr>
        <w:t>:</w:t>
      </w:r>
      <w:r>
        <w:t xml:space="preserve">  Is</w:t>
      </w:r>
      <w:proofErr w:type="gramEnd"/>
      <w:r>
        <w:t xml:space="preserve"> your R&amp;D </w:t>
      </w:r>
      <w:proofErr w:type="gramStart"/>
      <w:r>
        <w:t>expense</w:t>
      </w:r>
      <w:proofErr w:type="gramEnd"/>
      <w:r>
        <w:t xml:space="preserve"> going to be above or below </w:t>
      </w:r>
      <w:r w:rsidR="006D623D">
        <w:t xml:space="preserve">that of </w:t>
      </w:r>
      <w:proofErr w:type="gramStart"/>
      <w:r w:rsidR="006D623D">
        <w:t>an average</w:t>
      </w:r>
      <w:proofErr w:type="gramEnd"/>
      <w:r w:rsidR="006D623D">
        <w:t xml:space="preserve"> software as a service company</w:t>
      </w:r>
      <w:r>
        <w:t>?  For instance, a biotech compan</w:t>
      </w:r>
      <w:r w:rsidR="006D623D">
        <w:t>y’s</w:t>
      </w:r>
      <w:r>
        <w:t xml:space="preserve"> R&amp;D expenses will be much higher.  If so, then your ratio need</w:t>
      </w:r>
      <w:r w:rsidR="00DE1B55">
        <w:t>s</w:t>
      </w:r>
      <w:r>
        <w:t xml:space="preserve"> to be higher to compensate for this.  For biotech companies it can be over 100x and for consumer goods, it can be </w:t>
      </w:r>
      <w:r>
        <w:lastRenderedPageBreak/>
        <w:t xml:space="preserve">less.  What is your </w:t>
      </w:r>
      <w:proofErr w:type="gramStart"/>
      <w:r>
        <w:t>situation</w:t>
      </w:r>
      <w:proofErr w:type="gramEnd"/>
      <w:r>
        <w:t xml:space="preserve"> and do you feel </w:t>
      </w:r>
      <w:proofErr w:type="gramStart"/>
      <w:r>
        <w:t>comfortable</w:t>
      </w:r>
      <w:proofErr w:type="gramEnd"/>
      <w:r>
        <w:t xml:space="preserve"> there will be enough profit to cover R&amp;D expenses?  (G&amp;A expenses fluctuate as well if there is a regulatory component </w:t>
      </w:r>
      <w:r w:rsidR="002F69B8">
        <w:t>but they do not fluctuate as much as R&amp;D so we will focus on R&amp;D as the proxy for G&amp;A as well)</w:t>
      </w:r>
      <w:r w:rsidR="002055FF">
        <w:t>:</w:t>
      </w:r>
    </w:p>
    <w:p w14:paraId="6FE84A36" w14:textId="678D9FEC" w:rsidR="006D623D" w:rsidRPr="00A91D21" w:rsidRDefault="00A91D21" w:rsidP="002055FF">
      <w:pPr>
        <w:pStyle w:val="ListParagraph"/>
        <w:rPr>
          <w:b/>
          <w:bCs/>
        </w:rPr>
      </w:pPr>
      <w:r w:rsidRPr="00A91D21">
        <w:rPr>
          <w:b/>
          <w:bCs/>
        </w:rPr>
        <w:t>Our R&amp;D expenses are expected to be moderate, likely below the level of a biotech company but above typical consumer products, since we are operating in a tech-enabled service space. While product development is a focus, the absence of heavy scientific research means our required LTV/COCA ratio doesn’t need to exceed 10x. Given our 4.36x–5.33x ratio, we feel confident we can cover both R&amp;D and G&amp;A within our gross margin. However, we will continue monitoring this to ensure profitability stays on track as we scale.</w:t>
      </w:r>
    </w:p>
    <w:p w14:paraId="21304DE9" w14:textId="77777777" w:rsidR="006D623D" w:rsidRDefault="006D623D" w:rsidP="00C45432"/>
    <w:p w14:paraId="55299672" w14:textId="1BDE00DA" w:rsidR="006D623D" w:rsidRDefault="002F69B8" w:rsidP="00073204">
      <w:r w:rsidRPr="00BB2452">
        <w:rPr>
          <w:b/>
        </w:rPr>
        <w:t xml:space="preserve">Adjustments May Be Necessary </w:t>
      </w:r>
      <w:proofErr w:type="gramStart"/>
      <w:r w:rsidRPr="00BB2452">
        <w:rPr>
          <w:b/>
        </w:rPr>
        <w:t>But</w:t>
      </w:r>
      <w:proofErr w:type="gramEnd"/>
      <w:r w:rsidRPr="00BB2452">
        <w:rPr>
          <w:b/>
        </w:rPr>
        <w:t xml:space="preserve"> You Are Ready</w:t>
      </w:r>
      <w:proofErr w:type="gramStart"/>
      <w:r w:rsidRPr="00BB2452">
        <w:rPr>
          <w:b/>
        </w:rPr>
        <w:t>:</w:t>
      </w:r>
      <w:r>
        <w:t xml:space="preserve">  There</w:t>
      </w:r>
      <w:proofErr w:type="gramEnd"/>
      <w:r>
        <w:t xml:space="preserve"> is a good chance that your initial unit economics don’t work.  Don’t overreact and don’t underreact.  You are prepared now to go back and iterate.  Go back and </w:t>
      </w:r>
      <w:proofErr w:type="gramStart"/>
      <w:r>
        <w:t>make adjustments</w:t>
      </w:r>
      <w:proofErr w:type="gramEnd"/>
      <w:r>
        <w:t xml:space="preserve"> like you started to list in </w:t>
      </w:r>
      <w:r w:rsidR="00DE1B55">
        <w:t>the Key Drivers of COCA</w:t>
      </w:r>
      <w:r>
        <w:t xml:space="preserve"> </w:t>
      </w:r>
      <w:r w:rsidR="00DE1B55">
        <w:t>worksheet</w:t>
      </w:r>
      <w:r>
        <w:t xml:space="preserve">.  </w:t>
      </w:r>
      <w:proofErr w:type="gramStart"/>
      <w:r>
        <w:t>Make adjustments</w:t>
      </w:r>
      <w:proofErr w:type="gramEnd"/>
      <w:r>
        <w:t xml:space="preserve"> until the numbers work.  It is great to be passionate and that is essential</w:t>
      </w:r>
      <w:r w:rsidR="00DE1B55">
        <w:t>,</w:t>
      </w:r>
      <w:r>
        <w:t xml:space="preserve"> but </w:t>
      </w:r>
      <w:proofErr w:type="gramStart"/>
      <w:r>
        <w:t xml:space="preserve">well </w:t>
      </w:r>
      <w:r w:rsidR="00DE1B55">
        <w:t>thought-</w:t>
      </w:r>
      <w:r>
        <w:t>out</w:t>
      </w:r>
      <w:proofErr w:type="gramEnd"/>
      <w:r>
        <w:t xml:space="preserve"> numbers have a stubborn way of telling the truth in business.  Don’t ignore them.  If in the end, you can’t make the unit economics work, you won’t have </w:t>
      </w:r>
      <w:proofErr w:type="gramStart"/>
      <w:r>
        <w:t>a sustainable</w:t>
      </w:r>
      <w:proofErr w:type="gramEnd"/>
      <w:r>
        <w:t xml:space="preserve"> business no matter how hard you try.  But most of the time you can fix it now that you are equipped with this knowledge.</w:t>
      </w:r>
    </w:p>
    <w:p w14:paraId="377D7319" w14:textId="005335F4" w:rsidR="002F69B8" w:rsidRDefault="002F69B8" w:rsidP="00073204">
      <w:r>
        <w:t xml:space="preserve">Once you have iterated and the plan works, like in Step 18, list the top 3 </w:t>
      </w:r>
      <w:r w:rsidR="00DE1B55">
        <w:t xml:space="preserve">risk factors </w:t>
      </w:r>
      <w:r>
        <w:t xml:space="preserve">for the </w:t>
      </w:r>
      <w:r w:rsidR="00DE1B55">
        <w:t xml:space="preserve">unit economics </w:t>
      </w:r>
      <w:r>
        <w:t>and how you plan to deal with them below</w:t>
      </w:r>
      <w:r w:rsidR="00DE1B55">
        <w:t>:</w:t>
      </w:r>
    </w:p>
    <w:p w14:paraId="62B55E32" w14:textId="522D2D14" w:rsidR="00904294" w:rsidRDefault="000908B8" w:rsidP="002D2681">
      <w:pPr>
        <w:pStyle w:val="ListParagraph"/>
        <w:numPr>
          <w:ilvl w:val="0"/>
          <w:numId w:val="3"/>
        </w:numPr>
        <w:ind w:left="1080"/>
      </w:pPr>
      <w:r>
        <w:t xml:space="preserve">COCA </w:t>
      </w:r>
      <w:r w:rsidR="00904294">
        <w:t xml:space="preserve">Risk Factor #1 </w:t>
      </w:r>
      <w:r>
        <w:t xml:space="preserve">and </w:t>
      </w:r>
      <w:r w:rsidR="00904294">
        <w:t>Mitigation Plan:</w:t>
      </w:r>
    </w:p>
    <w:p w14:paraId="54A5DF0B" w14:textId="7A6A7DF6" w:rsidR="00A91D21" w:rsidRPr="00A91D21" w:rsidRDefault="00A91D21" w:rsidP="00904294">
      <w:pPr>
        <w:pStyle w:val="ListParagraph"/>
        <w:ind w:left="1080"/>
        <w:rPr>
          <w:b/>
          <w:bCs/>
        </w:rPr>
      </w:pPr>
      <w:r w:rsidRPr="00A91D21">
        <w:rPr>
          <w:b/>
          <w:bCs/>
        </w:rPr>
        <w:t>High initial dependency on paid social ads</w:t>
      </w:r>
      <w:r>
        <w:rPr>
          <w:b/>
          <w:bCs/>
        </w:rPr>
        <w:t>.</w:t>
      </w:r>
    </w:p>
    <w:p w14:paraId="5AF15E5D" w14:textId="77777777" w:rsidR="00A91D21" w:rsidRPr="00A91D21" w:rsidRDefault="00A91D21" w:rsidP="00904294">
      <w:pPr>
        <w:pStyle w:val="ListParagraph"/>
        <w:ind w:left="1080"/>
        <w:rPr>
          <w:b/>
          <w:bCs/>
        </w:rPr>
      </w:pPr>
      <w:r w:rsidRPr="00A91D21">
        <w:rPr>
          <w:b/>
          <w:bCs/>
        </w:rPr>
        <w:t>Mitigation Plan: Gradually reduce reliance on paid ads by investing more in organic content, SEO, and partnerships.</w:t>
      </w:r>
    </w:p>
    <w:p w14:paraId="309CB614" w14:textId="3755357A" w:rsidR="00A91D21" w:rsidRDefault="00904294" w:rsidP="00904294">
      <w:pPr>
        <w:pStyle w:val="ListParagraph"/>
        <w:ind w:left="1080"/>
      </w:pPr>
      <w:r>
        <w:t xml:space="preserve">Metrics to Watch: </w:t>
      </w:r>
      <w:r w:rsidR="00A91D21" w:rsidRPr="00A91D21">
        <w:rPr>
          <w:b/>
          <w:bCs/>
        </w:rPr>
        <w:t>CAC from paid vs organic channels, conversion rates, engagement metrics on content.</w:t>
      </w:r>
    </w:p>
    <w:p w14:paraId="62EB9561" w14:textId="35C3AB32" w:rsidR="00904294" w:rsidRDefault="00904294" w:rsidP="00904294">
      <w:pPr>
        <w:pStyle w:val="ListParagraph"/>
        <w:ind w:left="1080"/>
      </w:pPr>
      <w:r>
        <w:t>Potential Intervention Strategy:</w:t>
      </w:r>
      <w:r w:rsidRPr="00A91D21">
        <w:rPr>
          <w:b/>
          <w:bCs/>
        </w:rPr>
        <w:t xml:space="preserve"> </w:t>
      </w:r>
      <w:r w:rsidR="00A91D21" w:rsidRPr="00A91D21">
        <w:rPr>
          <w:b/>
          <w:bCs/>
        </w:rPr>
        <w:t>If CAC from paid channels remains high, reallocate budget towards long-term SEO and influencer-based affiliate strategies, and experiment with content virality and community-building.</w:t>
      </w:r>
      <w:r>
        <w:t xml:space="preserve"> </w:t>
      </w:r>
    </w:p>
    <w:p w14:paraId="02CE95B1" w14:textId="2A2745E3" w:rsidR="00904294" w:rsidRDefault="000908B8" w:rsidP="002D2681">
      <w:pPr>
        <w:pStyle w:val="ListParagraph"/>
        <w:numPr>
          <w:ilvl w:val="0"/>
          <w:numId w:val="3"/>
        </w:numPr>
        <w:ind w:left="1080"/>
      </w:pPr>
      <w:r>
        <w:t xml:space="preserve">COCA </w:t>
      </w:r>
      <w:r w:rsidR="00904294">
        <w:t xml:space="preserve">Risk Factor #2 </w:t>
      </w:r>
      <w:r>
        <w:t xml:space="preserve">and </w:t>
      </w:r>
      <w:r w:rsidR="00904294">
        <w:t>Mitigation Plan:</w:t>
      </w:r>
    </w:p>
    <w:p w14:paraId="67CF4012" w14:textId="77777777" w:rsidR="00A91D21" w:rsidRPr="00A91D21" w:rsidRDefault="00A91D21" w:rsidP="00904294">
      <w:pPr>
        <w:pStyle w:val="ListParagraph"/>
        <w:ind w:left="1080"/>
        <w:rPr>
          <w:b/>
          <w:bCs/>
        </w:rPr>
      </w:pPr>
      <w:r w:rsidRPr="00A91D21">
        <w:rPr>
          <w:b/>
          <w:bCs/>
        </w:rPr>
        <w:t>Inefficiencies in scaling inside sales</w:t>
      </w:r>
      <w:r w:rsidRPr="00A91D21">
        <w:rPr>
          <w:b/>
          <w:bCs/>
        </w:rPr>
        <w:t>.</w:t>
      </w:r>
    </w:p>
    <w:p w14:paraId="26740A9E" w14:textId="77777777" w:rsidR="00A91D21" w:rsidRPr="00A91D21" w:rsidRDefault="00A91D21" w:rsidP="00904294">
      <w:pPr>
        <w:pStyle w:val="ListParagraph"/>
        <w:ind w:left="1080"/>
        <w:rPr>
          <w:b/>
          <w:bCs/>
        </w:rPr>
      </w:pPr>
      <w:r w:rsidRPr="00A91D21">
        <w:rPr>
          <w:b/>
          <w:bCs/>
        </w:rPr>
        <w:t>Mitigation Plan: Implement automated lead qualification, onboarding, and self-serve checkout systems to reduce labor costs.</w:t>
      </w:r>
    </w:p>
    <w:p w14:paraId="0F967A9C" w14:textId="77777777" w:rsidR="00A91D21" w:rsidRPr="00A91D21" w:rsidRDefault="00904294" w:rsidP="00904294">
      <w:pPr>
        <w:pStyle w:val="ListParagraph"/>
        <w:ind w:left="1080"/>
        <w:rPr>
          <w:b/>
          <w:bCs/>
        </w:rPr>
      </w:pPr>
      <w:r>
        <w:t xml:space="preserve">Metrics to Watch: </w:t>
      </w:r>
      <w:r w:rsidR="00A91D21" w:rsidRPr="00A91D21">
        <w:rPr>
          <w:b/>
          <w:bCs/>
        </w:rPr>
        <w:t xml:space="preserve">Cost per acquisition via inside sales, </w:t>
      </w:r>
      <w:proofErr w:type="gramStart"/>
      <w:r w:rsidR="00A91D21" w:rsidRPr="00A91D21">
        <w:rPr>
          <w:b/>
          <w:bCs/>
        </w:rPr>
        <w:t>close</w:t>
      </w:r>
      <w:proofErr w:type="gramEnd"/>
      <w:r w:rsidR="00A91D21" w:rsidRPr="00A91D21">
        <w:rPr>
          <w:b/>
          <w:bCs/>
        </w:rPr>
        <w:t xml:space="preserve"> rates, average handling time, user journey completion rates.</w:t>
      </w:r>
    </w:p>
    <w:p w14:paraId="4A51468C" w14:textId="467A18BA" w:rsidR="00904294" w:rsidRDefault="00904294" w:rsidP="00904294">
      <w:pPr>
        <w:pStyle w:val="ListParagraph"/>
        <w:ind w:left="1080"/>
      </w:pPr>
      <w:r>
        <w:t xml:space="preserve">Potential Intervention Strategy: </w:t>
      </w:r>
      <w:r w:rsidR="00A91D21" w:rsidRPr="00A91D21">
        <w:rPr>
          <w:b/>
          <w:bCs/>
        </w:rPr>
        <w:t>Increase automation through AI chatbots and onboarding flows. Reassign inside sales team members toward high-ticket or enterprise accounts.</w:t>
      </w:r>
      <w:r>
        <w:t xml:space="preserve"> </w:t>
      </w:r>
    </w:p>
    <w:p w14:paraId="2B0C38E3" w14:textId="3FB0E557" w:rsidR="00904294" w:rsidRDefault="000908B8" w:rsidP="002D2681">
      <w:pPr>
        <w:pStyle w:val="ListParagraph"/>
        <w:numPr>
          <w:ilvl w:val="0"/>
          <w:numId w:val="3"/>
        </w:numPr>
        <w:ind w:left="1080"/>
      </w:pPr>
      <w:r>
        <w:t xml:space="preserve">COCA </w:t>
      </w:r>
      <w:r w:rsidR="00904294">
        <w:t xml:space="preserve">Risk Factor #3 </w:t>
      </w:r>
      <w:r>
        <w:t xml:space="preserve">and </w:t>
      </w:r>
      <w:r w:rsidR="00904294">
        <w:t>Mitigation Plan:</w:t>
      </w:r>
    </w:p>
    <w:p w14:paraId="62EAA709" w14:textId="5F16F256" w:rsidR="00A91D21" w:rsidRPr="00A91D21" w:rsidRDefault="00A91D21" w:rsidP="00904294">
      <w:pPr>
        <w:pStyle w:val="ListParagraph"/>
        <w:ind w:left="1080"/>
        <w:rPr>
          <w:b/>
          <w:bCs/>
        </w:rPr>
      </w:pPr>
      <w:r w:rsidRPr="00A91D21">
        <w:rPr>
          <w:b/>
          <w:bCs/>
        </w:rPr>
        <w:t>Rising CRM and software tool stack costs</w:t>
      </w:r>
      <w:r w:rsidRPr="00A91D21">
        <w:rPr>
          <w:b/>
          <w:bCs/>
        </w:rPr>
        <w:t>.</w:t>
      </w:r>
    </w:p>
    <w:p w14:paraId="4AE6569B" w14:textId="77777777" w:rsidR="00A91D21" w:rsidRPr="00A91D21" w:rsidRDefault="00A91D21" w:rsidP="00904294">
      <w:pPr>
        <w:pStyle w:val="ListParagraph"/>
        <w:ind w:left="1080"/>
        <w:rPr>
          <w:b/>
          <w:bCs/>
        </w:rPr>
      </w:pPr>
      <w:r w:rsidRPr="00A91D21">
        <w:rPr>
          <w:b/>
          <w:bCs/>
        </w:rPr>
        <w:t>Mitigation Plan: Consolidate overlapping tools and renegotiate contracts. Explore open-source or scalable alternatives.</w:t>
      </w:r>
    </w:p>
    <w:p w14:paraId="57044D9F" w14:textId="77777777" w:rsidR="004421B1" w:rsidRPr="004421B1" w:rsidRDefault="00904294" w:rsidP="00904294">
      <w:pPr>
        <w:pStyle w:val="ListParagraph"/>
        <w:ind w:left="1080"/>
        <w:rPr>
          <w:b/>
          <w:bCs/>
        </w:rPr>
      </w:pPr>
      <w:r>
        <w:t xml:space="preserve">Metrics to Watch: </w:t>
      </w:r>
      <w:r w:rsidR="004421B1" w:rsidRPr="004421B1">
        <w:rPr>
          <w:b/>
          <w:bCs/>
        </w:rPr>
        <w:t>Monthly recurring spend per tool, feature usage rates, ROI per tool.</w:t>
      </w:r>
    </w:p>
    <w:p w14:paraId="254ED080" w14:textId="1EEA1C66" w:rsidR="004421B1" w:rsidRPr="004421B1" w:rsidRDefault="00904294" w:rsidP="004421B1">
      <w:pPr>
        <w:pStyle w:val="ListParagraph"/>
        <w:ind w:left="1080"/>
        <w:rPr>
          <w:b/>
          <w:bCs/>
          <w:lang w:val="en-CY"/>
        </w:rPr>
      </w:pPr>
      <w:r>
        <w:t xml:space="preserve">Potential Intervention Strategy: </w:t>
      </w:r>
      <w:r w:rsidR="004421B1" w:rsidRPr="004421B1">
        <w:rPr>
          <w:b/>
          <w:bCs/>
          <w:lang w:val="en-CY"/>
        </w:rPr>
        <w:t>Perform quarterly audits of software usage, cancel underutilized subscriptions, and optimize processes for fewer tools with deeper integrations.</w:t>
      </w:r>
    </w:p>
    <w:p w14:paraId="0EEF26A6" w14:textId="5BA1798B" w:rsidR="00285907" w:rsidRPr="004421B1" w:rsidRDefault="00285907" w:rsidP="00904294">
      <w:pPr>
        <w:pStyle w:val="ListParagraph"/>
        <w:ind w:left="1080"/>
        <w:rPr>
          <w:lang w:val="en-CY"/>
        </w:rPr>
      </w:pPr>
    </w:p>
    <w:p w14:paraId="07AA5B0A" w14:textId="77777777" w:rsidR="00285907" w:rsidRDefault="00285907" w:rsidP="00C24C50"/>
    <w:p w14:paraId="67E93241" w14:textId="6C414751" w:rsidR="00C24C50" w:rsidRPr="00C45432" w:rsidRDefault="002F69B8" w:rsidP="00C45432">
      <w:pPr>
        <w:rPr>
          <w:sz w:val="24"/>
        </w:rPr>
      </w:pPr>
      <w:r w:rsidRPr="007C7441">
        <w:rPr>
          <w:sz w:val="24"/>
        </w:rPr>
        <w:t>If you are an engineer like me, you are now getting to the fun part.  Now we can build the product with confidence that it can be the basis of a great company</w:t>
      </w:r>
      <w:r w:rsidR="002055FF" w:rsidRPr="007C7441">
        <w:rPr>
          <w:sz w:val="24"/>
        </w:rPr>
        <w:t>.</w:t>
      </w:r>
      <w:r w:rsidRPr="007C7441">
        <w:rPr>
          <w:sz w:val="24"/>
        </w:rPr>
        <w:t xml:space="preserve">  </w:t>
      </w:r>
      <w:proofErr w:type="gramStart"/>
      <w:r w:rsidRPr="007C7441">
        <w:rPr>
          <w:sz w:val="24"/>
        </w:rPr>
        <w:t>That being said, it all</w:t>
      </w:r>
      <w:proofErr w:type="gramEnd"/>
      <w:r w:rsidRPr="007C7441">
        <w:rPr>
          <w:sz w:val="24"/>
        </w:rPr>
        <w:t xml:space="preserve"> make</w:t>
      </w:r>
      <w:r w:rsidR="00DE1B55" w:rsidRPr="007C7441">
        <w:rPr>
          <w:sz w:val="24"/>
        </w:rPr>
        <w:t>s</w:t>
      </w:r>
      <w:r w:rsidRPr="007C7441">
        <w:rPr>
          <w:sz w:val="24"/>
        </w:rPr>
        <w:t xml:space="preserve"> </w:t>
      </w:r>
      <w:proofErr w:type="gramStart"/>
      <w:r w:rsidRPr="007C7441">
        <w:rPr>
          <w:sz w:val="24"/>
        </w:rPr>
        <w:t>sense</w:t>
      </w:r>
      <w:proofErr w:type="gramEnd"/>
      <w:r w:rsidRPr="007C7441">
        <w:rPr>
          <w:sz w:val="24"/>
        </w:rPr>
        <w:t xml:space="preserve"> but we are not sure until it really happens.  Now we </w:t>
      </w:r>
      <w:proofErr w:type="gramStart"/>
      <w:r w:rsidRPr="007C7441">
        <w:rPr>
          <w:sz w:val="24"/>
        </w:rPr>
        <w:t>move</w:t>
      </w:r>
      <w:proofErr w:type="gramEnd"/>
      <w:r w:rsidRPr="007C7441">
        <w:rPr>
          <w:sz w:val="24"/>
        </w:rPr>
        <w:t xml:space="preserve"> to </w:t>
      </w:r>
      <w:r w:rsidR="00904294" w:rsidRPr="007C7441">
        <w:rPr>
          <w:sz w:val="24"/>
        </w:rPr>
        <w:t xml:space="preserve">the design and </w:t>
      </w:r>
      <w:proofErr w:type="gramStart"/>
      <w:r w:rsidR="00904294" w:rsidRPr="007C7441">
        <w:rPr>
          <w:sz w:val="24"/>
        </w:rPr>
        <w:t>build</w:t>
      </w:r>
      <w:proofErr w:type="gramEnd"/>
      <w:r w:rsidR="00904294" w:rsidRPr="007C7441">
        <w:rPr>
          <w:sz w:val="24"/>
        </w:rPr>
        <w:t xml:space="preserve"> stage in Step 20</w:t>
      </w:r>
      <w:r w:rsidR="00DE1B55" w:rsidRPr="007C7441">
        <w:rPr>
          <w:sz w:val="24"/>
        </w:rPr>
        <w:t>, Identify Key Assumptions</w:t>
      </w:r>
      <w:r w:rsidR="00904294" w:rsidRPr="007C7441">
        <w:rPr>
          <w:sz w:val="24"/>
        </w:rPr>
        <w:t>.</w:t>
      </w:r>
    </w:p>
    <w:sectPr w:rsidR="00C24C50" w:rsidRPr="00C45432" w:rsidSect="00573AE5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13AD7" w14:textId="77777777" w:rsidR="005F6281" w:rsidRDefault="005F6281" w:rsidP="00362ACC">
      <w:pPr>
        <w:spacing w:after="0" w:line="240" w:lineRule="auto"/>
      </w:pPr>
      <w:r>
        <w:separator/>
      </w:r>
    </w:p>
  </w:endnote>
  <w:endnote w:type="continuationSeparator" w:id="0">
    <w:p w14:paraId="35135782" w14:textId="77777777" w:rsidR="005F6281" w:rsidRDefault="005F6281" w:rsidP="0036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EB731" w14:textId="77777777" w:rsidR="005F6281" w:rsidRDefault="005F6281" w:rsidP="00362ACC">
      <w:pPr>
        <w:spacing w:after="0" w:line="240" w:lineRule="auto"/>
      </w:pPr>
      <w:r>
        <w:separator/>
      </w:r>
    </w:p>
  </w:footnote>
  <w:footnote w:type="continuationSeparator" w:id="0">
    <w:p w14:paraId="6F73B5AE" w14:textId="77777777" w:rsidR="005F6281" w:rsidRDefault="005F6281" w:rsidP="0036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F2C2D"/>
    <w:multiLevelType w:val="hybridMultilevel"/>
    <w:tmpl w:val="448C3308"/>
    <w:lvl w:ilvl="0" w:tplc="9E4444E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67FD9"/>
    <w:multiLevelType w:val="hybridMultilevel"/>
    <w:tmpl w:val="BA6AEB4C"/>
    <w:lvl w:ilvl="0" w:tplc="B9604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6E74"/>
    <w:multiLevelType w:val="hybridMultilevel"/>
    <w:tmpl w:val="A3A80C62"/>
    <w:lvl w:ilvl="0" w:tplc="52F8785C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E55A5"/>
    <w:multiLevelType w:val="hybridMultilevel"/>
    <w:tmpl w:val="2FCABDD2"/>
    <w:lvl w:ilvl="0" w:tplc="DCB6CC9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6F86"/>
    <w:multiLevelType w:val="hybridMultilevel"/>
    <w:tmpl w:val="887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12F24"/>
    <w:multiLevelType w:val="hybridMultilevel"/>
    <w:tmpl w:val="8C7E5FAE"/>
    <w:lvl w:ilvl="0" w:tplc="544441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5817">
    <w:abstractNumId w:val="5"/>
  </w:num>
  <w:num w:numId="2" w16cid:durableId="871957562">
    <w:abstractNumId w:val="2"/>
  </w:num>
  <w:num w:numId="3" w16cid:durableId="864438461">
    <w:abstractNumId w:val="4"/>
  </w:num>
  <w:num w:numId="4" w16cid:durableId="1233392742">
    <w:abstractNumId w:val="0"/>
  </w:num>
  <w:num w:numId="5" w16cid:durableId="749087493">
    <w:abstractNumId w:val="1"/>
  </w:num>
  <w:num w:numId="6" w16cid:durableId="85511665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8C7"/>
    <w:rsid w:val="000063ED"/>
    <w:rsid w:val="000145E0"/>
    <w:rsid w:val="00020B53"/>
    <w:rsid w:val="000228C9"/>
    <w:rsid w:val="00023AC4"/>
    <w:rsid w:val="000407EA"/>
    <w:rsid w:val="00042AD6"/>
    <w:rsid w:val="0005179C"/>
    <w:rsid w:val="000565AC"/>
    <w:rsid w:val="0006057D"/>
    <w:rsid w:val="0006436E"/>
    <w:rsid w:val="000700AF"/>
    <w:rsid w:val="0007069B"/>
    <w:rsid w:val="00073204"/>
    <w:rsid w:val="00074BDA"/>
    <w:rsid w:val="00084896"/>
    <w:rsid w:val="0008770A"/>
    <w:rsid w:val="000908B8"/>
    <w:rsid w:val="000A285A"/>
    <w:rsid w:val="000A7636"/>
    <w:rsid w:val="000B4AFD"/>
    <w:rsid w:val="000B4CB0"/>
    <w:rsid w:val="000C4202"/>
    <w:rsid w:val="000C4CDF"/>
    <w:rsid w:val="000D06C1"/>
    <w:rsid w:val="000D1A49"/>
    <w:rsid w:val="000D3E0B"/>
    <w:rsid w:val="00100E2B"/>
    <w:rsid w:val="00101861"/>
    <w:rsid w:val="001103B3"/>
    <w:rsid w:val="00116958"/>
    <w:rsid w:val="001213D7"/>
    <w:rsid w:val="0012251D"/>
    <w:rsid w:val="00122A99"/>
    <w:rsid w:val="00123CED"/>
    <w:rsid w:val="00131084"/>
    <w:rsid w:val="0014045E"/>
    <w:rsid w:val="00144ACA"/>
    <w:rsid w:val="001672A9"/>
    <w:rsid w:val="00167518"/>
    <w:rsid w:val="0017484B"/>
    <w:rsid w:val="00175F8F"/>
    <w:rsid w:val="001805C2"/>
    <w:rsid w:val="0018088C"/>
    <w:rsid w:val="001859F6"/>
    <w:rsid w:val="001936BE"/>
    <w:rsid w:val="001A48EC"/>
    <w:rsid w:val="001A535F"/>
    <w:rsid w:val="001B0D98"/>
    <w:rsid w:val="001B1138"/>
    <w:rsid w:val="001C7242"/>
    <w:rsid w:val="001D0561"/>
    <w:rsid w:val="001D2D16"/>
    <w:rsid w:val="001D3102"/>
    <w:rsid w:val="001D4268"/>
    <w:rsid w:val="001D6C82"/>
    <w:rsid w:val="001E51EA"/>
    <w:rsid w:val="001F0A63"/>
    <w:rsid w:val="001F1D78"/>
    <w:rsid w:val="001F4DD0"/>
    <w:rsid w:val="001F5EF7"/>
    <w:rsid w:val="001F7424"/>
    <w:rsid w:val="002016AF"/>
    <w:rsid w:val="002055FF"/>
    <w:rsid w:val="00206B8F"/>
    <w:rsid w:val="00227F35"/>
    <w:rsid w:val="00254786"/>
    <w:rsid w:val="00255972"/>
    <w:rsid w:val="00257F53"/>
    <w:rsid w:val="00261C6D"/>
    <w:rsid w:val="00261E71"/>
    <w:rsid w:val="00272A3F"/>
    <w:rsid w:val="00281EBC"/>
    <w:rsid w:val="00285907"/>
    <w:rsid w:val="00286B44"/>
    <w:rsid w:val="00287FAE"/>
    <w:rsid w:val="002900A0"/>
    <w:rsid w:val="00294B2B"/>
    <w:rsid w:val="002B63C8"/>
    <w:rsid w:val="002B7AAB"/>
    <w:rsid w:val="002D2681"/>
    <w:rsid w:val="002E3E20"/>
    <w:rsid w:val="002E516E"/>
    <w:rsid w:val="002E6232"/>
    <w:rsid w:val="002F69B8"/>
    <w:rsid w:val="0030342D"/>
    <w:rsid w:val="00305802"/>
    <w:rsid w:val="00314FFE"/>
    <w:rsid w:val="00324416"/>
    <w:rsid w:val="003356EB"/>
    <w:rsid w:val="00343207"/>
    <w:rsid w:val="003459CF"/>
    <w:rsid w:val="00362ACC"/>
    <w:rsid w:val="00363C88"/>
    <w:rsid w:val="0037552F"/>
    <w:rsid w:val="003771BF"/>
    <w:rsid w:val="003807C5"/>
    <w:rsid w:val="003830EE"/>
    <w:rsid w:val="00385576"/>
    <w:rsid w:val="003A1890"/>
    <w:rsid w:val="003A5CA4"/>
    <w:rsid w:val="003A710F"/>
    <w:rsid w:val="003B1979"/>
    <w:rsid w:val="003C098D"/>
    <w:rsid w:val="003C7F57"/>
    <w:rsid w:val="003D3151"/>
    <w:rsid w:val="003E1A66"/>
    <w:rsid w:val="003E6C7A"/>
    <w:rsid w:val="003F2602"/>
    <w:rsid w:val="00404CDD"/>
    <w:rsid w:val="0040758F"/>
    <w:rsid w:val="004136F6"/>
    <w:rsid w:val="00413AA3"/>
    <w:rsid w:val="0041791F"/>
    <w:rsid w:val="004218C1"/>
    <w:rsid w:val="004222EF"/>
    <w:rsid w:val="00430F06"/>
    <w:rsid w:val="00434596"/>
    <w:rsid w:val="004421B1"/>
    <w:rsid w:val="00442255"/>
    <w:rsid w:val="00451307"/>
    <w:rsid w:val="004524A7"/>
    <w:rsid w:val="004603E3"/>
    <w:rsid w:val="00465478"/>
    <w:rsid w:val="00474C5F"/>
    <w:rsid w:val="004770AD"/>
    <w:rsid w:val="00477F0E"/>
    <w:rsid w:val="004966B9"/>
    <w:rsid w:val="00496C71"/>
    <w:rsid w:val="0049727F"/>
    <w:rsid w:val="004A0CEB"/>
    <w:rsid w:val="004B5250"/>
    <w:rsid w:val="004C367C"/>
    <w:rsid w:val="004D0BD1"/>
    <w:rsid w:val="004D2204"/>
    <w:rsid w:val="004E717A"/>
    <w:rsid w:val="004E7FC5"/>
    <w:rsid w:val="004F4161"/>
    <w:rsid w:val="00513415"/>
    <w:rsid w:val="00515BB2"/>
    <w:rsid w:val="00516CF6"/>
    <w:rsid w:val="00522463"/>
    <w:rsid w:val="005232FE"/>
    <w:rsid w:val="00523400"/>
    <w:rsid w:val="00532F70"/>
    <w:rsid w:val="00536710"/>
    <w:rsid w:val="005427EA"/>
    <w:rsid w:val="00544699"/>
    <w:rsid w:val="0055099B"/>
    <w:rsid w:val="005609E4"/>
    <w:rsid w:val="00562FD1"/>
    <w:rsid w:val="00563179"/>
    <w:rsid w:val="005631DF"/>
    <w:rsid w:val="00573AE5"/>
    <w:rsid w:val="005826BA"/>
    <w:rsid w:val="005A7FEB"/>
    <w:rsid w:val="005C0B09"/>
    <w:rsid w:val="005C793B"/>
    <w:rsid w:val="005D6D2C"/>
    <w:rsid w:val="005E68C7"/>
    <w:rsid w:val="005E77DF"/>
    <w:rsid w:val="005F5F8B"/>
    <w:rsid w:val="005F6281"/>
    <w:rsid w:val="005F6743"/>
    <w:rsid w:val="005F6838"/>
    <w:rsid w:val="005F685D"/>
    <w:rsid w:val="00600D19"/>
    <w:rsid w:val="00614B5D"/>
    <w:rsid w:val="00616BD8"/>
    <w:rsid w:val="0062773A"/>
    <w:rsid w:val="00644A19"/>
    <w:rsid w:val="00646919"/>
    <w:rsid w:val="00652E19"/>
    <w:rsid w:val="006702DF"/>
    <w:rsid w:val="006706F3"/>
    <w:rsid w:val="006800B2"/>
    <w:rsid w:val="00684FE8"/>
    <w:rsid w:val="00693482"/>
    <w:rsid w:val="00693998"/>
    <w:rsid w:val="006A7FA0"/>
    <w:rsid w:val="006B29EF"/>
    <w:rsid w:val="006D0BDD"/>
    <w:rsid w:val="006D2BF1"/>
    <w:rsid w:val="006D623D"/>
    <w:rsid w:val="006E1680"/>
    <w:rsid w:val="006E5239"/>
    <w:rsid w:val="006F22A9"/>
    <w:rsid w:val="006F67FF"/>
    <w:rsid w:val="006F7067"/>
    <w:rsid w:val="0070508F"/>
    <w:rsid w:val="007216C7"/>
    <w:rsid w:val="007302AE"/>
    <w:rsid w:val="00737CB3"/>
    <w:rsid w:val="00747A19"/>
    <w:rsid w:val="00750976"/>
    <w:rsid w:val="00755792"/>
    <w:rsid w:val="00757135"/>
    <w:rsid w:val="00761025"/>
    <w:rsid w:val="00763BFF"/>
    <w:rsid w:val="00765C11"/>
    <w:rsid w:val="00767AF3"/>
    <w:rsid w:val="00767B7F"/>
    <w:rsid w:val="0078564B"/>
    <w:rsid w:val="00785DDA"/>
    <w:rsid w:val="007A506F"/>
    <w:rsid w:val="007A699E"/>
    <w:rsid w:val="007B1B8C"/>
    <w:rsid w:val="007C1420"/>
    <w:rsid w:val="007C4154"/>
    <w:rsid w:val="007C4868"/>
    <w:rsid w:val="007C7441"/>
    <w:rsid w:val="007D3B25"/>
    <w:rsid w:val="007D3D47"/>
    <w:rsid w:val="007F0AE3"/>
    <w:rsid w:val="007F347F"/>
    <w:rsid w:val="007F590D"/>
    <w:rsid w:val="007F5CBB"/>
    <w:rsid w:val="007F603A"/>
    <w:rsid w:val="0080082B"/>
    <w:rsid w:val="00801B00"/>
    <w:rsid w:val="0081231A"/>
    <w:rsid w:val="0081256B"/>
    <w:rsid w:val="008251AB"/>
    <w:rsid w:val="00827F43"/>
    <w:rsid w:val="008332BE"/>
    <w:rsid w:val="00833CBC"/>
    <w:rsid w:val="00837471"/>
    <w:rsid w:val="00851B8E"/>
    <w:rsid w:val="00857FE4"/>
    <w:rsid w:val="008652F8"/>
    <w:rsid w:val="00883932"/>
    <w:rsid w:val="008850B2"/>
    <w:rsid w:val="00887DA7"/>
    <w:rsid w:val="008A0610"/>
    <w:rsid w:val="008A5D3F"/>
    <w:rsid w:val="008A75E9"/>
    <w:rsid w:val="008B3354"/>
    <w:rsid w:val="008B6B65"/>
    <w:rsid w:val="008C0141"/>
    <w:rsid w:val="008C7BB8"/>
    <w:rsid w:val="008D013A"/>
    <w:rsid w:val="008D42C4"/>
    <w:rsid w:val="008D4FC1"/>
    <w:rsid w:val="008D7AC0"/>
    <w:rsid w:val="00904294"/>
    <w:rsid w:val="00906384"/>
    <w:rsid w:val="00907966"/>
    <w:rsid w:val="00910AE8"/>
    <w:rsid w:val="00922B02"/>
    <w:rsid w:val="00923038"/>
    <w:rsid w:val="00924559"/>
    <w:rsid w:val="009267C0"/>
    <w:rsid w:val="00944B97"/>
    <w:rsid w:val="00960E9A"/>
    <w:rsid w:val="00966E13"/>
    <w:rsid w:val="00971CCC"/>
    <w:rsid w:val="00973D57"/>
    <w:rsid w:val="00981EA7"/>
    <w:rsid w:val="00983F7B"/>
    <w:rsid w:val="00996571"/>
    <w:rsid w:val="00997780"/>
    <w:rsid w:val="009A42C2"/>
    <w:rsid w:val="009C0CF6"/>
    <w:rsid w:val="009C5DD1"/>
    <w:rsid w:val="009D3EFB"/>
    <w:rsid w:val="009D45FE"/>
    <w:rsid w:val="009D6100"/>
    <w:rsid w:val="009D654D"/>
    <w:rsid w:val="009E1795"/>
    <w:rsid w:val="009E2B24"/>
    <w:rsid w:val="009E2E80"/>
    <w:rsid w:val="009F10FD"/>
    <w:rsid w:val="009F3B33"/>
    <w:rsid w:val="00A00D0B"/>
    <w:rsid w:val="00A02633"/>
    <w:rsid w:val="00A04030"/>
    <w:rsid w:val="00A12A20"/>
    <w:rsid w:val="00A13DB9"/>
    <w:rsid w:val="00A13F9A"/>
    <w:rsid w:val="00A20065"/>
    <w:rsid w:val="00A208F6"/>
    <w:rsid w:val="00A236A5"/>
    <w:rsid w:val="00A3774F"/>
    <w:rsid w:val="00A65395"/>
    <w:rsid w:val="00A72EB2"/>
    <w:rsid w:val="00A73582"/>
    <w:rsid w:val="00A773C3"/>
    <w:rsid w:val="00A77831"/>
    <w:rsid w:val="00A80C52"/>
    <w:rsid w:val="00A90752"/>
    <w:rsid w:val="00A91B5C"/>
    <w:rsid w:val="00A91D21"/>
    <w:rsid w:val="00A971DD"/>
    <w:rsid w:val="00A97951"/>
    <w:rsid w:val="00AA347B"/>
    <w:rsid w:val="00AA45AC"/>
    <w:rsid w:val="00AB1BAF"/>
    <w:rsid w:val="00AC4D31"/>
    <w:rsid w:val="00AC5CFA"/>
    <w:rsid w:val="00AC6233"/>
    <w:rsid w:val="00AD2590"/>
    <w:rsid w:val="00AD31A7"/>
    <w:rsid w:val="00AE0985"/>
    <w:rsid w:val="00AE1D8F"/>
    <w:rsid w:val="00AF34D9"/>
    <w:rsid w:val="00AF502A"/>
    <w:rsid w:val="00AF60A2"/>
    <w:rsid w:val="00B0397F"/>
    <w:rsid w:val="00B05EA4"/>
    <w:rsid w:val="00B11911"/>
    <w:rsid w:val="00B16C1E"/>
    <w:rsid w:val="00B23213"/>
    <w:rsid w:val="00B234D8"/>
    <w:rsid w:val="00B30B8C"/>
    <w:rsid w:val="00B36654"/>
    <w:rsid w:val="00B4707B"/>
    <w:rsid w:val="00B47A17"/>
    <w:rsid w:val="00B51249"/>
    <w:rsid w:val="00B63CE6"/>
    <w:rsid w:val="00B67007"/>
    <w:rsid w:val="00B7736E"/>
    <w:rsid w:val="00B830FC"/>
    <w:rsid w:val="00B85907"/>
    <w:rsid w:val="00B957F2"/>
    <w:rsid w:val="00B96BAF"/>
    <w:rsid w:val="00BA062E"/>
    <w:rsid w:val="00BA243F"/>
    <w:rsid w:val="00BB2452"/>
    <w:rsid w:val="00BB4555"/>
    <w:rsid w:val="00BB75FE"/>
    <w:rsid w:val="00BC25C9"/>
    <w:rsid w:val="00BC3A6C"/>
    <w:rsid w:val="00BD2327"/>
    <w:rsid w:val="00BE079B"/>
    <w:rsid w:val="00BF0863"/>
    <w:rsid w:val="00C01E27"/>
    <w:rsid w:val="00C11760"/>
    <w:rsid w:val="00C24C50"/>
    <w:rsid w:val="00C262A7"/>
    <w:rsid w:val="00C34A6C"/>
    <w:rsid w:val="00C4032F"/>
    <w:rsid w:val="00C45432"/>
    <w:rsid w:val="00C52C3B"/>
    <w:rsid w:val="00C53635"/>
    <w:rsid w:val="00C63053"/>
    <w:rsid w:val="00C6595A"/>
    <w:rsid w:val="00C71B41"/>
    <w:rsid w:val="00C826C7"/>
    <w:rsid w:val="00C916A8"/>
    <w:rsid w:val="00C93CBE"/>
    <w:rsid w:val="00CA2A1C"/>
    <w:rsid w:val="00CA4A9F"/>
    <w:rsid w:val="00CB457F"/>
    <w:rsid w:val="00CD33C7"/>
    <w:rsid w:val="00CD6CA2"/>
    <w:rsid w:val="00CE29CF"/>
    <w:rsid w:val="00CE3412"/>
    <w:rsid w:val="00D10C34"/>
    <w:rsid w:val="00D14190"/>
    <w:rsid w:val="00D16F2A"/>
    <w:rsid w:val="00D25BFF"/>
    <w:rsid w:val="00D35229"/>
    <w:rsid w:val="00D54FE4"/>
    <w:rsid w:val="00D568D2"/>
    <w:rsid w:val="00D56BE5"/>
    <w:rsid w:val="00D57114"/>
    <w:rsid w:val="00D608E0"/>
    <w:rsid w:val="00D6101C"/>
    <w:rsid w:val="00D7038A"/>
    <w:rsid w:val="00D70797"/>
    <w:rsid w:val="00D709AB"/>
    <w:rsid w:val="00D7120F"/>
    <w:rsid w:val="00D716F7"/>
    <w:rsid w:val="00D752B1"/>
    <w:rsid w:val="00D76C00"/>
    <w:rsid w:val="00D76F66"/>
    <w:rsid w:val="00D932E0"/>
    <w:rsid w:val="00D9703E"/>
    <w:rsid w:val="00DA4E59"/>
    <w:rsid w:val="00DA5660"/>
    <w:rsid w:val="00DB3929"/>
    <w:rsid w:val="00DB4CEA"/>
    <w:rsid w:val="00DC1D0F"/>
    <w:rsid w:val="00DC3183"/>
    <w:rsid w:val="00DC4D2F"/>
    <w:rsid w:val="00DD09B2"/>
    <w:rsid w:val="00DD30BA"/>
    <w:rsid w:val="00DD6E4D"/>
    <w:rsid w:val="00DD7E72"/>
    <w:rsid w:val="00DE1B55"/>
    <w:rsid w:val="00DF70FF"/>
    <w:rsid w:val="00DF7128"/>
    <w:rsid w:val="00E00688"/>
    <w:rsid w:val="00E0737D"/>
    <w:rsid w:val="00E20359"/>
    <w:rsid w:val="00E26178"/>
    <w:rsid w:val="00E33581"/>
    <w:rsid w:val="00E54001"/>
    <w:rsid w:val="00E54401"/>
    <w:rsid w:val="00E63932"/>
    <w:rsid w:val="00E670E1"/>
    <w:rsid w:val="00E72FD5"/>
    <w:rsid w:val="00E74E1F"/>
    <w:rsid w:val="00E80776"/>
    <w:rsid w:val="00E8286C"/>
    <w:rsid w:val="00E872CA"/>
    <w:rsid w:val="00E87339"/>
    <w:rsid w:val="00E94919"/>
    <w:rsid w:val="00E97438"/>
    <w:rsid w:val="00E97875"/>
    <w:rsid w:val="00EC2DC1"/>
    <w:rsid w:val="00ED753C"/>
    <w:rsid w:val="00EE3A95"/>
    <w:rsid w:val="00EE4763"/>
    <w:rsid w:val="00EE72C9"/>
    <w:rsid w:val="00F07E5F"/>
    <w:rsid w:val="00F154C8"/>
    <w:rsid w:val="00F16C89"/>
    <w:rsid w:val="00F1709D"/>
    <w:rsid w:val="00F26E0C"/>
    <w:rsid w:val="00F33EFE"/>
    <w:rsid w:val="00F43296"/>
    <w:rsid w:val="00F45709"/>
    <w:rsid w:val="00F70362"/>
    <w:rsid w:val="00F75C21"/>
    <w:rsid w:val="00F87EFA"/>
    <w:rsid w:val="00F91942"/>
    <w:rsid w:val="00F91E1F"/>
    <w:rsid w:val="00FA664B"/>
    <w:rsid w:val="00FB1ABD"/>
    <w:rsid w:val="00FB26A1"/>
    <w:rsid w:val="00FB31D5"/>
    <w:rsid w:val="00FB409C"/>
    <w:rsid w:val="00FC37C1"/>
    <w:rsid w:val="00FC4111"/>
    <w:rsid w:val="00FD5514"/>
    <w:rsid w:val="00FD6CA1"/>
    <w:rsid w:val="00FE6F28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66730A"/>
  <w15:docId w15:val="{B2A7840B-3E5B-4678-896D-999C8E8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8EC"/>
  </w:style>
  <w:style w:type="paragraph" w:styleId="Heading1">
    <w:name w:val="heading 1"/>
    <w:basedOn w:val="Normal"/>
    <w:next w:val="Normal"/>
    <w:link w:val="Heading1Char"/>
    <w:uiPriority w:val="9"/>
    <w:qFormat/>
    <w:rsid w:val="00DE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3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6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62A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2A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2AC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E7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D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711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11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11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11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11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770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1B55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B5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1B5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C9E13-7B24-4F31-8F2A-469C6CA4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5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Sloan School of Management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Technology Services</dc:creator>
  <cp:keywords/>
  <dc:description/>
  <cp:lastModifiedBy>Marios Antreou</cp:lastModifiedBy>
  <cp:revision>6</cp:revision>
  <cp:lastPrinted>2016-10-16T16:16:00Z</cp:lastPrinted>
  <dcterms:created xsi:type="dcterms:W3CDTF">2020-02-23T14:47:00Z</dcterms:created>
  <dcterms:modified xsi:type="dcterms:W3CDTF">2025-05-03T14:48:00Z</dcterms:modified>
</cp:coreProperties>
</file>