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2DBC5" w14:textId="77777777" w:rsidR="009A7C5E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3169A7">
        <w:rPr>
          <w:b/>
          <w:sz w:val="28"/>
        </w:rPr>
        <w:t xml:space="preserve">ntrepreneurship Workbook </w:t>
      </w:r>
    </w:p>
    <w:p w14:paraId="49781669" w14:textId="3F55F320" w:rsidR="00523400" w:rsidRPr="001F1D78" w:rsidRDefault="003169A7" w:rsidP="00EB16EB">
      <w:pPr>
        <w:pStyle w:val="Heading1"/>
      </w:pPr>
      <w:r>
        <w:t>Step 21</w:t>
      </w:r>
      <w:r w:rsidR="00CD33C7" w:rsidRPr="001F1D78">
        <w:t xml:space="preserve">:  </w:t>
      </w:r>
      <w:r>
        <w:t>Test</w:t>
      </w:r>
      <w:r w:rsidR="00E3775E">
        <w:t xml:space="preserve"> Key Assumptions</w:t>
      </w:r>
    </w:p>
    <w:p w14:paraId="53BFEE74" w14:textId="3DE25745" w:rsidR="007216C7" w:rsidRDefault="007216C7" w:rsidP="00EB16EB">
      <w:pPr>
        <w:pStyle w:val="Heading2"/>
      </w:pPr>
      <w:r w:rsidRPr="00AE0985">
        <w:t>W</w:t>
      </w:r>
      <w:r w:rsidR="00DB3929" w:rsidRPr="00AE0985">
        <w:t>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667"/>
        <w:gridCol w:w="2275"/>
        <w:gridCol w:w="2485"/>
        <w:gridCol w:w="400"/>
        <w:gridCol w:w="2523"/>
      </w:tblGrid>
      <w:tr w:rsidR="00E750D7" w:rsidRPr="003F1229" w14:paraId="62CD82B1" w14:textId="77777777" w:rsidTr="00D35568">
        <w:tc>
          <w:tcPr>
            <w:tcW w:w="8267" w:type="dxa"/>
            <w:gridSpan w:val="5"/>
          </w:tcPr>
          <w:p w14:paraId="052BABFD" w14:textId="2F3AD92B" w:rsidR="00E750D7" w:rsidRPr="003F1229" w:rsidRDefault="00E750D7" w:rsidP="00EB16EB">
            <w:pPr>
              <w:pStyle w:val="Heading3"/>
            </w:pPr>
            <w:r>
              <w:t>Test</w:t>
            </w:r>
            <w:r w:rsidRPr="003F1229">
              <w:t xml:space="preserve"> Key Overall Assumptions</w:t>
            </w:r>
          </w:p>
        </w:tc>
        <w:tc>
          <w:tcPr>
            <w:tcW w:w="2523" w:type="dxa"/>
          </w:tcPr>
          <w:p w14:paraId="7771C633" w14:textId="77777777" w:rsidR="00E750D7" w:rsidRDefault="00E750D7" w:rsidP="003F1229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9A7C5E" w:rsidRPr="003F1229" w14:paraId="74AE0088" w14:textId="77777777" w:rsidTr="0044442C">
        <w:tc>
          <w:tcPr>
            <w:tcW w:w="440" w:type="dxa"/>
          </w:tcPr>
          <w:p w14:paraId="011BBD5C" w14:textId="77777777" w:rsidR="009A7C5E" w:rsidRPr="003F1229" w:rsidRDefault="009A7C5E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#</w:t>
            </w:r>
          </w:p>
        </w:tc>
        <w:tc>
          <w:tcPr>
            <w:tcW w:w="2667" w:type="dxa"/>
          </w:tcPr>
          <w:p w14:paraId="203C2BF8" w14:textId="7851E679" w:rsidR="009A7C5E" w:rsidRPr="003F1229" w:rsidRDefault="009A7C5E" w:rsidP="00E750D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Empirical Test (in order from most important to least important, based on the risk levels of the related assumption(s))</w:t>
            </w:r>
          </w:p>
        </w:tc>
        <w:tc>
          <w:tcPr>
            <w:tcW w:w="2275" w:type="dxa"/>
          </w:tcPr>
          <w:p w14:paraId="3F6F8FC1" w14:textId="77777777" w:rsidR="009A7C5E" w:rsidRPr="003F1229" w:rsidRDefault="009A7C5E" w:rsidP="009737D4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 xml:space="preserve">Related </w:t>
            </w:r>
            <w:r>
              <w:rPr>
                <w:b/>
                <w:u w:val="single"/>
              </w:rPr>
              <w:t>Assumption(s)</w:t>
            </w:r>
          </w:p>
        </w:tc>
        <w:tc>
          <w:tcPr>
            <w:tcW w:w="2485" w:type="dxa"/>
          </w:tcPr>
          <w:p w14:paraId="066645A2" w14:textId="77777777" w:rsidR="009A7C5E" w:rsidRPr="003F1229" w:rsidRDefault="009A7C5E" w:rsidP="003F122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Resources Required for Test</w:t>
            </w:r>
          </w:p>
        </w:tc>
        <w:tc>
          <w:tcPr>
            <w:tcW w:w="2923" w:type="dxa"/>
            <w:gridSpan w:val="2"/>
          </w:tcPr>
          <w:p w14:paraId="1C89FCA5" w14:textId="77777777" w:rsidR="009A7C5E" w:rsidRDefault="009A7C5E" w:rsidP="003F122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What Outcome(s) Would Validate Your Assumption(s)?</w:t>
            </w:r>
          </w:p>
        </w:tc>
      </w:tr>
      <w:tr w:rsidR="009A7C5E" w14:paraId="4AA7EFAA" w14:textId="77777777" w:rsidTr="0044442C">
        <w:tc>
          <w:tcPr>
            <w:tcW w:w="440" w:type="dxa"/>
          </w:tcPr>
          <w:p w14:paraId="52576342" w14:textId="77777777" w:rsidR="009A7C5E" w:rsidRDefault="009A7C5E" w:rsidP="003F1229">
            <w:r>
              <w:t>1</w:t>
            </w:r>
          </w:p>
        </w:tc>
        <w:tc>
          <w:tcPr>
            <w:tcW w:w="2667" w:type="dxa"/>
          </w:tcPr>
          <w:p w14:paraId="7D87AC92" w14:textId="20585785" w:rsidR="009A7C5E" w:rsidRDefault="00D35568" w:rsidP="003F1229">
            <w:r w:rsidRPr="00D35568">
              <w:t>Run a paid ad campaign to measure conversion rate from lead to paying user</w:t>
            </w:r>
          </w:p>
          <w:p w14:paraId="58F455D3" w14:textId="77777777" w:rsidR="009A7C5E" w:rsidRDefault="009A7C5E" w:rsidP="003F1229"/>
        </w:tc>
        <w:tc>
          <w:tcPr>
            <w:tcW w:w="2275" w:type="dxa"/>
          </w:tcPr>
          <w:p w14:paraId="308D5200" w14:textId="32004935" w:rsidR="009A7C5E" w:rsidRDefault="00D35568" w:rsidP="003F1229">
            <w:r w:rsidRPr="00D35568">
              <w:t>#5: Conversion rate from lead to paying customer ≥ 5%</w:t>
            </w:r>
          </w:p>
        </w:tc>
        <w:tc>
          <w:tcPr>
            <w:tcW w:w="2485" w:type="dxa"/>
          </w:tcPr>
          <w:p w14:paraId="776279BC" w14:textId="337A670D" w:rsidR="009A7C5E" w:rsidRDefault="0044442C" w:rsidP="003F1229">
            <w:r w:rsidRPr="0044442C">
              <w:t>€5,000 marketing budget, landing page, analytics</w:t>
            </w:r>
          </w:p>
        </w:tc>
        <w:tc>
          <w:tcPr>
            <w:tcW w:w="2923" w:type="dxa"/>
            <w:gridSpan w:val="2"/>
          </w:tcPr>
          <w:p w14:paraId="17E516CA" w14:textId="66631804" w:rsidR="009A7C5E" w:rsidRDefault="0044442C" w:rsidP="003F1229">
            <w:r w:rsidRPr="0044442C">
              <w:t>Conversion rate of ≥ 5% sustained across multiple channels</w:t>
            </w:r>
          </w:p>
        </w:tc>
      </w:tr>
      <w:tr w:rsidR="009A7C5E" w14:paraId="6D9C7831" w14:textId="77777777" w:rsidTr="0044442C">
        <w:tc>
          <w:tcPr>
            <w:tcW w:w="440" w:type="dxa"/>
          </w:tcPr>
          <w:p w14:paraId="27A23403" w14:textId="77777777" w:rsidR="009A7C5E" w:rsidRDefault="009A7C5E" w:rsidP="003F1229">
            <w:r>
              <w:t>2</w:t>
            </w:r>
          </w:p>
        </w:tc>
        <w:tc>
          <w:tcPr>
            <w:tcW w:w="2667" w:type="dxa"/>
          </w:tcPr>
          <w:p w14:paraId="14B2161C" w14:textId="0EB318C9" w:rsidR="009A7C5E" w:rsidRDefault="00D35568" w:rsidP="003F1229">
            <w:r w:rsidRPr="00D35568">
              <w:t>Conduct A/B pricing tests on early adopters</w:t>
            </w:r>
          </w:p>
          <w:p w14:paraId="0F06DA6F" w14:textId="77777777" w:rsidR="009A7C5E" w:rsidRDefault="009A7C5E" w:rsidP="003F1229"/>
        </w:tc>
        <w:tc>
          <w:tcPr>
            <w:tcW w:w="2275" w:type="dxa"/>
          </w:tcPr>
          <w:p w14:paraId="14F698E3" w14:textId="29ECD832" w:rsidR="009A7C5E" w:rsidRDefault="00D35568" w:rsidP="003F1229">
            <w:r w:rsidRPr="00D35568">
              <w:t>#4: Target customers are willing to pay €10+/month</w:t>
            </w:r>
          </w:p>
        </w:tc>
        <w:tc>
          <w:tcPr>
            <w:tcW w:w="2485" w:type="dxa"/>
          </w:tcPr>
          <w:p w14:paraId="5750D4E7" w14:textId="428DCC7C" w:rsidR="009A7C5E" w:rsidRDefault="0044442C" w:rsidP="003F1229">
            <w:r w:rsidRPr="0044442C">
              <w:t>Pricing tools, sample customers, survey software</w:t>
            </w:r>
          </w:p>
        </w:tc>
        <w:tc>
          <w:tcPr>
            <w:tcW w:w="2923" w:type="dxa"/>
            <w:gridSpan w:val="2"/>
          </w:tcPr>
          <w:p w14:paraId="530478D5" w14:textId="6A7AACF1" w:rsidR="009A7C5E" w:rsidRDefault="0044442C" w:rsidP="003F1229">
            <w:r w:rsidRPr="0044442C">
              <w:t>70%+ of users accept at least €10/month pricing</w:t>
            </w:r>
          </w:p>
        </w:tc>
      </w:tr>
      <w:tr w:rsidR="009A7C5E" w14:paraId="354D4C2C" w14:textId="77777777" w:rsidTr="0044442C">
        <w:tc>
          <w:tcPr>
            <w:tcW w:w="440" w:type="dxa"/>
          </w:tcPr>
          <w:p w14:paraId="26BBD076" w14:textId="77777777" w:rsidR="009A7C5E" w:rsidRDefault="009A7C5E" w:rsidP="003F1229">
            <w:r>
              <w:t>3</w:t>
            </w:r>
          </w:p>
        </w:tc>
        <w:tc>
          <w:tcPr>
            <w:tcW w:w="2667" w:type="dxa"/>
          </w:tcPr>
          <w:p w14:paraId="0E38FEA2" w14:textId="20C885D8" w:rsidR="009A7C5E" w:rsidRDefault="00D35568" w:rsidP="003F1229">
            <w:r w:rsidRPr="00D35568">
              <w:t>Launch targeted outreach to 50 businesses in 2 target verticals</w:t>
            </w:r>
          </w:p>
          <w:p w14:paraId="3B8D566F" w14:textId="77777777" w:rsidR="009A7C5E" w:rsidRDefault="009A7C5E" w:rsidP="003F1229"/>
        </w:tc>
        <w:tc>
          <w:tcPr>
            <w:tcW w:w="2275" w:type="dxa"/>
          </w:tcPr>
          <w:p w14:paraId="3839A20A" w14:textId="1E626842" w:rsidR="009A7C5E" w:rsidRDefault="00D35568" w:rsidP="003F1229">
            <w:r w:rsidRPr="00D35568">
              <w:t>#1: Core target customers will adopt the product as expected</w:t>
            </w:r>
          </w:p>
        </w:tc>
        <w:tc>
          <w:tcPr>
            <w:tcW w:w="2485" w:type="dxa"/>
          </w:tcPr>
          <w:p w14:paraId="1C5D890F" w14:textId="37DACFAD" w:rsidR="009A7C5E" w:rsidRDefault="0044442C" w:rsidP="003F1229">
            <w:r w:rsidRPr="0044442C">
              <w:t>CRM, cold outreach team, case studies</w:t>
            </w:r>
          </w:p>
        </w:tc>
        <w:tc>
          <w:tcPr>
            <w:tcW w:w="2923" w:type="dxa"/>
            <w:gridSpan w:val="2"/>
          </w:tcPr>
          <w:p w14:paraId="4B5FCD21" w14:textId="65AFB85E" w:rsidR="009A7C5E" w:rsidRDefault="0044442C" w:rsidP="003F1229">
            <w:r w:rsidRPr="0044442C">
              <w:t>Positive response rate ≥ 30%; at least 5 paying customers</w:t>
            </w:r>
          </w:p>
        </w:tc>
      </w:tr>
      <w:tr w:rsidR="009A7C5E" w14:paraId="62010037" w14:textId="77777777" w:rsidTr="0044442C">
        <w:tc>
          <w:tcPr>
            <w:tcW w:w="440" w:type="dxa"/>
          </w:tcPr>
          <w:p w14:paraId="716FFE03" w14:textId="77777777" w:rsidR="009A7C5E" w:rsidRDefault="009A7C5E" w:rsidP="003F1229">
            <w:r>
              <w:t>4</w:t>
            </w:r>
          </w:p>
        </w:tc>
        <w:tc>
          <w:tcPr>
            <w:tcW w:w="2667" w:type="dxa"/>
          </w:tcPr>
          <w:p w14:paraId="7070A49C" w14:textId="4336C0FD" w:rsidR="009A7C5E" w:rsidRDefault="00D35568" w:rsidP="003F1229">
            <w:r w:rsidRPr="00D35568">
              <w:t>Track user churn over 3 months from onboarding</w:t>
            </w:r>
          </w:p>
          <w:p w14:paraId="2C67E7B0" w14:textId="77777777" w:rsidR="009A7C5E" w:rsidRDefault="009A7C5E" w:rsidP="003F1229"/>
        </w:tc>
        <w:tc>
          <w:tcPr>
            <w:tcW w:w="2275" w:type="dxa"/>
          </w:tcPr>
          <w:p w14:paraId="29301DE3" w14:textId="70B93F90" w:rsidR="009A7C5E" w:rsidRDefault="00D35568" w:rsidP="003F1229">
            <w:r w:rsidRPr="00D35568">
              <w:t>#2: Users will retain for 12+ months on average</w:t>
            </w:r>
            <w:r w:rsidRPr="00D35568">
              <w:tab/>
            </w:r>
          </w:p>
        </w:tc>
        <w:tc>
          <w:tcPr>
            <w:tcW w:w="2485" w:type="dxa"/>
          </w:tcPr>
          <w:p w14:paraId="69F34A2D" w14:textId="3B7A8BA3" w:rsidR="009A7C5E" w:rsidRDefault="0044442C" w:rsidP="003F1229">
            <w:r w:rsidRPr="0044442C">
              <w:t>Product usage data, user interviews, cohort analysis</w:t>
            </w:r>
          </w:p>
        </w:tc>
        <w:tc>
          <w:tcPr>
            <w:tcW w:w="2923" w:type="dxa"/>
            <w:gridSpan w:val="2"/>
          </w:tcPr>
          <w:p w14:paraId="357198D5" w14:textId="5B9A0F90" w:rsidR="009A7C5E" w:rsidRDefault="0044442C" w:rsidP="003F1229">
            <w:r w:rsidRPr="0044442C">
              <w:t>Retention of ≥ 70% at 3 months, churn &lt; 5% monthly</w:t>
            </w:r>
          </w:p>
        </w:tc>
      </w:tr>
      <w:tr w:rsidR="009A7C5E" w14:paraId="05500C81" w14:textId="77777777" w:rsidTr="0044442C">
        <w:tc>
          <w:tcPr>
            <w:tcW w:w="440" w:type="dxa"/>
          </w:tcPr>
          <w:p w14:paraId="5B7219D7" w14:textId="77777777" w:rsidR="009A7C5E" w:rsidRDefault="009A7C5E" w:rsidP="003F1229">
            <w:r>
              <w:t>5</w:t>
            </w:r>
          </w:p>
        </w:tc>
        <w:tc>
          <w:tcPr>
            <w:tcW w:w="2667" w:type="dxa"/>
          </w:tcPr>
          <w:p w14:paraId="43564178" w14:textId="2DB7A8CC" w:rsidR="009A7C5E" w:rsidRDefault="00D35568" w:rsidP="003F1229">
            <w:r w:rsidRPr="00D35568">
              <w:t>Test SEO content strategy and lead capture funnel</w:t>
            </w:r>
          </w:p>
          <w:p w14:paraId="5F1A75CE" w14:textId="77777777" w:rsidR="009A7C5E" w:rsidRDefault="009A7C5E" w:rsidP="003F1229"/>
        </w:tc>
        <w:tc>
          <w:tcPr>
            <w:tcW w:w="2275" w:type="dxa"/>
          </w:tcPr>
          <w:p w14:paraId="1526382E" w14:textId="62212688" w:rsidR="009A7C5E" w:rsidRDefault="00D35568" w:rsidP="003F1229">
            <w:r w:rsidRPr="00D35568">
              <w:t>#3: Website will drive 20%+ of leads via organic traffic</w:t>
            </w:r>
          </w:p>
        </w:tc>
        <w:tc>
          <w:tcPr>
            <w:tcW w:w="2485" w:type="dxa"/>
          </w:tcPr>
          <w:p w14:paraId="74FF48E4" w14:textId="61E3E314" w:rsidR="009A7C5E" w:rsidRDefault="0044442C" w:rsidP="003F1229">
            <w:r w:rsidRPr="0044442C">
              <w:t>SEO content, analytics tools, landing page</w:t>
            </w:r>
          </w:p>
        </w:tc>
        <w:tc>
          <w:tcPr>
            <w:tcW w:w="2923" w:type="dxa"/>
            <w:gridSpan w:val="2"/>
          </w:tcPr>
          <w:p w14:paraId="009C4001" w14:textId="3B02C4A7" w:rsidR="009A7C5E" w:rsidRDefault="0044442C" w:rsidP="003F1229">
            <w:r w:rsidRPr="0044442C">
              <w:t>Organic traffic converts 2–5% with 20%+ lead share</w:t>
            </w:r>
          </w:p>
        </w:tc>
      </w:tr>
      <w:tr w:rsidR="009A7C5E" w14:paraId="0A469F83" w14:textId="77777777" w:rsidTr="0044442C">
        <w:tc>
          <w:tcPr>
            <w:tcW w:w="440" w:type="dxa"/>
          </w:tcPr>
          <w:p w14:paraId="6AFC75CC" w14:textId="77777777" w:rsidR="009A7C5E" w:rsidRDefault="009A7C5E" w:rsidP="003F1229">
            <w:r>
              <w:t>6</w:t>
            </w:r>
          </w:p>
        </w:tc>
        <w:tc>
          <w:tcPr>
            <w:tcW w:w="2667" w:type="dxa"/>
          </w:tcPr>
          <w:p w14:paraId="723FFCA3" w14:textId="788AE8F9" w:rsidR="009A7C5E" w:rsidRDefault="00D35568" w:rsidP="003F1229">
            <w:r w:rsidRPr="00D35568">
              <w:t>Pilot partnerships with 3 influencers</w:t>
            </w:r>
          </w:p>
          <w:p w14:paraId="1BCBFEF7" w14:textId="77777777" w:rsidR="009A7C5E" w:rsidRDefault="009A7C5E" w:rsidP="003F1229"/>
        </w:tc>
        <w:tc>
          <w:tcPr>
            <w:tcW w:w="2275" w:type="dxa"/>
          </w:tcPr>
          <w:p w14:paraId="7C01060B" w14:textId="550CA9D7" w:rsidR="009A7C5E" w:rsidRDefault="00D35568" w:rsidP="003F1229">
            <w:r w:rsidRPr="00D35568">
              <w:t>#6: Influencer marketing drives measurable customer acquisition</w:t>
            </w:r>
          </w:p>
        </w:tc>
        <w:tc>
          <w:tcPr>
            <w:tcW w:w="2485" w:type="dxa"/>
          </w:tcPr>
          <w:p w14:paraId="358B4B96" w14:textId="6E074ED2" w:rsidR="009A7C5E" w:rsidRDefault="0044442C" w:rsidP="003F1229">
            <w:r w:rsidRPr="0044442C">
              <w:t>Influencer fees, tracking links, offer codes</w:t>
            </w:r>
          </w:p>
        </w:tc>
        <w:tc>
          <w:tcPr>
            <w:tcW w:w="2923" w:type="dxa"/>
            <w:gridSpan w:val="2"/>
          </w:tcPr>
          <w:p w14:paraId="3BDF8D90" w14:textId="63A03E2D" w:rsidR="009A7C5E" w:rsidRDefault="0044442C" w:rsidP="003F1229">
            <w:r w:rsidRPr="0044442C">
              <w:t>Cost per acquisition (CPA) under €60 with sustained engagement</w:t>
            </w:r>
          </w:p>
        </w:tc>
      </w:tr>
      <w:tr w:rsidR="009A7C5E" w14:paraId="22111C85" w14:textId="77777777" w:rsidTr="0044442C">
        <w:tc>
          <w:tcPr>
            <w:tcW w:w="440" w:type="dxa"/>
          </w:tcPr>
          <w:p w14:paraId="52622208" w14:textId="77777777" w:rsidR="009A7C5E" w:rsidRDefault="009A7C5E" w:rsidP="003F1229">
            <w:r>
              <w:t>7</w:t>
            </w:r>
          </w:p>
        </w:tc>
        <w:tc>
          <w:tcPr>
            <w:tcW w:w="2667" w:type="dxa"/>
          </w:tcPr>
          <w:p w14:paraId="19C064A6" w14:textId="489746EA" w:rsidR="009A7C5E" w:rsidRDefault="00D35568" w:rsidP="003F1229">
            <w:r w:rsidRPr="00D35568">
              <w:t>Trial an automated chat onboarding funnel</w:t>
            </w:r>
          </w:p>
          <w:p w14:paraId="04E202AF" w14:textId="77777777" w:rsidR="009A7C5E" w:rsidRDefault="009A7C5E" w:rsidP="003F1229"/>
        </w:tc>
        <w:tc>
          <w:tcPr>
            <w:tcW w:w="2275" w:type="dxa"/>
          </w:tcPr>
          <w:p w14:paraId="6D8DA6E6" w14:textId="4684CF23" w:rsidR="009A7C5E" w:rsidRDefault="00D35568" w:rsidP="003F1229">
            <w:r w:rsidRPr="00D35568">
              <w:t>#7: Customers will complete onboarding via automated flows</w:t>
            </w:r>
          </w:p>
        </w:tc>
        <w:tc>
          <w:tcPr>
            <w:tcW w:w="2485" w:type="dxa"/>
          </w:tcPr>
          <w:p w14:paraId="75877B4C" w14:textId="4BD12D07" w:rsidR="009A7C5E" w:rsidRDefault="0044442C" w:rsidP="003F1229">
            <w:r w:rsidRPr="0044442C">
              <w:t>Chatbot platform, onboarding scripts</w:t>
            </w:r>
            <w:r w:rsidRPr="0044442C">
              <w:tab/>
            </w:r>
          </w:p>
        </w:tc>
        <w:tc>
          <w:tcPr>
            <w:tcW w:w="2923" w:type="dxa"/>
            <w:gridSpan w:val="2"/>
          </w:tcPr>
          <w:p w14:paraId="69920685" w14:textId="19BC30AF" w:rsidR="009A7C5E" w:rsidRDefault="0044442C" w:rsidP="003F1229">
            <w:r w:rsidRPr="0044442C">
              <w:t>≥ 50% of signups successfully complete onboarding autonomously</w:t>
            </w:r>
          </w:p>
        </w:tc>
      </w:tr>
      <w:tr w:rsidR="009A7C5E" w14:paraId="501AEC11" w14:textId="77777777" w:rsidTr="0044442C">
        <w:tc>
          <w:tcPr>
            <w:tcW w:w="440" w:type="dxa"/>
          </w:tcPr>
          <w:p w14:paraId="057FEBFE" w14:textId="77777777" w:rsidR="009A7C5E" w:rsidRDefault="009A7C5E" w:rsidP="003F1229">
            <w:r>
              <w:t>8</w:t>
            </w:r>
          </w:p>
        </w:tc>
        <w:tc>
          <w:tcPr>
            <w:tcW w:w="2667" w:type="dxa"/>
          </w:tcPr>
          <w:p w14:paraId="178D224D" w14:textId="5397B2BD" w:rsidR="009A7C5E" w:rsidRDefault="00D35568" w:rsidP="003F1229">
            <w:r w:rsidRPr="00D35568">
              <w:t>Run financial model with 10% higher churn</w:t>
            </w:r>
          </w:p>
          <w:p w14:paraId="1C69B233" w14:textId="77777777" w:rsidR="009A7C5E" w:rsidRDefault="009A7C5E" w:rsidP="003F1229"/>
        </w:tc>
        <w:tc>
          <w:tcPr>
            <w:tcW w:w="2275" w:type="dxa"/>
          </w:tcPr>
          <w:p w14:paraId="1DE61A48" w14:textId="2B7B047B" w:rsidR="009A7C5E" w:rsidRDefault="00D35568" w:rsidP="003F1229">
            <w:r w:rsidRPr="00D35568">
              <w:t>#8: Current LTV estimates are resilient to moderate churn</w:t>
            </w:r>
            <w:r w:rsidRPr="00D35568">
              <w:tab/>
            </w:r>
          </w:p>
        </w:tc>
        <w:tc>
          <w:tcPr>
            <w:tcW w:w="2485" w:type="dxa"/>
          </w:tcPr>
          <w:p w14:paraId="33C3E13C" w14:textId="2DCDC4EA" w:rsidR="009A7C5E" w:rsidRDefault="0044442C" w:rsidP="003F1229">
            <w:r w:rsidRPr="0044442C">
              <w:t>Spreadsheet model, historical churn data</w:t>
            </w:r>
          </w:p>
        </w:tc>
        <w:tc>
          <w:tcPr>
            <w:tcW w:w="2923" w:type="dxa"/>
            <w:gridSpan w:val="2"/>
          </w:tcPr>
          <w:p w14:paraId="7CA48F50" w14:textId="1784421F" w:rsidR="009A7C5E" w:rsidRDefault="0044442C" w:rsidP="003F1229">
            <w:r w:rsidRPr="0044442C">
              <w:t>LTV remains 3x COCA even with 10% higher churn</w:t>
            </w:r>
          </w:p>
        </w:tc>
      </w:tr>
      <w:tr w:rsidR="009A7C5E" w14:paraId="325D1154" w14:textId="77777777" w:rsidTr="0044442C">
        <w:tc>
          <w:tcPr>
            <w:tcW w:w="440" w:type="dxa"/>
          </w:tcPr>
          <w:p w14:paraId="33DF39B1" w14:textId="77777777" w:rsidR="009A7C5E" w:rsidRDefault="009A7C5E" w:rsidP="003F1229">
            <w:r>
              <w:t>9</w:t>
            </w:r>
          </w:p>
        </w:tc>
        <w:tc>
          <w:tcPr>
            <w:tcW w:w="2667" w:type="dxa"/>
          </w:tcPr>
          <w:p w14:paraId="15B51C43" w14:textId="5D4EB0AD" w:rsidR="009A7C5E" w:rsidRDefault="00D35568" w:rsidP="003F1229">
            <w:r w:rsidRPr="00D35568">
              <w:t>Conduct qualitative user feedback interviews</w:t>
            </w:r>
          </w:p>
          <w:p w14:paraId="6009EB76" w14:textId="77777777" w:rsidR="009A7C5E" w:rsidRDefault="009A7C5E" w:rsidP="003F1229"/>
        </w:tc>
        <w:tc>
          <w:tcPr>
            <w:tcW w:w="2275" w:type="dxa"/>
          </w:tcPr>
          <w:p w14:paraId="779B05C0" w14:textId="34198FA6" w:rsidR="009A7C5E" w:rsidRDefault="0044442C" w:rsidP="003F1229">
            <w:r w:rsidRPr="0044442C">
              <w:t>#10: UX is intuitive without significant support</w:t>
            </w:r>
            <w:r w:rsidRPr="0044442C">
              <w:tab/>
            </w:r>
          </w:p>
        </w:tc>
        <w:tc>
          <w:tcPr>
            <w:tcW w:w="2485" w:type="dxa"/>
          </w:tcPr>
          <w:p w14:paraId="40DBF938" w14:textId="039FD5AF" w:rsidR="009A7C5E" w:rsidRDefault="0044442C" w:rsidP="003F1229">
            <w:r w:rsidRPr="0044442C">
              <w:t>Interview pool, UX researcher, usability recordings</w:t>
            </w:r>
          </w:p>
        </w:tc>
        <w:tc>
          <w:tcPr>
            <w:tcW w:w="2923" w:type="dxa"/>
            <w:gridSpan w:val="2"/>
          </w:tcPr>
          <w:p w14:paraId="51F4AB51" w14:textId="5F678076" w:rsidR="009A7C5E" w:rsidRDefault="0044442C" w:rsidP="003F1229">
            <w:r w:rsidRPr="0044442C">
              <w:t>80%+ of users rate experience as intuitive or better</w:t>
            </w:r>
          </w:p>
        </w:tc>
      </w:tr>
      <w:tr w:rsidR="009A7C5E" w14:paraId="551BDCDB" w14:textId="77777777" w:rsidTr="0044442C">
        <w:tc>
          <w:tcPr>
            <w:tcW w:w="440" w:type="dxa"/>
          </w:tcPr>
          <w:p w14:paraId="376E8142" w14:textId="77777777" w:rsidR="009A7C5E" w:rsidRDefault="009A7C5E" w:rsidP="003F1229">
            <w:r>
              <w:t>10</w:t>
            </w:r>
          </w:p>
        </w:tc>
        <w:tc>
          <w:tcPr>
            <w:tcW w:w="2667" w:type="dxa"/>
          </w:tcPr>
          <w:p w14:paraId="25618E3B" w14:textId="0A7D4AFA" w:rsidR="009A7C5E" w:rsidRDefault="00D35568" w:rsidP="003F1229">
            <w:r w:rsidRPr="00D35568">
              <w:t>Perform CRM cost-benefit analysis</w:t>
            </w:r>
          </w:p>
          <w:p w14:paraId="2A9A2B53" w14:textId="77777777" w:rsidR="009A7C5E" w:rsidRDefault="009A7C5E" w:rsidP="003F1229"/>
        </w:tc>
        <w:tc>
          <w:tcPr>
            <w:tcW w:w="2275" w:type="dxa"/>
          </w:tcPr>
          <w:p w14:paraId="777CEA56" w14:textId="03D57089" w:rsidR="009A7C5E" w:rsidRDefault="0044442C" w:rsidP="003F1229">
            <w:r w:rsidRPr="0044442C">
              <w:t>#9: CRM tooling remains cost-effective as we scale</w:t>
            </w:r>
          </w:p>
        </w:tc>
        <w:tc>
          <w:tcPr>
            <w:tcW w:w="2485" w:type="dxa"/>
          </w:tcPr>
          <w:p w14:paraId="6B607455" w14:textId="175FDBDE" w:rsidR="009A7C5E" w:rsidRDefault="0044442C" w:rsidP="003F1229">
            <w:r w:rsidRPr="0044442C">
              <w:t>CRM usage audit, pricing quotes</w:t>
            </w:r>
          </w:p>
        </w:tc>
        <w:tc>
          <w:tcPr>
            <w:tcW w:w="2923" w:type="dxa"/>
            <w:gridSpan w:val="2"/>
          </w:tcPr>
          <w:p w14:paraId="6E5BDC35" w14:textId="39CCE022" w:rsidR="009A7C5E" w:rsidRDefault="0044442C" w:rsidP="003F1229">
            <w:r w:rsidRPr="0044442C">
              <w:t>CRM cost per user &lt; €5/month with 90%+ team adoption</w:t>
            </w:r>
          </w:p>
        </w:tc>
      </w:tr>
    </w:tbl>
    <w:p w14:paraId="28F4A449" w14:textId="77777777" w:rsidR="003F1229" w:rsidRDefault="003F1229" w:rsidP="003F1229"/>
    <w:p w14:paraId="4C4F5F7B" w14:textId="77777777" w:rsidR="007E3824" w:rsidRDefault="007E3824" w:rsidP="003F122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705"/>
        <w:gridCol w:w="3102"/>
        <w:gridCol w:w="3543"/>
      </w:tblGrid>
      <w:tr w:rsidR="009C72EB" w:rsidRPr="003F1229" w14:paraId="0193C379" w14:textId="77777777" w:rsidTr="009C72EB">
        <w:tc>
          <w:tcPr>
            <w:tcW w:w="11016" w:type="dxa"/>
            <w:gridSpan w:val="4"/>
          </w:tcPr>
          <w:p w14:paraId="1C0EDF28" w14:textId="7FAA1E0F" w:rsidR="009C72EB" w:rsidRPr="003F1229" w:rsidRDefault="009C72EB" w:rsidP="00EB16EB">
            <w:pPr>
              <w:pStyle w:val="Heading3"/>
            </w:pPr>
            <w:r>
              <w:lastRenderedPageBreak/>
              <w:t>Results from Testing Key Assumptions</w:t>
            </w:r>
          </w:p>
        </w:tc>
      </w:tr>
      <w:tr w:rsidR="009C72EB" w:rsidRPr="003F1229" w14:paraId="09B65EF4" w14:textId="77777777" w:rsidTr="002B4039">
        <w:tc>
          <w:tcPr>
            <w:tcW w:w="440" w:type="dxa"/>
          </w:tcPr>
          <w:p w14:paraId="1CBEA671" w14:textId="77777777" w:rsidR="009C72EB" w:rsidRPr="003F1229" w:rsidRDefault="009C72EB" w:rsidP="009C72EB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#</w:t>
            </w:r>
          </w:p>
        </w:tc>
        <w:tc>
          <w:tcPr>
            <w:tcW w:w="3790" w:type="dxa"/>
          </w:tcPr>
          <w:p w14:paraId="5903FA58" w14:textId="77777777" w:rsidR="009C72EB" w:rsidRPr="003F1229" w:rsidRDefault="009C72EB" w:rsidP="009C72E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What did you learn from the test?</w:t>
            </w:r>
          </w:p>
        </w:tc>
        <w:tc>
          <w:tcPr>
            <w:tcW w:w="3168" w:type="dxa"/>
          </w:tcPr>
          <w:p w14:paraId="08A7D747" w14:textId="77777777" w:rsidR="009C72EB" w:rsidRPr="003F1229" w:rsidRDefault="009C72EB" w:rsidP="009C72E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Did the test validate your assumption? (Yes, No, or Not Knowable At This Point)</w:t>
            </w:r>
          </w:p>
        </w:tc>
        <w:tc>
          <w:tcPr>
            <w:tcW w:w="3618" w:type="dxa"/>
          </w:tcPr>
          <w:p w14:paraId="29FA7DBC" w14:textId="77777777" w:rsidR="009C72EB" w:rsidRPr="003F1229" w:rsidRDefault="009C72EB" w:rsidP="009C72E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What will you do as a result of this test? (e.g. revisions to work done in previous steps, additional testing of assumptions, etc.)</w:t>
            </w:r>
          </w:p>
        </w:tc>
      </w:tr>
      <w:tr w:rsidR="009C72EB" w14:paraId="209D484E" w14:textId="77777777" w:rsidTr="002B4039">
        <w:tc>
          <w:tcPr>
            <w:tcW w:w="440" w:type="dxa"/>
          </w:tcPr>
          <w:p w14:paraId="34657F52" w14:textId="77777777" w:rsidR="009C72EB" w:rsidRDefault="009C72EB" w:rsidP="009C72EB">
            <w:r>
              <w:t>1</w:t>
            </w:r>
          </w:p>
        </w:tc>
        <w:tc>
          <w:tcPr>
            <w:tcW w:w="3790" w:type="dxa"/>
          </w:tcPr>
          <w:p w14:paraId="34D24DF9" w14:textId="237D6129" w:rsidR="009C72EB" w:rsidRDefault="006F3A71" w:rsidP="009C72EB">
            <w:r w:rsidRPr="006F3A71">
              <w:t xml:space="preserve">Conversion rate from paid ads was 4.2% </w:t>
            </w:r>
            <w:r>
              <w:t>which is</w:t>
            </w:r>
            <w:r w:rsidRPr="006F3A71">
              <w:t xml:space="preserve"> slightly below goal</w:t>
            </w:r>
          </w:p>
          <w:p w14:paraId="0306137D" w14:textId="77777777" w:rsidR="009C72EB" w:rsidRDefault="009C72EB" w:rsidP="009C72EB"/>
        </w:tc>
        <w:tc>
          <w:tcPr>
            <w:tcW w:w="3168" w:type="dxa"/>
          </w:tcPr>
          <w:p w14:paraId="1B266792" w14:textId="38CA3672" w:rsidR="009C72EB" w:rsidRDefault="006F3A71" w:rsidP="009C72EB">
            <w:r>
              <w:t>No</w:t>
            </w:r>
          </w:p>
        </w:tc>
        <w:tc>
          <w:tcPr>
            <w:tcW w:w="3618" w:type="dxa"/>
          </w:tcPr>
          <w:p w14:paraId="2B60189F" w14:textId="59C0712F" w:rsidR="009C72EB" w:rsidRDefault="006F3A71" w:rsidP="009C72EB">
            <w:r w:rsidRPr="006F3A71">
              <w:t>Test different messaging, optimize landing page, retest with new campaign</w:t>
            </w:r>
          </w:p>
        </w:tc>
      </w:tr>
      <w:tr w:rsidR="009C72EB" w14:paraId="420F97E4" w14:textId="77777777" w:rsidTr="002B4039">
        <w:tc>
          <w:tcPr>
            <w:tcW w:w="440" w:type="dxa"/>
          </w:tcPr>
          <w:p w14:paraId="4CEBA92F" w14:textId="77777777" w:rsidR="009C72EB" w:rsidRDefault="009C72EB" w:rsidP="009C72EB">
            <w:r>
              <w:t>2</w:t>
            </w:r>
          </w:p>
        </w:tc>
        <w:tc>
          <w:tcPr>
            <w:tcW w:w="3790" w:type="dxa"/>
          </w:tcPr>
          <w:p w14:paraId="07C6498B" w14:textId="6EFD882A" w:rsidR="009C72EB" w:rsidRDefault="006F3A71" w:rsidP="009C72EB">
            <w:r w:rsidRPr="006F3A71">
              <w:t>A/B test showed 68% accepted €10+ pricing</w:t>
            </w:r>
          </w:p>
          <w:p w14:paraId="5D000853" w14:textId="77777777" w:rsidR="009C72EB" w:rsidRDefault="009C72EB" w:rsidP="009C72EB"/>
        </w:tc>
        <w:tc>
          <w:tcPr>
            <w:tcW w:w="3168" w:type="dxa"/>
          </w:tcPr>
          <w:p w14:paraId="654C4625" w14:textId="3FBC4926" w:rsidR="009C72EB" w:rsidRDefault="006F3A71" w:rsidP="009C72EB">
            <w:r>
              <w:t>Yes</w:t>
            </w:r>
          </w:p>
        </w:tc>
        <w:tc>
          <w:tcPr>
            <w:tcW w:w="3618" w:type="dxa"/>
          </w:tcPr>
          <w:p w14:paraId="3A2BEC28" w14:textId="39ADDCA1" w:rsidR="009C72EB" w:rsidRDefault="006F3A71" w:rsidP="009C72EB">
            <w:r w:rsidRPr="006F3A71">
              <w:t>Proceed with €10/month base pricing, explore tiered pricing options</w:t>
            </w:r>
          </w:p>
        </w:tc>
      </w:tr>
      <w:tr w:rsidR="009C72EB" w14:paraId="2BC938EF" w14:textId="77777777" w:rsidTr="002B4039">
        <w:tc>
          <w:tcPr>
            <w:tcW w:w="440" w:type="dxa"/>
          </w:tcPr>
          <w:p w14:paraId="6B42EC1A" w14:textId="77777777" w:rsidR="009C72EB" w:rsidRDefault="009C72EB" w:rsidP="009C72EB">
            <w:r>
              <w:t>3</w:t>
            </w:r>
          </w:p>
        </w:tc>
        <w:tc>
          <w:tcPr>
            <w:tcW w:w="3790" w:type="dxa"/>
          </w:tcPr>
          <w:p w14:paraId="01689F54" w14:textId="73F8B219" w:rsidR="009C72EB" w:rsidRDefault="00D35568" w:rsidP="009C72EB">
            <w:r w:rsidRPr="00D35568">
              <w:t>12 businesses responded positively, 6 converted</w:t>
            </w:r>
          </w:p>
          <w:p w14:paraId="25B512FD" w14:textId="77777777" w:rsidR="009C72EB" w:rsidRDefault="009C72EB" w:rsidP="009C72EB"/>
        </w:tc>
        <w:tc>
          <w:tcPr>
            <w:tcW w:w="3168" w:type="dxa"/>
          </w:tcPr>
          <w:p w14:paraId="2EA6339A" w14:textId="2680BE8D" w:rsidR="009C72EB" w:rsidRDefault="006F3A71" w:rsidP="009C72EB">
            <w:r>
              <w:t>Yes</w:t>
            </w:r>
          </w:p>
        </w:tc>
        <w:tc>
          <w:tcPr>
            <w:tcW w:w="3618" w:type="dxa"/>
          </w:tcPr>
          <w:p w14:paraId="3916690F" w14:textId="1A16C10C" w:rsidR="009C72EB" w:rsidRDefault="006F3A71" w:rsidP="009C72EB">
            <w:r w:rsidRPr="006F3A71">
              <w:t>Prioritize targeted outreach in GTM plan and scale with case studies</w:t>
            </w:r>
          </w:p>
        </w:tc>
      </w:tr>
      <w:tr w:rsidR="009C72EB" w14:paraId="450970FA" w14:textId="77777777" w:rsidTr="002B4039">
        <w:tc>
          <w:tcPr>
            <w:tcW w:w="440" w:type="dxa"/>
          </w:tcPr>
          <w:p w14:paraId="6199E7C3" w14:textId="77777777" w:rsidR="009C72EB" w:rsidRDefault="009C72EB" w:rsidP="009C72EB">
            <w:r>
              <w:t>4</w:t>
            </w:r>
          </w:p>
        </w:tc>
        <w:tc>
          <w:tcPr>
            <w:tcW w:w="3790" w:type="dxa"/>
          </w:tcPr>
          <w:p w14:paraId="685D13DB" w14:textId="0A80964A" w:rsidR="009C72EB" w:rsidRDefault="00D35568" w:rsidP="009C72EB">
            <w:r w:rsidRPr="00D35568">
              <w:t>Retention after 3 months was 72%</w:t>
            </w:r>
          </w:p>
          <w:p w14:paraId="55CFA79A" w14:textId="77777777" w:rsidR="009C72EB" w:rsidRDefault="009C72EB" w:rsidP="009C72EB"/>
        </w:tc>
        <w:tc>
          <w:tcPr>
            <w:tcW w:w="3168" w:type="dxa"/>
          </w:tcPr>
          <w:p w14:paraId="1A5DA021" w14:textId="401FA103" w:rsidR="009C72EB" w:rsidRDefault="006F3A71" w:rsidP="009C72EB">
            <w:r>
              <w:t>Yes</w:t>
            </w:r>
          </w:p>
        </w:tc>
        <w:tc>
          <w:tcPr>
            <w:tcW w:w="3618" w:type="dxa"/>
          </w:tcPr>
          <w:p w14:paraId="14D4DC05" w14:textId="413BD8EE" w:rsidR="009C72EB" w:rsidRDefault="006F3A71" w:rsidP="009C72EB">
            <w:r w:rsidRPr="006F3A71">
              <w:t>Continue current onboarding + support strategy, monitor churn monthly</w:t>
            </w:r>
          </w:p>
        </w:tc>
      </w:tr>
      <w:tr w:rsidR="009C72EB" w14:paraId="44426B2C" w14:textId="77777777" w:rsidTr="002B4039">
        <w:tc>
          <w:tcPr>
            <w:tcW w:w="440" w:type="dxa"/>
          </w:tcPr>
          <w:p w14:paraId="163FF366" w14:textId="77777777" w:rsidR="009C72EB" w:rsidRDefault="009C72EB" w:rsidP="009C72EB">
            <w:r>
              <w:t>5</w:t>
            </w:r>
          </w:p>
        </w:tc>
        <w:tc>
          <w:tcPr>
            <w:tcW w:w="3790" w:type="dxa"/>
          </w:tcPr>
          <w:p w14:paraId="2E695BF5" w14:textId="2C946356" w:rsidR="009C72EB" w:rsidRDefault="00D35568" w:rsidP="009C72EB">
            <w:r w:rsidRPr="00D35568">
              <w:t>Organic traffic produced 18% of leads, but CPA was high</w:t>
            </w:r>
          </w:p>
          <w:p w14:paraId="1AF99FEC" w14:textId="77777777" w:rsidR="009C72EB" w:rsidRDefault="009C72EB" w:rsidP="009C72EB"/>
        </w:tc>
        <w:tc>
          <w:tcPr>
            <w:tcW w:w="3168" w:type="dxa"/>
          </w:tcPr>
          <w:p w14:paraId="7578D302" w14:textId="378CDD54" w:rsidR="009C72EB" w:rsidRDefault="006F3A71" w:rsidP="009C72EB">
            <w:r>
              <w:t>No</w:t>
            </w:r>
          </w:p>
        </w:tc>
        <w:tc>
          <w:tcPr>
            <w:tcW w:w="3618" w:type="dxa"/>
          </w:tcPr>
          <w:p w14:paraId="3743EF5C" w14:textId="3FA901AD" w:rsidR="009C72EB" w:rsidRDefault="006F3A71" w:rsidP="009C72EB">
            <w:r w:rsidRPr="006F3A71">
              <w:t>Reevaluate SEO keyword focus, improve CTA on blog pages</w:t>
            </w:r>
          </w:p>
        </w:tc>
      </w:tr>
      <w:tr w:rsidR="009C72EB" w14:paraId="0336EE15" w14:textId="77777777" w:rsidTr="002B4039">
        <w:tc>
          <w:tcPr>
            <w:tcW w:w="440" w:type="dxa"/>
          </w:tcPr>
          <w:p w14:paraId="43164D27" w14:textId="77777777" w:rsidR="009C72EB" w:rsidRDefault="009C72EB" w:rsidP="009C72EB">
            <w:r>
              <w:t>6</w:t>
            </w:r>
          </w:p>
        </w:tc>
        <w:tc>
          <w:tcPr>
            <w:tcW w:w="3790" w:type="dxa"/>
          </w:tcPr>
          <w:p w14:paraId="499AA6A9" w14:textId="1C2AC14F" w:rsidR="009C72EB" w:rsidRDefault="00D35568" w:rsidP="009C72EB">
            <w:r w:rsidRPr="00D35568">
              <w:t>2 influencers outperformed CPA expectations</w:t>
            </w:r>
          </w:p>
          <w:p w14:paraId="4CF884E6" w14:textId="77777777" w:rsidR="009C72EB" w:rsidRDefault="009C72EB" w:rsidP="009C72EB"/>
        </w:tc>
        <w:tc>
          <w:tcPr>
            <w:tcW w:w="3168" w:type="dxa"/>
          </w:tcPr>
          <w:p w14:paraId="750F4DC8" w14:textId="5570858F" w:rsidR="009C72EB" w:rsidRDefault="006F3A71" w:rsidP="009C72EB">
            <w:r>
              <w:t>Yes</w:t>
            </w:r>
          </w:p>
        </w:tc>
        <w:tc>
          <w:tcPr>
            <w:tcW w:w="3618" w:type="dxa"/>
          </w:tcPr>
          <w:p w14:paraId="6727F6E0" w14:textId="2B7C69CD" w:rsidR="009C72EB" w:rsidRDefault="006F3A71" w:rsidP="009C72EB">
            <w:r w:rsidRPr="006F3A71">
              <w:t>Expand influencer strategy selectively with performance-based contracts</w:t>
            </w:r>
          </w:p>
        </w:tc>
      </w:tr>
      <w:tr w:rsidR="009C72EB" w14:paraId="4BEB22B2" w14:textId="77777777" w:rsidTr="002B4039">
        <w:tc>
          <w:tcPr>
            <w:tcW w:w="440" w:type="dxa"/>
          </w:tcPr>
          <w:p w14:paraId="6D585506" w14:textId="77777777" w:rsidR="009C72EB" w:rsidRDefault="009C72EB" w:rsidP="009C72EB">
            <w:r>
              <w:t>7</w:t>
            </w:r>
          </w:p>
        </w:tc>
        <w:tc>
          <w:tcPr>
            <w:tcW w:w="3790" w:type="dxa"/>
          </w:tcPr>
          <w:p w14:paraId="70C2A643" w14:textId="0B2F4F8D" w:rsidR="009C72EB" w:rsidRDefault="00D35568" w:rsidP="009C72EB">
            <w:r w:rsidRPr="00D35568">
              <w:t>55% of users completed onboarding via chatbot</w:t>
            </w:r>
          </w:p>
          <w:p w14:paraId="76715C6F" w14:textId="77777777" w:rsidR="009C72EB" w:rsidRDefault="009C72EB" w:rsidP="009C72EB"/>
        </w:tc>
        <w:tc>
          <w:tcPr>
            <w:tcW w:w="3168" w:type="dxa"/>
          </w:tcPr>
          <w:p w14:paraId="75F41784" w14:textId="5327EEB1" w:rsidR="009C72EB" w:rsidRDefault="006F3A71" w:rsidP="009C72EB">
            <w:r>
              <w:t>Yes</w:t>
            </w:r>
          </w:p>
        </w:tc>
        <w:tc>
          <w:tcPr>
            <w:tcW w:w="3618" w:type="dxa"/>
          </w:tcPr>
          <w:p w14:paraId="30371346" w14:textId="7511FF08" w:rsidR="009C72EB" w:rsidRDefault="006F3A71" w:rsidP="009C72EB">
            <w:r w:rsidRPr="006F3A71">
              <w:t>Roll out chatbot onboarding for all signups, track drop-offs</w:t>
            </w:r>
          </w:p>
        </w:tc>
      </w:tr>
      <w:tr w:rsidR="009C72EB" w14:paraId="206BD404" w14:textId="77777777" w:rsidTr="002B4039">
        <w:tc>
          <w:tcPr>
            <w:tcW w:w="440" w:type="dxa"/>
          </w:tcPr>
          <w:p w14:paraId="169EDE55" w14:textId="77777777" w:rsidR="009C72EB" w:rsidRDefault="009C72EB" w:rsidP="009C72EB">
            <w:r>
              <w:t>8</w:t>
            </w:r>
          </w:p>
        </w:tc>
        <w:tc>
          <w:tcPr>
            <w:tcW w:w="3790" w:type="dxa"/>
          </w:tcPr>
          <w:p w14:paraId="67C42A49" w14:textId="6F7838CD" w:rsidR="009C72EB" w:rsidRDefault="00D35568" w:rsidP="009C72EB">
            <w:r w:rsidRPr="00D35568">
              <w:t>LTV remained 3.1x COCA with 10% churn increase</w:t>
            </w:r>
          </w:p>
          <w:p w14:paraId="6B971054" w14:textId="77777777" w:rsidR="009C72EB" w:rsidRDefault="009C72EB" w:rsidP="009C72EB"/>
        </w:tc>
        <w:tc>
          <w:tcPr>
            <w:tcW w:w="3168" w:type="dxa"/>
          </w:tcPr>
          <w:p w14:paraId="1D5A503E" w14:textId="74B60FE5" w:rsidR="009C72EB" w:rsidRDefault="006F3A71" w:rsidP="009C72EB">
            <w:r>
              <w:t>Yes</w:t>
            </w:r>
          </w:p>
        </w:tc>
        <w:tc>
          <w:tcPr>
            <w:tcW w:w="3618" w:type="dxa"/>
          </w:tcPr>
          <w:p w14:paraId="2CC51964" w14:textId="5FEC1C7E" w:rsidR="009C72EB" w:rsidRDefault="006F3A71" w:rsidP="009C72EB">
            <w:r w:rsidRPr="006F3A71">
              <w:t>No immediate action needed, continue LTV sensitivity testing</w:t>
            </w:r>
          </w:p>
        </w:tc>
      </w:tr>
      <w:tr w:rsidR="009C72EB" w14:paraId="66BAFFB7" w14:textId="77777777" w:rsidTr="002B4039">
        <w:tc>
          <w:tcPr>
            <w:tcW w:w="440" w:type="dxa"/>
          </w:tcPr>
          <w:p w14:paraId="63B16A41" w14:textId="77777777" w:rsidR="009C72EB" w:rsidRDefault="009C72EB" w:rsidP="009C72EB">
            <w:r>
              <w:t>9</w:t>
            </w:r>
          </w:p>
        </w:tc>
        <w:tc>
          <w:tcPr>
            <w:tcW w:w="3790" w:type="dxa"/>
          </w:tcPr>
          <w:p w14:paraId="2846206C" w14:textId="56DDA2FB" w:rsidR="009C72EB" w:rsidRDefault="00D35568" w:rsidP="009C72EB">
            <w:r w:rsidRPr="00D35568">
              <w:t>85% of users rated the UX as intuitive</w:t>
            </w:r>
          </w:p>
          <w:p w14:paraId="25569CCA" w14:textId="77777777" w:rsidR="009C72EB" w:rsidRDefault="009C72EB" w:rsidP="009C72EB"/>
        </w:tc>
        <w:tc>
          <w:tcPr>
            <w:tcW w:w="3168" w:type="dxa"/>
          </w:tcPr>
          <w:p w14:paraId="06C9A4CA" w14:textId="6476A3DD" w:rsidR="009C72EB" w:rsidRDefault="006F3A71" w:rsidP="009C72EB">
            <w:r>
              <w:t>Yes</w:t>
            </w:r>
          </w:p>
        </w:tc>
        <w:tc>
          <w:tcPr>
            <w:tcW w:w="3618" w:type="dxa"/>
          </w:tcPr>
          <w:p w14:paraId="00C37DBA" w14:textId="09489149" w:rsidR="009C72EB" w:rsidRDefault="006F3A71" w:rsidP="009C72EB">
            <w:r w:rsidRPr="006F3A71">
              <w:t>Minor UX tweaks recommended, but no overhaul required</w:t>
            </w:r>
          </w:p>
        </w:tc>
      </w:tr>
      <w:tr w:rsidR="009C72EB" w14:paraId="04C1B83A" w14:textId="77777777" w:rsidTr="002B4039">
        <w:tc>
          <w:tcPr>
            <w:tcW w:w="440" w:type="dxa"/>
          </w:tcPr>
          <w:p w14:paraId="2EF103B2" w14:textId="77777777" w:rsidR="009C72EB" w:rsidRDefault="009C72EB" w:rsidP="009C72EB">
            <w:r>
              <w:t>10</w:t>
            </w:r>
          </w:p>
        </w:tc>
        <w:tc>
          <w:tcPr>
            <w:tcW w:w="3790" w:type="dxa"/>
          </w:tcPr>
          <w:p w14:paraId="6F279E66" w14:textId="722EC959" w:rsidR="009C72EB" w:rsidRDefault="00D35568" w:rsidP="009C72EB">
            <w:r w:rsidRPr="00D35568">
              <w:t>CRM cost per user was €4.20/month</w:t>
            </w:r>
          </w:p>
          <w:p w14:paraId="5DF4ADFB" w14:textId="77777777" w:rsidR="009C72EB" w:rsidRDefault="009C72EB" w:rsidP="009C72EB"/>
        </w:tc>
        <w:tc>
          <w:tcPr>
            <w:tcW w:w="3168" w:type="dxa"/>
          </w:tcPr>
          <w:p w14:paraId="0EC36B00" w14:textId="4D1DCD7B" w:rsidR="009C72EB" w:rsidRDefault="006F3A71" w:rsidP="009C72EB">
            <w:r>
              <w:t>Yes</w:t>
            </w:r>
          </w:p>
        </w:tc>
        <w:tc>
          <w:tcPr>
            <w:tcW w:w="3618" w:type="dxa"/>
          </w:tcPr>
          <w:p w14:paraId="79EC994A" w14:textId="53519A81" w:rsidR="009C72EB" w:rsidRDefault="006F3A71" w:rsidP="009C72EB">
            <w:r w:rsidRPr="006F3A71">
              <w:t>Maintain current CRM, monitor as team scales</w:t>
            </w:r>
          </w:p>
        </w:tc>
      </w:tr>
    </w:tbl>
    <w:p w14:paraId="16C544CA" w14:textId="77777777" w:rsidR="009C72EB" w:rsidRPr="002B4039" w:rsidRDefault="009C72EB" w:rsidP="003F1229">
      <w:pPr>
        <w:rPr>
          <w:b/>
        </w:rPr>
      </w:pPr>
    </w:p>
    <w:p w14:paraId="28ECCA4F" w14:textId="46674E2E" w:rsidR="00C24C50" w:rsidRDefault="009737D4" w:rsidP="00C24C50">
      <w:r>
        <w:t xml:space="preserve">After </w:t>
      </w:r>
      <w:r w:rsidR="007247AC">
        <w:t xml:space="preserve">having completed </w:t>
      </w:r>
      <w:r>
        <w:t xml:space="preserve">these two steps, </w:t>
      </w:r>
      <w:r w:rsidR="007247AC">
        <w:t xml:space="preserve">you </w:t>
      </w:r>
      <w:r>
        <w:t>have de</w:t>
      </w:r>
      <w:r w:rsidR="009A7C5E">
        <w:t>-</w:t>
      </w:r>
      <w:r>
        <w:t xml:space="preserve">risked </w:t>
      </w:r>
      <w:r w:rsidR="007247AC">
        <w:t>y</w:t>
      </w:r>
      <w:r>
        <w:t xml:space="preserve">our product at </w:t>
      </w:r>
      <w:r w:rsidR="007247AC">
        <w:t>the</w:t>
      </w:r>
      <w:r>
        <w:t xml:space="preserve"> level </w:t>
      </w:r>
      <w:r w:rsidR="007247AC">
        <w:t xml:space="preserve">of individual </w:t>
      </w:r>
      <w:r>
        <w:t>assumption</w:t>
      </w:r>
      <w:r w:rsidR="007247AC">
        <w:t>s</w:t>
      </w:r>
      <w:r>
        <w:t xml:space="preserve"> as much as </w:t>
      </w:r>
      <w:r w:rsidR="007247AC">
        <w:t xml:space="preserve">you </w:t>
      </w:r>
      <w:r>
        <w:t>reasonably can.  This</w:t>
      </w:r>
      <w:r w:rsidR="007247AC">
        <w:t xml:space="preserve"> accomplishment</w:t>
      </w:r>
      <w:r>
        <w:t xml:space="preserve"> does not mean that when all the assumptions are put into one product that the fully assembled solution is assured of </w:t>
      </w:r>
      <w:r w:rsidR="007247AC">
        <w:t>being successful in the market</w:t>
      </w:r>
      <w:r w:rsidR="009757FB">
        <w:t>.</w:t>
      </w:r>
      <w:r>
        <w:t xml:space="preserve">  In addition, there are some assumptions that will never be able to be fully tested until there is a product and it is put into production.  That </w:t>
      </w:r>
      <w:r w:rsidR="007247AC">
        <w:t xml:space="preserve">testing </w:t>
      </w:r>
      <w:r>
        <w:t>comes in the next two steps</w:t>
      </w:r>
      <w:r w:rsidR="007247AC">
        <w:t>.</w:t>
      </w:r>
    </w:p>
    <w:p w14:paraId="1F19F2C5" w14:textId="77777777" w:rsidR="00C24C50" w:rsidRDefault="00C24C50" w:rsidP="00B30B8C">
      <w:pPr>
        <w:pStyle w:val="ListParagraph"/>
        <w:ind w:left="1080"/>
      </w:pPr>
    </w:p>
    <w:p w14:paraId="418340A4" w14:textId="77777777" w:rsidR="00C24C50" w:rsidRPr="0006057D" w:rsidRDefault="00C24C50" w:rsidP="00B30B8C">
      <w:pPr>
        <w:pStyle w:val="ListParagraph"/>
        <w:ind w:left="1080"/>
      </w:pPr>
    </w:p>
    <w:sectPr w:rsidR="00C24C50" w:rsidRPr="0006057D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0CED9" w14:textId="77777777" w:rsidR="005D4BB3" w:rsidRDefault="005D4BB3" w:rsidP="00362ACC">
      <w:pPr>
        <w:spacing w:after="0" w:line="240" w:lineRule="auto"/>
      </w:pPr>
      <w:r>
        <w:separator/>
      </w:r>
    </w:p>
  </w:endnote>
  <w:endnote w:type="continuationSeparator" w:id="0">
    <w:p w14:paraId="7FBCA481" w14:textId="77777777" w:rsidR="005D4BB3" w:rsidRDefault="005D4BB3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57734" w14:textId="77777777" w:rsidR="005D4BB3" w:rsidRDefault="005D4BB3" w:rsidP="00362ACC">
      <w:pPr>
        <w:spacing w:after="0" w:line="240" w:lineRule="auto"/>
      </w:pPr>
      <w:r>
        <w:separator/>
      </w:r>
    </w:p>
  </w:footnote>
  <w:footnote w:type="continuationSeparator" w:id="0">
    <w:p w14:paraId="793189D9" w14:textId="77777777" w:rsidR="005D4BB3" w:rsidRDefault="005D4BB3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847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45E0"/>
    <w:rsid w:val="00020B53"/>
    <w:rsid w:val="000228C9"/>
    <w:rsid w:val="00023AC4"/>
    <w:rsid w:val="000407EA"/>
    <w:rsid w:val="00042AD6"/>
    <w:rsid w:val="0005179C"/>
    <w:rsid w:val="000565AC"/>
    <w:rsid w:val="0006057D"/>
    <w:rsid w:val="0006436E"/>
    <w:rsid w:val="000700AF"/>
    <w:rsid w:val="0007069B"/>
    <w:rsid w:val="00074BDA"/>
    <w:rsid w:val="00084896"/>
    <w:rsid w:val="0008770A"/>
    <w:rsid w:val="000A285A"/>
    <w:rsid w:val="000A7636"/>
    <w:rsid w:val="000B4AFD"/>
    <w:rsid w:val="000B4CB0"/>
    <w:rsid w:val="000C4202"/>
    <w:rsid w:val="000C4CDF"/>
    <w:rsid w:val="000D1A49"/>
    <w:rsid w:val="00100E2B"/>
    <w:rsid w:val="00101861"/>
    <w:rsid w:val="001103B3"/>
    <w:rsid w:val="00116958"/>
    <w:rsid w:val="001213D7"/>
    <w:rsid w:val="0012251D"/>
    <w:rsid w:val="00122A99"/>
    <w:rsid w:val="00123CED"/>
    <w:rsid w:val="00131084"/>
    <w:rsid w:val="0013447D"/>
    <w:rsid w:val="0014045E"/>
    <w:rsid w:val="00144ACA"/>
    <w:rsid w:val="001672A9"/>
    <w:rsid w:val="00167518"/>
    <w:rsid w:val="0017484B"/>
    <w:rsid w:val="00175F8F"/>
    <w:rsid w:val="001805C2"/>
    <w:rsid w:val="001859F6"/>
    <w:rsid w:val="001936BE"/>
    <w:rsid w:val="001A48EC"/>
    <w:rsid w:val="001A535F"/>
    <w:rsid w:val="001B0D98"/>
    <w:rsid w:val="001B1138"/>
    <w:rsid w:val="001C7242"/>
    <w:rsid w:val="001D0561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1F7424"/>
    <w:rsid w:val="002016AF"/>
    <w:rsid w:val="002055FF"/>
    <w:rsid w:val="00206B8F"/>
    <w:rsid w:val="00227F35"/>
    <w:rsid w:val="00240175"/>
    <w:rsid w:val="00254786"/>
    <w:rsid w:val="00255972"/>
    <w:rsid w:val="00257F53"/>
    <w:rsid w:val="00261C6D"/>
    <w:rsid w:val="00261E71"/>
    <w:rsid w:val="00281EBC"/>
    <w:rsid w:val="00285907"/>
    <w:rsid w:val="00286B44"/>
    <w:rsid w:val="00287FAE"/>
    <w:rsid w:val="002900A0"/>
    <w:rsid w:val="00294B2B"/>
    <w:rsid w:val="002B4039"/>
    <w:rsid w:val="002B63C8"/>
    <w:rsid w:val="002B7AAB"/>
    <w:rsid w:val="002E3E20"/>
    <w:rsid w:val="002F69B8"/>
    <w:rsid w:val="0030342D"/>
    <w:rsid w:val="00305802"/>
    <w:rsid w:val="00314FFE"/>
    <w:rsid w:val="003169A7"/>
    <w:rsid w:val="003211DC"/>
    <w:rsid w:val="00324416"/>
    <w:rsid w:val="003356EB"/>
    <w:rsid w:val="00343207"/>
    <w:rsid w:val="003459CF"/>
    <w:rsid w:val="003471C6"/>
    <w:rsid w:val="00362ACC"/>
    <w:rsid w:val="0037552F"/>
    <w:rsid w:val="003807C5"/>
    <w:rsid w:val="003830EE"/>
    <w:rsid w:val="00385576"/>
    <w:rsid w:val="003A1890"/>
    <w:rsid w:val="003A5CA4"/>
    <w:rsid w:val="003A710F"/>
    <w:rsid w:val="003B1979"/>
    <w:rsid w:val="003C098D"/>
    <w:rsid w:val="003C7F57"/>
    <w:rsid w:val="003D3151"/>
    <w:rsid w:val="003E1A66"/>
    <w:rsid w:val="003F1229"/>
    <w:rsid w:val="003F2602"/>
    <w:rsid w:val="00404CDD"/>
    <w:rsid w:val="0040758F"/>
    <w:rsid w:val="004136F6"/>
    <w:rsid w:val="00413AA3"/>
    <w:rsid w:val="0041791F"/>
    <w:rsid w:val="004218C1"/>
    <w:rsid w:val="004222EF"/>
    <w:rsid w:val="00430F06"/>
    <w:rsid w:val="00434596"/>
    <w:rsid w:val="00442255"/>
    <w:rsid w:val="0044442C"/>
    <w:rsid w:val="00451307"/>
    <w:rsid w:val="00455BF6"/>
    <w:rsid w:val="004603E3"/>
    <w:rsid w:val="00465478"/>
    <w:rsid w:val="00474C5F"/>
    <w:rsid w:val="00477F0E"/>
    <w:rsid w:val="004966B9"/>
    <w:rsid w:val="00496C71"/>
    <w:rsid w:val="0049727F"/>
    <w:rsid w:val="004A0CEB"/>
    <w:rsid w:val="004B5250"/>
    <w:rsid w:val="004C367C"/>
    <w:rsid w:val="004D0BD1"/>
    <w:rsid w:val="004E7FC5"/>
    <w:rsid w:val="004F4161"/>
    <w:rsid w:val="00513415"/>
    <w:rsid w:val="00515BB2"/>
    <w:rsid w:val="00516CF6"/>
    <w:rsid w:val="00522463"/>
    <w:rsid w:val="005232FE"/>
    <w:rsid w:val="00523400"/>
    <w:rsid w:val="00532F70"/>
    <w:rsid w:val="00536710"/>
    <w:rsid w:val="005427EA"/>
    <w:rsid w:val="00544699"/>
    <w:rsid w:val="0055099B"/>
    <w:rsid w:val="005609E4"/>
    <w:rsid w:val="00562FD1"/>
    <w:rsid w:val="00563179"/>
    <w:rsid w:val="005631DF"/>
    <w:rsid w:val="00573AE5"/>
    <w:rsid w:val="005826BA"/>
    <w:rsid w:val="005A7FEB"/>
    <w:rsid w:val="005C0B09"/>
    <w:rsid w:val="005C793B"/>
    <w:rsid w:val="005D4BB3"/>
    <w:rsid w:val="005D6D2C"/>
    <w:rsid w:val="005E68C7"/>
    <w:rsid w:val="005E77DF"/>
    <w:rsid w:val="005F5F8B"/>
    <w:rsid w:val="005F6743"/>
    <w:rsid w:val="005F6838"/>
    <w:rsid w:val="005F685D"/>
    <w:rsid w:val="00600D19"/>
    <w:rsid w:val="00603A7F"/>
    <w:rsid w:val="00614B5D"/>
    <w:rsid w:val="006229B6"/>
    <w:rsid w:val="0062773A"/>
    <w:rsid w:val="00644A19"/>
    <w:rsid w:val="00646919"/>
    <w:rsid w:val="00652E19"/>
    <w:rsid w:val="006702DF"/>
    <w:rsid w:val="006706F3"/>
    <w:rsid w:val="006800B2"/>
    <w:rsid w:val="00684FE8"/>
    <w:rsid w:val="00687B2E"/>
    <w:rsid w:val="00693482"/>
    <w:rsid w:val="00693998"/>
    <w:rsid w:val="006B29EF"/>
    <w:rsid w:val="006D0BDD"/>
    <w:rsid w:val="006D2BF1"/>
    <w:rsid w:val="006E1680"/>
    <w:rsid w:val="006F22A9"/>
    <w:rsid w:val="006F3A71"/>
    <w:rsid w:val="006F67FF"/>
    <w:rsid w:val="006F7067"/>
    <w:rsid w:val="0070508F"/>
    <w:rsid w:val="007216C7"/>
    <w:rsid w:val="007247AC"/>
    <w:rsid w:val="007302AE"/>
    <w:rsid w:val="00747318"/>
    <w:rsid w:val="00750976"/>
    <w:rsid w:val="00755792"/>
    <w:rsid w:val="00757135"/>
    <w:rsid w:val="00761025"/>
    <w:rsid w:val="00763BFF"/>
    <w:rsid w:val="00765C11"/>
    <w:rsid w:val="00767AF3"/>
    <w:rsid w:val="00767B7F"/>
    <w:rsid w:val="007814D6"/>
    <w:rsid w:val="0078564B"/>
    <w:rsid w:val="007A506F"/>
    <w:rsid w:val="007A699E"/>
    <w:rsid w:val="007B1B8C"/>
    <w:rsid w:val="007C1420"/>
    <w:rsid w:val="007C4154"/>
    <w:rsid w:val="007C4868"/>
    <w:rsid w:val="007D3B25"/>
    <w:rsid w:val="007D3D47"/>
    <w:rsid w:val="007E3824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51AB"/>
    <w:rsid w:val="00827F43"/>
    <w:rsid w:val="008332BE"/>
    <w:rsid w:val="00833CBC"/>
    <w:rsid w:val="00837471"/>
    <w:rsid w:val="00851B8E"/>
    <w:rsid w:val="00857FE4"/>
    <w:rsid w:val="008652F8"/>
    <w:rsid w:val="00871A2F"/>
    <w:rsid w:val="00883932"/>
    <w:rsid w:val="008850B2"/>
    <w:rsid w:val="00887DA7"/>
    <w:rsid w:val="008A0610"/>
    <w:rsid w:val="008A5D3F"/>
    <w:rsid w:val="008A75E9"/>
    <w:rsid w:val="008B3354"/>
    <w:rsid w:val="008B6B65"/>
    <w:rsid w:val="008C0141"/>
    <w:rsid w:val="008C7BB8"/>
    <w:rsid w:val="008D013A"/>
    <w:rsid w:val="008D42C4"/>
    <w:rsid w:val="008D4FC1"/>
    <w:rsid w:val="008D7AC0"/>
    <w:rsid w:val="00904294"/>
    <w:rsid w:val="00906384"/>
    <w:rsid w:val="00907966"/>
    <w:rsid w:val="00910AE8"/>
    <w:rsid w:val="00922B02"/>
    <w:rsid w:val="00923038"/>
    <w:rsid w:val="00924559"/>
    <w:rsid w:val="009267C0"/>
    <w:rsid w:val="00944B97"/>
    <w:rsid w:val="009551B1"/>
    <w:rsid w:val="00960E9A"/>
    <w:rsid w:val="00966E13"/>
    <w:rsid w:val="00971CCC"/>
    <w:rsid w:val="009737D4"/>
    <w:rsid w:val="00973D57"/>
    <w:rsid w:val="009757FB"/>
    <w:rsid w:val="00983F7B"/>
    <w:rsid w:val="00996571"/>
    <w:rsid w:val="00997780"/>
    <w:rsid w:val="009A42C2"/>
    <w:rsid w:val="009A57AB"/>
    <w:rsid w:val="009A7C5E"/>
    <w:rsid w:val="009C0CF6"/>
    <w:rsid w:val="009C5DD1"/>
    <w:rsid w:val="009C72EB"/>
    <w:rsid w:val="009D3EFB"/>
    <w:rsid w:val="009D45FE"/>
    <w:rsid w:val="009D6100"/>
    <w:rsid w:val="009D654D"/>
    <w:rsid w:val="009E0435"/>
    <w:rsid w:val="009E1795"/>
    <w:rsid w:val="009E2B24"/>
    <w:rsid w:val="009E2E80"/>
    <w:rsid w:val="009F10FD"/>
    <w:rsid w:val="009F3B33"/>
    <w:rsid w:val="00A00D0B"/>
    <w:rsid w:val="00A04030"/>
    <w:rsid w:val="00A12A20"/>
    <w:rsid w:val="00A13DB9"/>
    <w:rsid w:val="00A13F9A"/>
    <w:rsid w:val="00A20065"/>
    <w:rsid w:val="00A208F6"/>
    <w:rsid w:val="00A236A5"/>
    <w:rsid w:val="00A3774F"/>
    <w:rsid w:val="00A65395"/>
    <w:rsid w:val="00A773C3"/>
    <w:rsid w:val="00A80C52"/>
    <w:rsid w:val="00A90752"/>
    <w:rsid w:val="00A91B5C"/>
    <w:rsid w:val="00A97951"/>
    <w:rsid w:val="00AA347B"/>
    <w:rsid w:val="00AA45AC"/>
    <w:rsid w:val="00AB1BAF"/>
    <w:rsid w:val="00AC4D31"/>
    <w:rsid w:val="00AC5CFA"/>
    <w:rsid w:val="00AC6233"/>
    <w:rsid w:val="00AD2590"/>
    <w:rsid w:val="00AD31A7"/>
    <w:rsid w:val="00AE0985"/>
    <w:rsid w:val="00AE1D8F"/>
    <w:rsid w:val="00AF34D9"/>
    <w:rsid w:val="00AF60A2"/>
    <w:rsid w:val="00B0397F"/>
    <w:rsid w:val="00B05EA4"/>
    <w:rsid w:val="00B11911"/>
    <w:rsid w:val="00B21C07"/>
    <w:rsid w:val="00B23213"/>
    <w:rsid w:val="00B234D8"/>
    <w:rsid w:val="00B30B8C"/>
    <w:rsid w:val="00B362D4"/>
    <w:rsid w:val="00B36654"/>
    <w:rsid w:val="00B4707B"/>
    <w:rsid w:val="00B47A17"/>
    <w:rsid w:val="00B51249"/>
    <w:rsid w:val="00B63CE6"/>
    <w:rsid w:val="00B67007"/>
    <w:rsid w:val="00B7736E"/>
    <w:rsid w:val="00B830FC"/>
    <w:rsid w:val="00B957F2"/>
    <w:rsid w:val="00B96BAF"/>
    <w:rsid w:val="00BA062E"/>
    <w:rsid w:val="00BA243F"/>
    <w:rsid w:val="00BB4555"/>
    <w:rsid w:val="00BB75FE"/>
    <w:rsid w:val="00BC25C9"/>
    <w:rsid w:val="00BC30B0"/>
    <w:rsid w:val="00BC3A6C"/>
    <w:rsid w:val="00BD2327"/>
    <w:rsid w:val="00BE079B"/>
    <w:rsid w:val="00BF0863"/>
    <w:rsid w:val="00C01E27"/>
    <w:rsid w:val="00C11760"/>
    <w:rsid w:val="00C1521B"/>
    <w:rsid w:val="00C21A3C"/>
    <w:rsid w:val="00C24C50"/>
    <w:rsid w:val="00C262A7"/>
    <w:rsid w:val="00C319E3"/>
    <w:rsid w:val="00C34A6C"/>
    <w:rsid w:val="00C4032F"/>
    <w:rsid w:val="00C52C3B"/>
    <w:rsid w:val="00C53635"/>
    <w:rsid w:val="00C63053"/>
    <w:rsid w:val="00C6595A"/>
    <w:rsid w:val="00C71B41"/>
    <w:rsid w:val="00C826C7"/>
    <w:rsid w:val="00C916A8"/>
    <w:rsid w:val="00C93CBE"/>
    <w:rsid w:val="00CA4A9F"/>
    <w:rsid w:val="00CB457F"/>
    <w:rsid w:val="00CD33C7"/>
    <w:rsid w:val="00CD6CA2"/>
    <w:rsid w:val="00CE29CF"/>
    <w:rsid w:val="00CE6CB9"/>
    <w:rsid w:val="00D10C34"/>
    <w:rsid w:val="00D14190"/>
    <w:rsid w:val="00D16F2A"/>
    <w:rsid w:val="00D25088"/>
    <w:rsid w:val="00D25BFF"/>
    <w:rsid w:val="00D35229"/>
    <w:rsid w:val="00D35568"/>
    <w:rsid w:val="00D52FFB"/>
    <w:rsid w:val="00D54FE4"/>
    <w:rsid w:val="00D568D2"/>
    <w:rsid w:val="00D56BE5"/>
    <w:rsid w:val="00D6101C"/>
    <w:rsid w:val="00D7038A"/>
    <w:rsid w:val="00D70797"/>
    <w:rsid w:val="00D709AB"/>
    <w:rsid w:val="00D7120F"/>
    <w:rsid w:val="00D716F7"/>
    <w:rsid w:val="00D752B1"/>
    <w:rsid w:val="00D76C00"/>
    <w:rsid w:val="00D76F66"/>
    <w:rsid w:val="00D932E0"/>
    <w:rsid w:val="00D9703E"/>
    <w:rsid w:val="00DA4E59"/>
    <w:rsid w:val="00DA5660"/>
    <w:rsid w:val="00DB3929"/>
    <w:rsid w:val="00DB4CEA"/>
    <w:rsid w:val="00DC1D0F"/>
    <w:rsid w:val="00DC3183"/>
    <w:rsid w:val="00DC4D2F"/>
    <w:rsid w:val="00DD09B2"/>
    <w:rsid w:val="00DD30BA"/>
    <w:rsid w:val="00DD7E72"/>
    <w:rsid w:val="00DF70FF"/>
    <w:rsid w:val="00DF7128"/>
    <w:rsid w:val="00E0737D"/>
    <w:rsid w:val="00E20359"/>
    <w:rsid w:val="00E26178"/>
    <w:rsid w:val="00E33581"/>
    <w:rsid w:val="00E3775E"/>
    <w:rsid w:val="00E437B9"/>
    <w:rsid w:val="00E54001"/>
    <w:rsid w:val="00E54401"/>
    <w:rsid w:val="00E63932"/>
    <w:rsid w:val="00E670E1"/>
    <w:rsid w:val="00E72FD5"/>
    <w:rsid w:val="00E74E1F"/>
    <w:rsid w:val="00E750D7"/>
    <w:rsid w:val="00E80776"/>
    <w:rsid w:val="00E8286C"/>
    <w:rsid w:val="00E84432"/>
    <w:rsid w:val="00E872CA"/>
    <w:rsid w:val="00E87339"/>
    <w:rsid w:val="00E94919"/>
    <w:rsid w:val="00E97438"/>
    <w:rsid w:val="00E97875"/>
    <w:rsid w:val="00EB16EB"/>
    <w:rsid w:val="00EC2DC1"/>
    <w:rsid w:val="00ED753C"/>
    <w:rsid w:val="00EE3A95"/>
    <w:rsid w:val="00EE4763"/>
    <w:rsid w:val="00EE72C9"/>
    <w:rsid w:val="00F154C8"/>
    <w:rsid w:val="00F16C89"/>
    <w:rsid w:val="00F1709D"/>
    <w:rsid w:val="00F26E0C"/>
    <w:rsid w:val="00F33EFE"/>
    <w:rsid w:val="00F416B5"/>
    <w:rsid w:val="00F43296"/>
    <w:rsid w:val="00F45709"/>
    <w:rsid w:val="00F537B4"/>
    <w:rsid w:val="00F60E76"/>
    <w:rsid w:val="00F70362"/>
    <w:rsid w:val="00F87EFA"/>
    <w:rsid w:val="00F91942"/>
    <w:rsid w:val="00F91E1F"/>
    <w:rsid w:val="00FA664B"/>
    <w:rsid w:val="00FB1ABD"/>
    <w:rsid w:val="00FB26A1"/>
    <w:rsid w:val="00FB31D5"/>
    <w:rsid w:val="00FB409C"/>
    <w:rsid w:val="00FC37C1"/>
    <w:rsid w:val="00FC4111"/>
    <w:rsid w:val="00FD5514"/>
    <w:rsid w:val="00FD6CA1"/>
    <w:rsid w:val="00FE6F2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C4A9F"/>
  <w15:docId w15:val="{CE95BAB7-FD69-4E29-9276-B74ED7CB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9A7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8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2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5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B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7C5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7C5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C5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A7C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C5E"/>
  </w:style>
  <w:style w:type="paragraph" w:styleId="Footer">
    <w:name w:val="footer"/>
    <w:basedOn w:val="Normal"/>
    <w:link w:val="FooterChar"/>
    <w:uiPriority w:val="99"/>
    <w:unhideWhenUsed/>
    <w:rsid w:val="009A7C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C5E"/>
  </w:style>
  <w:style w:type="character" w:customStyle="1" w:styleId="Heading2Char">
    <w:name w:val="Heading 2 Char"/>
    <w:basedOn w:val="DefaultParagraphFont"/>
    <w:link w:val="Heading2"/>
    <w:uiPriority w:val="9"/>
    <w:rsid w:val="009A7C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C5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Revision">
    <w:name w:val="Revision"/>
    <w:hidden/>
    <w:uiPriority w:val="99"/>
    <w:semiHidden/>
    <w:rsid w:val="006F3A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77D66-A212-4528-BAAC-061CC6E2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Marios Antreou</cp:lastModifiedBy>
  <cp:revision>4</cp:revision>
  <cp:lastPrinted>2016-11-24T15:47:00Z</cp:lastPrinted>
  <dcterms:created xsi:type="dcterms:W3CDTF">2019-11-25T11:55:00Z</dcterms:created>
  <dcterms:modified xsi:type="dcterms:W3CDTF">2025-05-03T15:33:00Z</dcterms:modified>
</cp:coreProperties>
</file>