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C87E1" w14:textId="0A0D674A" w:rsidR="00D37306" w:rsidRDefault="00D37306" w:rsidP="00D37306">
      <w:pPr>
        <w:pStyle w:val="Heading2"/>
        <w:rPr>
          <w:sz w:val="24"/>
        </w:rPr>
      </w:pPr>
      <w:r>
        <w:t>Step 23: Are Your Customers “Eating the Dog Food”?</w:t>
      </w:r>
    </w:p>
    <w:p w14:paraId="394C639E" w14:textId="73A5DCBD" w:rsidR="000D40C8" w:rsidRDefault="000D40C8" w:rsidP="00A4344A">
      <w:pPr>
        <w:ind w:left="720"/>
        <w:rPr>
          <w:sz w:val="24"/>
        </w:rPr>
      </w:pPr>
      <w:proofErr w:type="gramStart"/>
      <w:r>
        <w:rPr>
          <w:sz w:val="24"/>
        </w:rPr>
        <w:t>So</w:t>
      </w:r>
      <w:proofErr w:type="gramEnd"/>
      <w:r>
        <w:rPr>
          <w:sz w:val="24"/>
        </w:rPr>
        <w:t xml:space="preserve"> what numbers should </w:t>
      </w:r>
      <w:r w:rsidR="00F03AF7">
        <w:rPr>
          <w:sz w:val="24"/>
        </w:rPr>
        <w:t xml:space="preserve">you </w:t>
      </w:r>
      <w:r>
        <w:rPr>
          <w:sz w:val="24"/>
        </w:rPr>
        <w:t>look at?</w:t>
      </w:r>
    </w:p>
    <w:p w14:paraId="42966AD5" w14:textId="77777777" w:rsidR="00F03AF7" w:rsidRDefault="000D40C8" w:rsidP="00211A8D">
      <w:pPr>
        <w:pStyle w:val="ListParagraph"/>
        <w:numPr>
          <w:ilvl w:val="0"/>
          <w:numId w:val="6"/>
        </w:numPr>
        <w:rPr>
          <w:sz w:val="24"/>
        </w:rPr>
      </w:pPr>
      <w:r w:rsidRPr="000D40C8">
        <w:rPr>
          <w:b/>
          <w:sz w:val="24"/>
        </w:rPr>
        <w:t>Initial Interest</w:t>
      </w:r>
      <w:proofErr w:type="gramStart"/>
      <w:r>
        <w:rPr>
          <w:sz w:val="24"/>
        </w:rPr>
        <w:t xml:space="preserve">:  </w:t>
      </w:r>
      <w:r w:rsidR="00F03AF7">
        <w:rPr>
          <w:sz w:val="24"/>
        </w:rPr>
        <w:t>Once</w:t>
      </w:r>
      <w:proofErr w:type="gramEnd"/>
      <w:r w:rsidR="00F03AF7">
        <w:rPr>
          <w:sz w:val="24"/>
        </w:rPr>
        <w:t xml:space="preserve"> your target customer is exposed to your value proposition, what percentage of them actively seek to learn more? On a website, you can measure the clickthrough rate from a page that details the benefits of the product to a subsequent page.</w:t>
      </w:r>
    </w:p>
    <w:p w14:paraId="08769217" w14:textId="7B59A2BB" w:rsidR="000D40C8" w:rsidRDefault="000D40C8" w:rsidP="00211A8D">
      <w:pPr>
        <w:pStyle w:val="ListParagraph"/>
        <w:numPr>
          <w:ilvl w:val="0"/>
          <w:numId w:val="6"/>
        </w:numPr>
        <w:rPr>
          <w:sz w:val="24"/>
        </w:rPr>
      </w:pPr>
      <w:r w:rsidRPr="000D40C8">
        <w:rPr>
          <w:b/>
          <w:sz w:val="24"/>
        </w:rPr>
        <w:t>Conversion Rates</w:t>
      </w:r>
      <w:proofErr w:type="gramStart"/>
      <w:r>
        <w:rPr>
          <w:sz w:val="24"/>
        </w:rPr>
        <w:t>:  Once</w:t>
      </w:r>
      <w:proofErr w:type="gramEnd"/>
      <w:r>
        <w:rPr>
          <w:sz w:val="24"/>
        </w:rPr>
        <w:t xml:space="preserve"> </w:t>
      </w:r>
      <w:r w:rsidR="00F03AF7">
        <w:rPr>
          <w:sz w:val="24"/>
        </w:rPr>
        <w:t xml:space="preserve">the target customer is </w:t>
      </w:r>
      <w:r>
        <w:rPr>
          <w:sz w:val="24"/>
        </w:rPr>
        <w:t>in the</w:t>
      </w:r>
      <w:r w:rsidR="00F03AF7">
        <w:rPr>
          <w:sz w:val="24"/>
        </w:rPr>
        <w:t xml:space="preserve"> sales</w:t>
      </w:r>
      <w:r>
        <w:rPr>
          <w:sz w:val="24"/>
        </w:rPr>
        <w:t xml:space="preserve"> funnel, the yield rates</w:t>
      </w:r>
      <w:r w:rsidR="00F03AF7">
        <w:rPr>
          <w:sz w:val="24"/>
        </w:rPr>
        <w:t xml:space="preserve"> going from section to section of the funnel</w:t>
      </w:r>
      <w:r>
        <w:rPr>
          <w:sz w:val="24"/>
        </w:rPr>
        <w:t xml:space="preserve"> are extremely important numbers to understand, both the absolute numbers but also the trends.</w:t>
      </w:r>
    </w:p>
    <w:p w14:paraId="47CF3646" w14:textId="34147474" w:rsidR="000D40C8" w:rsidRDefault="000D40C8" w:rsidP="00211A8D">
      <w:pPr>
        <w:pStyle w:val="ListParagraph"/>
        <w:numPr>
          <w:ilvl w:val="0"/>
          <w:numId w:val="6"/>
        </w:numPr>
        <w:rPr>
          <w:sz w:val="24"/>
        </w:rPr>
      </w:pPr>
      <w:r w:rsidRPr="000D40C8">
        <w:rPr>
          <w:b/>
          <w:sz w:val="24"/>
        </w:rPr>
        <w:t>Purchase and Pay</w:t>
      </w:r>
      <w:proofErr w:type="gramStart"/>
      <w:r>
        <w:rPr>
          <w:sz w:val="24"/>
        </w:rPr>
        <w:t>:  The</w:t>
      </w:r>
      <w:proofErr w:type="gramEnd"/>
      <w:r>
        <w:rPr>
          <w:sz w:val="24"/>
        </w:rPr>
        <w:t xml:space="preserve"> ultimate conversion.  </w:t>
      </w:r>
      <w:r w:rsidR="00F03AF7">
        <w:rPr>
          <w:sz w:val="24"/>
        </w:rPr>
        <w:t xml:space="preserve">Whether </w:t>
      </w:r>
      <w:r>
        <w:rPr>
          <w:sz w:val="24"/>
        </w:rPr>
        <w:t xml:space="preserve">the customer pays </w:t>
      </w:r>
      <w:r w:rsidR="00F03AF7">
        <w:rPr>
          <w:sz w:val="24"/>
        </w:rPr>
        <w:t xml:space="preserve">for your product </w:t>
      </w:r>
      <w:r>
        <w:rPr>
          <w:sz w:val="24"/>
        </w:rPr>
        <w:t>is one very important indication of whether the customer is getting value.</w:t>
      </w:r>
      <w:r w:rsidR="00DB39FF">
        <w:rPr>
          <w:sz w:val="24"/>
        </w:rPr>
        <w:t xml:space="preserve">  How long it take</w:t>
      </w:r>
      <w:r w:rsidR="00F03AF7">
        <w:rPr>
          <w:sz w:val="24"/>
        </w:rPr>
        <w:t>s</w:t>
      </w:r>
      <w:r w:rsidR="00DB39FF">
        <w:rPr>
          <w:sz w:val="24"/>
        </w:rPr>
        <w:t xml:space="preserve"> </w:t>
      </w:r>
      <w:r w:rsidR="00F03AF7">
        <w:rPr>
          <w:sz w:val="24"/>
        </w:rPr>
        <w:t xml:space="preserve">the customer </w:t>
      </w:r>
      <w:r w:rsidR="00DB39FF">
        <w:rPr>
          <w:sz w:val="24"/>
        </w:rPr>
        <w:t>to pay</w:t>
      </w:r>
      <w:r w:rsidR="00F03AF7">
        <w:rPr>
          <w:sz w:val="24"/>
        </w:rPr>
        <w:t>, and what percentage of customers end up not paying after making an initial commitment (the “default rate”),</w:t>
      </w:r>
      <w:r w:rsidR="00DB39FF">
        <w:rPr>
          <w:sz w:val="24"/>
        </w:rPr>
        <w:t xml:space="preserve"> are also interesting numbers to watch.</w:t>
      </w:r>
    </w:p>
    <w:p w14:paraId="736204ED" w14:textId="05014ED4" w:rsidR="000D40C8" w:rsidRDefault="000D40C8" w:rsidP="00211A8D">
      <w:pPr>
        <w:pStyle w:val="ListParagraph"/>
        <w:numPr>
          <w:ilvl w:val="0"/>
          <w:numId w:val="6"/>
        </w:numPr>
        <w:rPr>
          <w:sz w:val="24"/>
        </w:rPr>
      </w:pPr>
      <w:r w:rsidRPr="00DB39FF">
        <w:rPr>
          <w:b/>
          <w:sz w:val="24"/>
        </w:rPr>
        <w:t>Retention Rates</w:t>
      </w:r>
      <w:r>
        <w:rPr>
          <w:sz w:val="24"/>
        </w:rPr>
        <w:t xml:space="preserve">:   It is </w:t>
      </w:r>
      <w:r w:rsidR="00DB39FF">
        <w:rPr>
          <w:sz w:val="24"/>
        </w:rPr>
        <w:t>always telling to monitor retention rates, often referred to in the negative modality of “churn rate</w:t>
      </w:r>
      <w:r w:rsidR="00F03AF7">
        <w:rPr>
          <w:sz w:val="24"/>
        </w:rPr>
        <w:t>,</w:t>
      </w:r>
      <w:r w:rsidR="00DB39FF">
        <w:rPr>
          <w:sz w:val="24"/>
        </w:rPr>
        <w:t xml:space="preserve">” </w:t>
      </w:r>
      <w:r w:rsidR="00F03AF7">
        <w:rPr>
          <w:sz w:val="24"/>
        </w:rPr>
        <w:t>especially in subscription businesses. One way to measure retention rates is through support or maintenance contracts for post-purchase support.</w:t>
      </w:r>
      <w:r w:rsidR="00DB39FF">
        <w:rPr>
          <w:sz w:val="24"/>
        </w:rPr>
        <w:t xml:space="preserve">  If the customer </w:t>
      </w:r>
      <w:r w:rsidR="00F03AF7">
        <w:rPr>
          <w:sz w:val="24"/>
        </w:rPr>
        <w:t xml:space="preserve">buys </w:t>
      </w:r>
      <w:r w:rsidR="00DB39FF">
        <w:rPr>
          <w:sz w:val="24"/>
        </w:rPr>
        <w:t xml:space="preserve">the product but </w:t>
      </w:r>
      <w:r w:rsidR="00F03AF7">
        <w:rPr>
          <w:sz w:val="24"/>
        </w:rPr>
        <w:t xml:space="preserve">doesn’t </w:t>
      </w:r>
      <w:r w:rsidR="00DB39FF">
        <w:rPr>
          <w:sz w:val="24"/>
        </w:rPr>
        <w:t xml:space="preserve">sign up for a maintenance contract at the end of </w:t>
      </w:r>
      <w:r w:rsidR="00F03AF7">
        <w:rPr>
          <w:sz w:val="24"/>
        </w:rPr>
        <w:t xml:space="preserve">the </w:t>
      </w:r>
      <w:r w:rsidR="00DB39FF">
        <w:rPr>
          <w:sz w:val="24"/>
        </w:rPr>
        <w:t>warranty</w:t>
      </w:r>
      <w:r w:rsidR="00F03AF7">
        <w:rPr>
          <w:sz w:val="24"/>
        </w:rPr>
        <w:t xml:space="preserve"> period</w:t>
      </w:r>
      <w:r w:rsidR="00DB39FF">
        <w:rPr>
          <w:sz w:val="24"/>
        </w:rPr>
        <w:t xml:space="preserve">, </w:t>
      </w:r>
      <w:r w:rsidR="00F03AF7">
        <w:rPr>
          <w:sz w:val="24"/>
        </w:rPr>
        <w:t xml:space="preserve">in some industries </w:t>
      </w:r>
      <w:r w:rsidR="00DB39FF">
        <w:rPr>
          <w:sz w:val="24"/>
        </w:rPr>
        <w:t xml:space="preserve">that is a bad </w:t>
      </w:r>
      <w:proofErr w:type="gramStart"/>
      <w:r w:rsidR="00DB39FF">
        <w:rPr>
          <w:sz w:val="24"/>
        </w:rPr>
        <w:t>sign</w:t>
      </w:r>
      <w:proofErr w:type="gramEnd"/>
      <w:r w:rsidR="00DB39FF">
        <w:rPr>
          <w:sz w:val="24"/>
        </w:rPr>
        <w:t xml:space="preserve"> and you should take note immediately</w:t>
      </w:r>
      <w:r w:rsidR="00F03AF7">
        <w:rPr>
          <w:sz w:val="24"/>
        </w:rPr>
        <w:t>.</w:t>
      </w:r>
    </w:p>
    <w:p w14:paraId="1263EEB6" w14:textId="2AEA26FD" w:rsidR="00DB39FF" w:rsidRDefault="00DB39FF" w:rsidP="00211A8D">
      <w:pPr>
        <w:pStyle w:val="ListParagraph"/>
        <w:numPr>
          <w:ilvl w:val="0"/>
          <w:numId w:val="6"/>
        </w:numPr>
        <w:rPr>
          <w:sz w:val="24"/>
        </w:rPr>
      </w:pPr>
      <w:r>
        <w:rPr>
          <w:b/>
          <w:sz w:val="24"/>
        </w:rPr>
        <w:t>Customer Advocacy</w:t>
      </w:r>
      <w:proofErr w:type="gramStart"/>
      <w:r w:rsidRPr="00DB39FF">
        <w:rPr>
          <w:sz w:val="24"/>
        </w:rPr>
        <w:t>:</w:t>
      </w:r>
      <w:r>
        <w:rPr>
          <w:sz w:val="24"/>
        </w:rPr>
        <w:t xml:space="preserve">  There</w:t>
      </w:r>
      <w:proofErr w:type="gramEnd"/>
      <w:r>
        <w:rPr>
          <w:sz w:val="24"/>
        </w:rPr>
        <w:t xml:space="preserve"> is a huge difference between a satisfied customer and a very happy, evangelizing one.  The latter is at least one order of magnitude if not more valuable to you.  The simplest and </w:t>
      </w:r>
      <w:proofErr w:type="gramStart"/>
      <w:r>
        <w:rPr>
          <w:sz w:val="24"/>
        </w:rPr>
        <w:t>most commonly used</w:t>
      </w:r>
      <w:proofErr w:type="gramEnd"/>
      <w:r>
        <w:rPr>
          <w:sz w:val="24"/>
        </w:rPr>
        <w:t xml:space="preserve"> way to measure </w:t>
      </w:r>
      <w:r w:rsidR="007376BF">
        <w:rPr>
          <w:sz w:val="24"/>
        </w:rPr>
        <w:t xml:space="preserve">customer advocacy </w:t>
      </w:r>
      <w:r>
        <w:rPr>
          <w:sz w:val="24"/>
        </w:rPr>
        <w:t>is the Net Promoter Score (NPS)</w:t>
      </w:r>
      <w:r w:rsidR="007376BF">
        <w:rPr>
          <w:sz w:val="24"/>
        </w:rPr>
        <w:t xml:space="preserve">, developed by Bain &amp; Company, Satmetrix Systems, and </w:t>
      </w:r>
      <w:r w:rsidR="007376BF" w:rsidRPr="007376BF">
        <w:rPr>
          <w:sz w:val="24"/>
        </w:rPr>
        <w:t>Fred Reichheld</w:t>
      </w:r>
      <w:r>
        <w:rPr>
          <w:sz w:val="24"/>
        </w:rPr>
        <w:t>.</w:t>
      </w:r>
      <w:r w:rsidR="007376BF">
        <w:rPr>
          <w:sz w:val="24"/>
        </w:rPr>
        <w:t xml:space="preserve"> You gather the necessary data by asking customers a single question – On a scale of 1 to 10, with 10 being the highest, how likely is it that they</w:t>
      </w:r>
      <w:r w:rsidR="007376BF" w:rsidRPr="007376BF">
        <w:rPr>
          <w:sz w:val="24"/>
        </w:rPr>
        <w:t xml:space="preserve"> would recommend </w:t>
      </w:r>
      <w:r w:rsidR="007376BF">
        <w:rPr>
          <w:sz w:val="24"/>
        </w:rPr>
        <w:t>y</w:t>
      </w:r>
      <w:r w:rsidR="007376BF" w:rsidRPr="007376BF">
        <w:rPr>
          <w:sz w:val="24"/>
        </w:rPr>
        <w:t xml:space="preserve">our </w:t>
      </w:r>
      <w:r w:rsidR="007376BF">
        <w:rPr>
          <w:sz w:val="24"/>
        </w:rPr>
        <w:t>product</w:t>
      </w:r>
      <w:r w:rsidR="007376BF" w:rsidRPr="007376BF">
        <w:rPr>
          <w:sz w:val="24"/>
        </w:rPr>
        <w:t xml:space="preserve"> to a friend or colleague?</w:t>
      </w:r>
      <w:r w:rsidR="007376BF">
        <w:rPr>
          <w:sz w:val="24"/>
        </w:rPr>
        <w:t xml:space="preserve"> By tallying the percentage of responses that are 9s and 10s (“Promoters”) and subtracting the percentage of responses that are 6s and below (“Detractors”), you get your score, which can be as low as -100 (all Detractors) and as high as 100 (all Promoters).</w:t>
      </w:r>
    </w:p>
    <w:p w14:paraId="1EC98447" w14:textId="6C4A91A6" w:rsidR="00DB39FF" w:rsidRDefault="00DB39FF" w:rsidP="00211A8D">
      <w:pPr>
        <w:pStyle w:val="ListParagraph"/>
        <w:numPr>
          <w:ilvl w:val="0"/>
          <w:numId w:val="6"/>
        </w:numPr>
        <w:rPr>
          <w:sz w:val="24"/>
        </w:rPr>
      </w:pPr>
      <w:r>
        <w:rPr>
          <w:b/>
          <w:sz w:val="24"/>
        </w:rPr>
        <w:t>COCA and LTV</w:t>
      </w:r>
      <w:proofErr w:type="gramStart"/>
      <w:r w:rsidRPr="00DB39FF">
        <w:rPr>
          <w:sz w:val="24"/>
        </w:rPr>
        <w:t>:</w:t>
      </w:r>
      <w:r>
        <w:rPr>
          <w:sz w:val="24"/>
        </w:rPr>
        <w:t xml:space="preserve">  </w:t>
      </w:r>
      <w:r w:rsidR="007376BF">
        <w:rPr>
          <w:sz w:val="24"/>
        </w:rPr>
        <w:t>Estimate</w:t>
      </w:r>
      <w:proofErr w:type="gramEnd"/>
      <w:r w:rsidR="007376BF">
        <w:rPr>
          <w:sz w:val="24"/>
        </w:rPr>
        <w:t xml:space="preserve"> these numbers again now that you have some sales. They are</w:t>
      </w:r>
      <w:r>
        <w:rPr>
          <w:sz w:val="24"/>
        </w:rPr>
        <w:t xml:space="preserve"> much easier </w:t>
      </w:r>
      <w:r w:rsidR="007376BF">
        <w:rPr>
          <w:sz w:val="24"/>
        </w:rPr>
        <w:t xml:space="preserve">to calculate </w:t>
      </w:r>
      <w:r>
        <w:rPr>
          <w:sz w:val="24"/>
        </w:rPr>
        <w:t>the second time</w:t>
      </w:r>
      <w:r w:rsidR="007376BF">
        <w:rPr>
          <w:sz w:val="24"/>
        </w:rPr>
        <w:t xml:space="preserve"> around</w:t>
      </w:r>
      <w:r>
        <w:rPr>
          <w:sz w:val="24"/>
        </w:rPr>
        <w:t>! They are valuable, albeit imperfect, indicators of your success.  If there are surprises in these numbers, then quickly dive into it and understand why</w:t>
      </w:r>
      <w:r w:rsidR="007376BF">
        <w:rPr>
          <w:sz w:val="24"/>
        </w:rPr>
        <w:t>.</w:t>
      </w:r>
    </w:p>
    <w:p w14:paraId="6D4CA37D" w14:textId="65615CD3" w:rsidR="00E23132" w:rsidRDefault="00DB39FF" w:rsidP="00211A8D">
      <w:pPr>
        <w:pStyle w:val="ListParagraph"/>
        <w:numPr>
          <w:ilvl w:val="0"/>
          <w:numId w:val="6"/>
        </w:numPr>
        <w:rPr>
          <w:sz w:val="24"/>
        </w:rPr>
      </w:pPr>
      <w:r>
        <w:rPr>
          <w:b/>
          <w:sz w:val="24"/>
        </w:rPr>
        <w:t>Gross Margin</w:t>
      </w:r>
      <w:proofErr w:type="gramStart"/>
      <w:r w:rsidRPr="00DB39FF">
        <w:rPr>
          <w:sz w:val="24"/>
        </w:rPr>
        <w:t>:</w:t>
      </w:r>
      <w:r>
        <w:rPr>
          <w:sz w:val="24"/>
        </w:rPr>
        <w:t xml:space="preserve">  </w:t>
      </w:r>
      <w:r w:rsidR="00E23132">
        <w:rPr>
          <w:sz w:val="24"/>
        </w:rPr>
        <w:t>Your</w:t>
      </w:r>
      <w:proofErr w:type="gramEnd"/>
      <w:r w:rsidR="00E23132">
        <w:rPr>
          <w:sz w:val="24"/>
        </w:rPr>
        <w:t xml:space="preserve"> gross margin, the difference between what it costs to make one unit of </w:t>
      </w:r>
      <w:proofErr w:type="gramStart"/>
      <w:r w:rsidR="00E23132">
        <w:rPr>
          <w:sz w:val="24"/>
        </w:rPr>
        <w:t>product</w:t>
      </w:r>
      <w:proofErr w:type="gramEnd"/>
      <w:r w:rsidR="00E23132">
        <w:rPr>
          <w:sz w:val="24"/>
        </w:rPr>
        <w:t xml:space="preserve"> and what you sell that unit of product at, should go up over time, indicating that you are getting strong word of mouth for your product. If it goes down, then you are possibly providing too many discounts on your product, so the number of customers may be going up because the price is artificially low. The gross margin trend is an imperfect indicator on its own (much like the other indicators here), but make sure you monitor it.</w:t>
      </w:r>
    </w:p>
    <w:p w14:paraId="57B28D0A" w14:textId="6138C434" w:rsidR="0020075C" w:rsidRDefault="0020075C" w:rsidP="00211A8D">
      <w:pPr>
        <w:pStyle w:val="ListParagraph"/>
        <w:numPr>
          <w:ilvl w:val="0"/>
          <w:numId w:val="6"/>
        </w:numPr>
        <w:rPr>
          <w:sz w:val="24"/>
        </w:rPr>
      </w:pPr>
      <w:r w:rsidRPr="00211A8D">
        <w:rPr>
          <w:sz w:val="24"/>
        </w:rPr>
        <w:t>Don’t feel constrained by this list</w:t>
      </w:r>
      <w:r w:rsidR="00E23132">
        <w:rPr>
          <w:sz w:val="24"/>
        </w:rPr>
        <w:t>.</w:t>
      </w:r>
      <w:r w:rsidR="00E23132" w:rsidRPr="0020075C">
        <w:rPr>
          <w:sz w:val="24"/>
        </w:rPr>
        <w:t xml:space="preserve"> </w:t>
      </w:r>
      <w:r w:rsidR="00E23132">
        <w:rPr>
          <w:sz w:val="24"/>
        </w:rPr>
        <w:t>T</w:t>
      </w:r>
      <w:r w:rsidR="00E23132" w:rsidRPr="0020075C">
        <w:rPr>
          <w:sz w:val="24"/>
        </w:rPr>
        <w:t xml:space="preserve">here </w:t>
      </w:r>
      <w:r w:rsidRPr="0020075C">
        <w:rPr>
          <w:sz w:val="24"/>
        </w:rPr>
        <w:t>are plenty of other metrics that will be equally or more valuable for your situation.</w:t>
      </w:r>
    </w:p>
    <w:p w14:paraId="405455EF" w14:textId="77777777" w:rsidR="00D37306" w:rsidRDefault="00D37306" w:rsidP="00D37306">
      <w:pPr>
        <w:rPr>
          <w:sz w:val="24"/>
        </w:rPr>
        <w:sectPr w:rsidR="00D37306" w:rsidSect="00573AE5">
          <w:pgSz w:w="12240" w:h="15840"/>
          <w:pgMar w:top="864" w:right="720" w:bottom="864" w:left="720" w:header="720" w:footer="720" w:gutter="0"/>
          <w:cols w:space="720"/>
          <w:docGrid w:linePitch="360"/>
        </w:sectPr>
      </w:pPr>
    </w:p>
    <w:p w14:paraId="3D7B3F13" w14:textId="74F52EA8" w:rsidR="00E23132" w:rsidRDefault="007216C7" w:rsidP="007978F7">
      <w:pPr>
        <w:pStyle w:val="Heading2"/>
      </w:pPr>
      <w:r w:rsidRPr="00AE0985">
        <w:lastRenderedPageBreak/>
        <w:t>W</w:t>
      </w:r>
      <w:r w:rsidR="00DB3929" w:rsidRPr="00AE0985">
        <w:t>orksheet</w:t>
      </w:r>
    </w:p>
    <w:p w14:paraId="3C2F972A" w14:textId="62B1E554" w:rsidR="00E23132" w:rsidRDefault="00D421D1" w:rsidP="003623F0">
      <w:r>
        <w:t xml:space="preserve">What </w:t>
      </w:r>
      <w:proofErr w:type="gramStart"/>
      <w:r>
        <w:t>time period</w:t>
      </w:r>
      <w:proofErr w:type="gramEnd"/>
      <w:r>
        <w:t xml:space="preserve">(s) will you measure metrics for (give duration and units – e.g. 2 weeks, 2 months, etc.) </w:t>
      </w:r>
      <w:r w:rsidR="00D37306">
        <w:t xml:space="preserve"> ________ </w:t>
      </w:r>
    </w:p>
    <w:tbl>
      <w:tblPr>
        <w:tblStyle w:val="TableGrid"/>
        <w:tblW w:w="0" w:type="auto"/>
        <w:tblLook w:val="04A0" w:firstRow="1" w:lastRow="0" w:firstColumn="1" w:lastColumn="0" w:noHBand="0" w:noVBand="1"/>
      </w:tblPr>
      <w:tblGrid>
        <w:gridCol w:w="1932"/>
        <w:gridCol w:w="1749"/>
        <w:gridCol w:w="1836"/>
        <w:gridCol w:w="2558"/>
        <w:gridCol w:w="2715"/>
      </w:tblGrid>
      <w:tr w:rsidR="003623F0" w:rsidRPr="00285907" w14:paraId="79CB4D07" w14:textId="77777777" w:rsidTr="0054067F">
        <w:tc>
          <w:tcPr>
            <w:tcW w:w="10790" w:type="dxa"/>
            <w:gridSpan w:val="5"/>
          </w:tcPr>
          <w:p w14:paraId="7E8CC76B" w14:textId="127098E9" w:rsidR="003623F0" w:rsidRPr="00285907" w:rsidRDefault="00E23132" w:rsidP="007978F7">
            <w:pPr>
              <w:pStyle w:val="Heading3"/>
            </w:pPr>
            <w:r>
              <w:t>Are Your Customers “Eating the Dog Food”?</w:t>
            </w:r>
          </w:p>
        </w:tc>
      </w:tr>
      <w:tr w:rsidR="00E23132" w:rsidRPr="00285907" w14:paraId="24D28694" w14:textId="77777777" w:rsidTr="0054067F">
        <w:tc>
          <w:tcPr>
            <w:tcW w:w="1932" w:type="dxa"/>
          </w:tcPr>
          <w:p w14:paraId="63377CB9" w14:textId="77777777" w:rsidR="00E23132" w:rsidRPr="00285907" w:rsidRDefault="00E23132" w:rsidP="00A46ADB">
            <w:pPr>
              <w:jc w:val="center"/>
              <w:rPr>
                <w:b/>
                <w:u w:val="single"/>
              </w:rPr>
            </w:pPr>
          </w:p>
        </w:tc>
        <w:tc>
          <w:tcPr>
            <w:tcW w:w="1749" w:type="dxa"/>
          </w:tcPr>
          <w:p w14:paraId="62B8B0BA" w14:textId="77777777" w:rsidR="00E23132" w:rsidRDefault="00E23132" w:rsidP="00A46ADB">
            <w:pPr>
              <w:jc w:val="center"/>
              <w:rPr>
                <w:b/>
                <w:u w:val="single"/>
              </w:rPr>
            </w:pPr>
          </w:p>
        </w:tc>
        <w:tc>
          <w:tcPr>
            <w:tcW w:w="1836" w:type="dxa"/>
          </w:tcPr>
          <w:p w14:paraId="6260C282" w14:textId="77777777" w:rsidR="00E23132" w:rsidRDefault="00E23132" w:rsidP="00211A8D">
            <w:pPr>
              <w:jc w:val="center"/>
              <w:rPr>
                <w:b/>
                <w:u w:val="single"/>
              </w:rPr>
            </w:pPr>
          </w:p>
        </w:tc>
        <w:tc>
          <w:tcPr>
            <w:tcW w:w="2558" w:type="dxa"/>
          </w:tcPr>
          <w:p w14:paraId="3512E77E" w14:textId="77777777" w:rsidR="00E23132" w:rsidRDefault="00E23132" w:rsidP="00A46ADB">
            <w:pPr>
              <w:jc w:val="center"/>
              <w:rPr>
                <w:b/>
                <w:u w:val="single"/>
              </w:rPr>
            </w:pPr>
          </w:p>
        </w:tc>
        <w:tc>
          <w:tcPr>
            <w:tcW w:w="2715" w:type="dxa"/>
          </w:tcPr>
          <w:p w14:paraId="3147A6B0" w14:textId="77777777" w:rsidR="00E23132" w:rsidRDefault="00E23132" w:rsidP="00A46ADB">
            <w:pPr>
              <w:jc w:val="center"/>
              <w:rPr>
                <w:b/>
                <w:u w:val="single"/>
              </w:rPr>
            </w:pPr>
          </w:p>
        </w:tc>
      </w:tr>
      <w:tr w:rsidR="00014F86" w:rsidRPr="00285907" w14:paraId="4D0FDE25" w14:textId="77777777" w:rsidTr="0054067F">
        <w:tc>
          <w:tcPr>
            <w:tcW w:w="1932" w:type="dxa"/>
          </w:tcPr>
          <w:p w14:paraId="0756FACF" w14:textId="77777777" w:rsidR="00014F86" w:rsidRPr="00285907" w:rsidRDefault="00014F86" w:rsidP="00A46ADB">
            <w:pPr>
              <w:jc w:val="center"/>
              <w:rPr>
                <w:b/>
                <w:u w:val="single"/>
              </w:rPr>
            </w:pPr>
            <w:r w:rsidRPr="00285907">
              <w:rPr>
                <w:b/>
                <w:u w:val="single"/>
              </w:rPr>
              <w:t>Stage in Funnel (starting at top)</w:t>
            </w:r>
          </w:p>
        </w:tc>
        <w:tc>
          <w:tcPr>
            <w:tcW w:w="1749" w:type="dxa"/>
          </w:tcPr>
          <w:p w14:paraId="2EE09504" w14:textId="77777777" w:rsidR="00014F86" w:rsidRDefault="00014F86" w:rsidP="00A46ADB">
            <w:pPr>
              <w:jc w:val="center"/>
              <w:rPr>
                <w:b/>
                <w:u w:val="single"/>
              </w:rPr>
            </w:pPr>
            <w:r>
              <w:rPr>
                <w:b/>
                <w:u w:val="single"/>
              </w:rPr>
              <w:t>Est. Industry Conversion</w:t>
            </w:r>
          </w:p>
          <w:p w14:paraId="78C18EAB" w14:textId="6D6E390D" w:rsidR="00014F86" w:rsidRDefault="00014F86" w:rsidP="00014F86">
            <w:pPr>
              <w:jc w:val="center"/>
              <w:rPr>
                <w:b/>
                <w:u w:val="single"/>
              </w:rPr>
            </w:pPr>
            <w:r>
              <w:rPr>
                <w:b/>
                <w:u w:val="single"/>
              </w:rPr>
              <w:t>Average (%)</w:t>
            </w:r>
          </w:p>
        </w:tc>
        <w:tc>
          <w:tcPr>
            <w:tcW w:w="1836" w:type="dxa"/>
          </w:tcPr>
          <w:p w14:paraId="348B3C9E" w14:textId="77777777" w:rsidR="00014F86" w:rsidRPr="00285907" w:rsidRDefault="00014F86" w:rsidP="00211A8D">
            <w:pPr>
              <w:jc w:val="center"/>
              <w:rPr>
                <w:b/>
                <w:u w:val="single"/>
              </w:rPr>
            </w:pPr>
            <w:r>
              <w:rPr>
                <w:b/>
                <w:u w:val="single"/>
              </w:rPr>
              <w:t>Your Conversion Goal (%)</w:t>
            </w:r>
          </w:p>
        </w:tc>
        <w:tc>
          <w:tcPr>
            <w:tcW w:w="2558" w:type="dxa"/>
          </w:tcPr>
          <w:p w14:paraId="5CA15509" w14:textId="04A6EF3A" w:rsidR="00014F86" w:rsidRPr="00285907" w:rsidRDefault="00E23132" w:rsidP="00A46ADB">
            <w:pPr>
              <w:jc w:val="center"/>
              <w:rPr>
                <w:b/>
                <w:u w:val="single"/>
              </w:rPr>
            </w:pPr>
            <w:r>
              <w:rPr>
                <w:b/>
                <w:u w:val="single"/>
              </w:rPr>
              <w:t>Actual Conversion Rate (% and trend)</w:t>
            </w:r>
          </w:p>
        </w:tc>
        <w:tc>
          <w:tcPr>
            <w:tcW w:w="2715" w:type="dxa"/>
          </w:tcPr>
          <w:p w14:paraId="344819BB" w14:textId="1334299D" w:rsidR="00014F86" w:rsidRPr="00285907" w:rsidRDefault="00E23132" w:rsidP="00A46ADB">
            <w:pPr>
              <w:jc w:val="center"/>
              <w:rPr>
                <w:b/>
                <w:u w:val="single"/>
              </w:rPr>
            </w:pPr>
            <w:r>
              <w:rPr>
                <w:b/>
                <w:u w:val="single"/>
              </w:rPr>
              <w:t>Next Steps if your actual conversion rate is lower than your goal</w:t>
            </w:r>
          </w:p>
        </w:tc>
      </w:tr>
      <w:tr w:rsidR="00E23132" w14:paraId="08780806" w14:textId="77777777" w:rsidTr="0054067F">
        <w:tc>
          <w:tcPr>
            <w:tcW w:w="1932" w:type="dxa"/>
          </w:tcPr>
          <w:p w14:paraId="74CA08A8" w14:textId="77777777" w:rsidR="00E23132" w:rsidRDefault="00E23132" w:rsidP="00A46ADB">
            <w:r>
              <w:t>#1 – Identification (leads)</w:t>
            </w:r>
          </w:p>
          <w:p w14:paraId="05BAFF5C" w14:textId="77777777" w:rsidR="00E23132" w:rsidRDefault="00E23132" w:rsidP="00A46ADB"/>
          <w:p w14:paraId="71E3164E" w14:textId="77777777" w:rsidR="00E23132" w:rsidRDefault="00E23132" w:rsidP="00A46ADB"/>
        </w:tc>
        <w:tc>
          <w:tcPr>
            <w:tcW w:w="1749" w:type="dxa"/>
          </w:tcPr>
          <w:p w14:paraId="7B81A393" w14:textId="002AF77F" w:rsidR="00E23132" w:rsidRDefault="0054067F" w:rsidP="00A46ADB">
            <w:r>
              <w:t>5-10%</w:t>
            </w:r>
          </w:p>
        </w:tc>
        <w:tc>
          <w:tcPr>
            <w:tcW w:w="1836" w:type="dxa"/>
          </w:tcPr>
          <w:p w14:paraId="2FDB9CC8" w14:textId="4E784D4C" w:rsidR="00E23132" w:rsidRDefault="0054067F" w:rsidP="00A46ADB">
            <w:r>
              <w:t>8%</w:t>
            </w:r>
          </w:p>
        </w:tc>
        <w:tc>
          <w:tcPr>
            <w:tcW w:w="2558" w:type="dxa"/>
          </w:tcPr>
          <w:p w14:paraId="171A749C" w14:textId="3687A0AC" w:rsidR="00E23132" w:rsidRDefault="0054067F" w:rsidP="00A46ADB">
            <w:r>
              <w:t>6% - Stable</w:t>
            </w:r>
          </w:p>
        </w:tc>
        <w:tc>
          <w:tcPr>
            <w:tcW w:w="2715" w:type="dxa"/>
          </w:tcPr>
          <w:p w14:paraId="6CF830E1" w14:textId="16019F75" w:rsidR="00E23132" w:rsidRDefault="0054067F" w:rsidP="00A46ADB">
            <w:r w:rsidRPr="0054067F">
              <w:t>Improve targeting on outreach channels</w:t>
            </w:r>
            <w:r>
              <w:t>,</w:t>
            </w:r>
            <w:r w:rsidRPr="0054067F">
              <w:t xml:space="preserve"> adjust value messaging</w:t>
            </w:r>
          </w:p>
        </w:tc>
      </w:tr>
      <w:tr w:rsidR="00E23132" w14:paraId="44A0B1F5" w14:textId="77777777" w:rsidTr="0054067F">
        <w:tc>
          <w:tcPr>
            <w:tcW w:w="1932" w:type="dxa"/>
          </w:tcPr>
          <w:p w14:paraId="7FD89163" w14:textId="77777777" w:rsidR="00E23132" w:rsidRDefault="00E23132" w:rsidP="00A46ADB">
            <w:r>
              <w:t>#2 – Consideration (suspects)</w:t>
            </w:r>
          </w:p>
          <w:p w14:paraId="324E808C" w14:textId="77777777" w:rsidR="00E23132" w:rsidRDefault="00E23132" w:rsidP="00A46ADB"/>
          <w:p w14:paraId="08A63ED3" w14:textId="77777777" w:rsidR="00E23132" w:rsidRDefault="00E23132" w:rsidP="00A46ADB"/>
        </w:tc>
        <w:tc>
          <w:tcPr>
            <w:tcW w:w="1749" w:type="dxa"/>
          </w:tcPr>
          <w:p w14:paraId="20C5BE5D" w14:textId="2EE24516" w:rsidR="00E23132" w:rsidRDefault="0054067F" w:rsidP="00A46ADB">
            <w:r>
              <w:t>15-30%</w:t>
            </w:r>
          </w:p>
        </w:tc>
        <w:tc>
          <w:tcPr>
            <w:tcW w:w="1836" w:type="dxa"/>
          </w:tcPr>
          <w:p w14:paraId="6CC4CE76" w14:textId="06FABD82" w:rsidR="00E23132" w:rsidRDefault="0054067F" w:rsidP="00A46ADB">
            <w:r>
              <w:t>20%</w:t>
            </w:r>
          </w:p>
        </w:tc>
        <w:tc>
          <w:tcPr>
            <w:tcW w:w="2558" w:type="dxa"/>
          </w:tcPr>
          <w:p w14:paraId="55316C58" w14:textId="72DC6736" w:rsidR="00E23132" w:rsidRDefault="0054067F" w:rsidP="00A46ADB">
            <w:r>
              <w:t>18% - Improving</w:t>
            </w:r>
          </w:p>
        </w:tc>
        <w:tc>
          <w:tcPr>
            <w:tcW w:w="2715" w:type="dxa"/>
          </w:tcPr>
          <w:p w14:paraId="64163FF6" w14:textId="2750116C" w:rsidR="00E23132" w:rsidRDefault="0054067F" w:rsidP="00A46ADB">
            <w:r w:rsidRPr="0054067F">
              <w:t>Refine website content and email follow-ups</w:t>
            </w:r>
          </w:p>
        </w:tc>
      </w:tr>
      <w:tr w:rsidR="00E23132" w14:paraId="17E89F95" w14:textId="77777777" w:rsidTr="0054067F">
        <w:tc>
          <w:tcPr>
            <w:tcW w:w="1932" w:type="dxa"/>
          </w:tcPr>
          <w:p w14:paraId="63D7EBED" w14:textId="77777777" w:rsidR="00E23132" w:rsidRDefault="00E23132" w:rsidP="00A46ADB">
            <w:r>
              <w:t>#3 – Engagement (prospects)</w:t>
            </w:r>
          </w:p>
          <w:p w14:paraId="6D82E0D3" w14:textId="77777777" w:rsidR="00E23132" w:rsidRDefault="00E23132" w:rsidP="00A46ADB"/>
          <w:p w14:paraId="50F7F6E9" w14:textId="77777777" w:rsidR="00E23132" w:rsidRDefault="00E23132" w:rsidP="00A46ADB"/>
        </w:tc>
        <w:tc>
          <w:tcPr>
            <w:tcW w:w="1749" w:type="dxa"/>
          </w:tcPr>
          <w:p w14:paraId="27806A64" w14:textId="3C41C26D" w:rsidR="00E23132" w:rsidRDefault="0054067F" w:rsidP="00A46ADB">
            <w:r>
              <w:t>25-40%</w:t>
            </w:r>
          </w:p>
        </w:tc>
        <w:tc>
          <w:tcPr>
            <w:tcW w:w="1836" w:type="dxa"/>
          </w:tcPr>
          <w:p w14:paraId="53C83703" w14:textId="5AFF4470" w:rsidR="00E23132" w:rsidRDefault="0054067F" w:rsidP="00A46ADB">
            <w:r>
              <w:t>30%</w:t>
            </w:r>
          </w:p>
        </w:tc>
        <w:tc>
          <w:tcPr>
            <w:tcW w:w="2558" w:type="dxa"/>
          </w:tcPr>
          <w:p w14:paraId="42F35D49" w14:textId="17995DBD" w:rsidR="00E23132" w:rsidRDefault="0054067F" w:rsidP="00A46ADB">
            <w:r>
              <w:t>22% - Declining</w:t>
            </w:r>
          </w:p>
        </w:tc>
        <w:tc>
          <w:tcPr>
            <w:tcW w:w="2715" w:type="dxa"/>
          </w:tcPr>
          <w:p w14:paraId="0D4E8247" w14:textId="15AF6AE8" w:rsidR="00E23132" w:rsidRDefault="0054067F" w:rsidP="00A46ADB">
            <w:r w:rsidRPr="0054067F">
              <w:t>Offer more interactive demos or personalized walkthroughs</w:t>
            </w:r>
          </w:p>
        </w:tc>
      </w:tr>
      <w:tr w:rsidR="00E23132" w14:paraId="219A1B08" w14:textId="77777777" w:rsidTr="0054067F">
        <w:tc>
          <w:tcPr>
            <w:tcW w:w="1932" w:type="dxa"/>
          </w:tcPr>
          <w:p w14:paraId="523EDD09" w14:textId="77777777" w:rsidR="00E23132" w:rsidRDefault="00E23132" w:rsidP="00A46ADB">
            <w:r>
              <w:t>#4 – Purchase Intent (qualified prospects)</w:t>
            </w:r>
          </w:p>
          <w:p w14:paraId="50B28E2A" w14:textId="77777777" w:rsidR="00E23132" w:rsidRDefault="00E23132" w:rsidP="00A46ADB"/>
          <w:p w14:paraId="6D04D0AC" w14:textId="77777777" w:rsidR="00E23132" w:rsidRDefault="00E23132" w:rsidP="00A46ADB"/>
        </w:tc>
        <w:tc>
          <w:tcPr>
            <w:tcW w:w="1749" w:type="dxa"/>
          </w:tcPr>
          <w:p w14:paraId="64593458" w14:textId="2B021EFF" w:rsidR="00E23132" w:rsidRDefault="0054067F" w:rsidP="00A46ADB">
            <w:r>
              <w:t>50%</w:t>
            </w:r>
          </w:p>
        </w:tc>
        <w:tc>
          <w:tcPr>
            <w:tcW w:w="1836" w:type="dxa"/>
          </w:tcPr>
          <w:p w14:paraId="6CC65A81" w14:textId="16900045" w:rsidR="00E23132" w:rsidRDefault="0054067F" w:rsidP="00A46ADB">
            <w:r>
              <w:t>60%</w:t>
            </w:r>
          </w:p>
        </w:tc>
        <w:tc>
          <w:tcPr>
            <w:tcW w:w="2558" w:type="dxa"/>
          </w:tcPr>
          <w:p w14:paraId="108B092B" w14:textId="3C0C62F2" w:rsidR="00E23132" w:rsidRDefault="0054067F" w:rsidP="00A46ADB">
            <w:r>
              <w:t>45% - Rising</w:t>
            </w:r>
          </w:p>
        </w:tc>
        <w:tc>
          <w:tcPr>
            <w:tcW w:w="2715" w:type="dxa"/>
          </w:tcPr>
          <w:p w14:paraId="40EB654D" w14:textId="2F44C110" w:rsidR="00E23132" w:rsidRDefault="0054067F" w:rsidP="00A46ADB">
            <w:r w:rsidRPr="0054067F">
              <w:t>Add stronger urgency</w:t>
            </w:r>
            <w:r>
              <w:t xml:space="preserve"> or </w:t>
            </w:r>
            <w:r w:rsidRPr="0054067F">
              <w:t>discount incentive</w:t>
            </w:r>
            <w:r>
              <w:t>,</w:t>
            </w:r>
            <w:r w:rsidRPr="0054067F">
              <w:t xml:space="preserve"> qualify leads better</w:t>
            </w:r>
          </w:p>
        </w:tc>
      </w:tr>
      <w:tr w:rsidR="00E23132" w14:paraId="36152316" w14:textId="77777777" w:rsidTr="0054067F">
        <w:tc>
          <w:tcPr>
            <w:tcW w:w="1932" w:type="dxa"/>
          </w:tcPr>
          <w:p w14:paraId="300BD680" w14:textId="77777777" w:rsidR="00E23132" w:rsidRDefault="00E23132" w:rsidP="00A46ADB">
            <w:r>
              <w:t>#5 – Purchase (customers)</w:t>
            </w:r>
          </w:p>
          <w:p w14:paraId="5130C91C" w14:textId="77777777" w:rsidR="00E23132" w:rsidRDefault="00E23132" w:rsidP="00A46ADB"/>
          <w:p w14:paraId="57A0247E" w14:textId="77777777" w:rsidR="00E23132" w:rsidRDefault="00E23132" w:rsidP="00A46ADB"/>
        </w:tc>
        <w:tc>
          <w:tcPr>
            <w:tcW w:w="1749" w:type="dxa"/>
          </w:tcPr>
          <w:p w14:paraId="251B7EA6" w14:textId="123F81D3" w:rsidR="00E23132" w:rsidRDefault="0054067F" w:rsidP="00A46ADB">
            <w:r>
              <w:t>20-25%</w:t>
            </w:r>
          </w:p>
        </w:tc>
        <w:tc>
          <w:tcPr>
            <w:tcW w:w="1836" w:type="dxa"/>
          </w:tcPr>
          <w:p w14:paraId="35A4D023" w14:textId="26ABEB4F" w:rsidR="00E23132" w:rsidRDefault="0054067F" w:rsidP="00A46ADB">
            <w:r>
              <w:t>25%</w:t>
            </w:r>
          </w:p>
        </w:tc>
        <w:tc>
          <w:tcPr>
            <w:tcW w:w="2558" w:type="dxa"/>
          </w:tcPr>
          <w:p w14:paraId="0ED1AACE" w14:textId="457A7545" w:rsidR="00E23132" w:rsidRDefault="0054067F" w:rsidP="00A46ADB">
            <w:r>
              <w:t>23% - Stable</w:t>
            </w:r>
          </w:p>
        </w:tc>
        <w:tc>
          <w:tcPr>
            <w:tcW w:w="2715" w:type="dxa"/>
          </w:tcPr>
          <w:p w14:paraId="1C925D61" w14:textId="39D67431" w:rsidR="00E23132" w:rsidRDefault="0054067F" w:rsidP="00A46ADB">
            <w:r w:rsidRPr="0054067F">
              <w:t>Improve close rate with more social proof</w:t>
            </w:r>
          </w:p>
        </w:tc>
      </w:tr>
      <w:tr w:rsidR="00E23132" w14:paraId="60EDE846" w14:textId="77777777" w:rsidTr="0054067F">
        <w:tc>
          <w:tcPr>
            <w:tcW w:w="1932" w:type="dxa"/>
          </w:tcPr>
          <w:p w14:paraId="63EFDC74" w14:textId="77777777" w:rsidR="00E23132" w:rsidRDefault="00E23132" w:rsidP="00A46ADB">
            <w:r>
              <w:t>#6 – Loyalty (satisfied customers)</w:t>
            </w:r>
          </w:p>
          <w:p w14:paraId="27BD1FA9" w14:textId="77777777" w:rsidR="00E23132" w:rsidRDefault="00E23132" w:rsidP="00A46ADB"/>
        </w:tc>
        <w:tc>
          <w:tcPr>
            <w:tcW w:w="1749" w:type="dxa"/>
          </w:tcPr>
          <w:p w14:paraId="47FD05AF" w14:textId="257D86A4" w:rsidR="00E23132" w:rsidRDefault="0054067F" w:rsidP="00A46ADB">
            <w:r>
              <w:t>60-80%</w:t>
            </w:r>
          </w:p>
        </w:tc>
        <w:tc>
          <w:tcPr>
            <w:tcW w:w="1836" w:type="dxa"/>
          </w:tcPr>
          <w:p w14:paraId="1D7462C0" w14:textId="79DB11F7" w:rsidR="00E23132" w:rsidRDefault="0054067F" w:rsidP="00A46ADB">
            <w:r>
              <w:t>70%</w:t>
            </w:r>
          </w:p>
        </w:tc>
        <w:tc>
          <w:tcPr>
            <w:tcW w:w="2558" w:type="dxa"/>
          </w:tcPr>
          <w:p w14:paraId="14FD16C0" w14:textId="638A0C0E" w:rsidR="00E23132" w:rsidRDefault="0054067F" w:rsidP="00A46ADB">
            <w:r>
              <w:t>65% - Early Data</w:t>
            </w:r>
          </w:p>
        </w:tc>
        <w:tc>
          <w:tcPr>
            <w:tcW w:w="2715" w:type="dxa"/>
          </w:tcPr>
          <w:p w14:paraId="4C5E83AA" w14:textId="7BA6BF48" w:rsidR="00E23132" w:rsidRDefault="0054067F" w:rsidP="00A46ADB">
            <w:r w:rsidRPr="0054067F">
              <w:t>Collect structured feedback and improve post-sale support</w:t>
            </w:r>
          </w:p>
        </w:tc>
      </w:tr>
      <w:tr w:rsidR="00E23132" w14:paraId="57A4FC66" w14:textId="77777777" w:rsidTr="0054067F">
        <w:tc>
          <w:tcPr>
            <w:tcW w:w="1932" w:type="dxa"/>
          </w:tcPr>
          <w:p w14:paraId="21F4A544" w14:textId="77777777" w:rsidR="00E23132" w:rsidRDefault="00E23132" w:rsidP="00170283">
            <w:r>
              <w:t>#7 – Advocacy (evangelists)</w:t>
            </w:r>
          </w:p>
          <w:p w14:paraId="4174E164" w14:textId="77777777" w:rsidR="00E23132" w:rsidRDefault="00E23132" w:rsidP="00A46ADB"/>
        </w:tc>
        <w:tc>
          <w:tcPr>
            <w:tcW w:w="1749" w:type="dxa"/>
          </w:tcPr>
          <w:p w14:paraId="5DB74C61" w14:textId="063331D4" w:rsidR="00E23132" w:rsidRDefault="0054067F" w:rsidP="00A46ADB">
            <w:r>
              <w:t>20-30%</w:t>
            </w:r>
          </w:p>
        </w:tc>
        <w:tc>
          <w:tcPr>
            <w:tcW w:w="1836" w:type="dxa"/>
          </w:tcPr>
          <w:p w14:paraId="3BF7A24E" w14:textId="6FDD0D3B" w:rsidR="00E23132" w:rsidRDefault="0054067F" w:rsidP="00A46ADB">
            <w:r>
              <w:t>25%</w:t>
            </w:r>
          </w:p>
        </w:tc>
        <w:tc>
          <w:tcPr>
            <w:tcW w:w="2558" w:type="dxa"/>
          </w:tcPr>
          <w:p w14:paraId="261A502C" w14:textId="1A0CB3D0" w:rsidR="00E23132" w:rsidRDefault="0054067F" w:rsidP="00A46ADB">
            <w:r>
              <w:t>18% - Early Data</w:t>
            </w:r>
          </w:p>
        </w:tc>
        <w:tc>
          <w:tcPr>
            <w:tcW w:w="2715" w:type="dxa"/>
          </w:tcPr>
          <w:p w14:paraId="5A82668C" w14:textId="0D1E56E9" w:rsidR="00E23132" w:rsidRDefault="0054067F" w:rsidP="00A46ADB">
            <w:r w:rsidRPr="0054067F">
              <w:t>Launch referral incentives</w:t>
            </w:r>
            <w:r>
              <w:t>,</w:t>
            </w:r>
            <w:r w:rsidRPr="0054067F">
              <w:t xml:space="preserve"> gather testimonials</w:t>
            </w:r>
            <w:r>
              <w:t xml:space="preserve"> or </w:t>
            </w:r>
            <w:r w:rsidRPr="0054067F">
              <w:t>NPS surveys</w:t>
            </w:r>
          </w:p>
        </w:tc>
      </w:tr>
    </w:tbl>
    <w:p w14:paraId="27E87DB5" w14:textId="1D2B442D" w:rsidR="00E23132" w:rsidRDefault="00E23132" w:rsidP="007978F7">
      <w:pPr>
        <w:pStyle w:val="Heading3"/>
      </w:pPr>
      <w:r>
        <w:t>Gross Margin, LTV, COCA</w:t>
      </w:r>
    </w:p>
    <w:tbl>
      <w:tblPr>
        <w:tblStyle w:val="TableGrid"/>
        <w:tblW w:w="0" w:type="auto"/>
        <w:tblLook w:val="04A0" w:firstRow="1" w:lastRow="0" w:firstColumn="1" w:lastColumn="0" w:noHBand="0" w:noVBand="1"/>
      </w:tblPr>
      <w:tblGrid>
        <w:gridCol w:w="2693"/>
        <w:gridCol w:w="2699"/>
        <w:gridCol w:w="2690"/>
        <w:gridCol w:w="2708"/>
      </w:tblGrid>
      <w:tr w:rsidR="00E23132" w14:paraId="255E0920" w14:textId="77777777" w:rsidTr="00E23132">
        <w:tc>
          <w:tcPr>
            <w:tcW w:w="2754" w:type="dxa"/>
          </w:tcPr>
          <w:p w14:paraId="6E2263F3" w14:textId="77777777" w:rsidR="00E23132" w:rsidRDefault="00E23132" w:rsidP="00C24C50"/>
        </w:tc>
        <w:tc>
          <w:tcPr>
            <w:tcW w:w="2754" w:type="dxa"/>
          </w:tcPr>
          <w:p w14:paraId="3861654D" w14:textId="38198CE5" w:rsidR="00E23132" w:rsidRDefault="00E23132" w:rsidP="00C24C50">
            <w:r>
              <w:t>Expected for Short Term</w:t>
            </w:r>
          </w:p>
        </w:tc>
        <w:tc>
          <w:tcPr>
            <w:tcW w:w="2754" w:type="dxa"/>
          </w:tcPr>
          <w:p w14:paraId="0B7816EA" w14:textId="1406C035" w:rsidR="00E23132" w:rsidRDefault="00E23132" w:rsidP="00C24C50">
            <w:r>
              <w:t>Actual for Short Term</w:t>
            </w:r>
          </w:p>
        </w:tc>
        <w:tc>
          <w:tcPr>
            <w:tcW w:w="2754" w:type="dxa"/>
          </w:tcPr>
          <w:p w14:paraId="1913BD9E" w14:textId="1013D4B4" w:rsidR="00E23132" w:rsidRDefault="00E23132" w:rsidP="00D37306">
            <w:r>
              <w:t xml:space="preserve">Next Steps </w:t>
            </w:r>
          </w:p>
        </w:tc>
      </w:tr>
      <w:tr w:rsidR="00E23132" w14:paraId="46ECFC51" w14:textId="77777777" w:rsidTr="00E23132">
        <w:tc>
          <w:tcPr>
            <w:tcW w:w="2754" w:type="dxa"/>
          </w:tcPr>
          <w:p w14:paraId="2390E958" w14:textId="62086B3F" w:rsidR="00E23132" w:rsidRDefault="00E23132" w:rsidP="00C24C50">
            <w:r>
              <w:t>Gross Margin</w:t>
            </w:r>
          </w:p>
        </w:tc>
        <w:tc>
          <w:tcPr>
            <w:tcW w:w="2754" w:type="dxa"/>
          </w:tcPr>
          <w:p w14:paraId="09548AD9" w14:textId="07C39CA8" w:rsidR="00E23132" w:rsidRDefault="0054067F" w:rsidP="00C24C50">
            <w:r>
              <w:t>60%</w:t>
            </w:r>
          </w:p>
        </w:tc>
        <w:tc>
          <w:tcPr>
            <w:tcW w:w="2754" w:type="dxa"/>
          </w:tcPr>
          <w:p w14:paraId="0B5F4AF3" w14:textId="52DF7627" w:rsidR="00E23132" w:rsidRDefault="0054067F" w:rsidP="00C24C50">
            <w:r>
              <w:t>55%</w:t>
            </w:r>
          </w:p>
        </w:tc>
        <w:tc>
          <w:tcPr>
            <w:tcW w:w="2754" w:type="dxa"/>
          </w:tcPr>
          <w:p w14:paraId="61CB14E2" w14:textId="740A0ED3" w:rsidR="00E23132" w:rsidRDefault="0054067F" w:rsidP="00C24C50">
            <w:r w:rsidRPr="0054067F">
              <w:t>Audit cost of delivery; reduce manual service components</w:t>
            </w:r>
          </w:p>
        </w:tc>
      </w:tr>
      <w:tr w:rsidR="00E23132" w14:paraId="68937DA6" w14:textId="77777777" w:rsidTr="00E23132">
        <w:tc>
          <w:tcPr>
            <w:tcW w:w="2754" w:type="dxa"/>
          </w:tcPr>
          <w:p w14:paraId="0C987D94" w14:textId="7807405A" w:rsidR="00E23132" w:rsidRDefault="00E23132" w:rsidP="00C24C50">
            <w:r>
              <w:t>LTV</w:t>
            </w:r>
          </w:p>
        </w:tc>
        <w:tc>
          <w:tcPr>
            <w:tcW w:w="2754" w:type="dxa"/>
          </w:tcPr>
          <w:p w14:paraId="51165B8D" w14:textId="058CDAB1" w:rsidR="00E23132" w:rsidRDefault="0054067F" w:rsidP="00C24C50">
            <w:r>
              <w:rPr>
                <w:rFonts w:cstheme="minorHAnsi"/>
              </w:rPr>
              <w:t>€</w:t>
            </w:r>
            <w:r>
              <w:t>1 800</w:t>
            </w:r>
          </w:p>
        </w:tc>
        <w:tc>
          <w:tcPr>
            <w:tcW w:w="2754" w:type="dxa"/>
          </w:tcPr>
          <w:p w14:paraId="61C30052" w14:textId="3010A342" w:rsidR="00E23132" w:rsidRDefault="0054067F" w:rsidP="00C24C50">
            <w:r>
              <w:rPr>
                <w:rFonts w:cstheme="minorHAnsi"/>
              </w:rPr>
              <w:t>€</w:t>
            </w:r>
            <w:r>
              <w:t>1 500</w:t>
            </w:r>
          </w:p>
        </w:tc>
        <w:tc>
          <w:tcPr>
            <w:tcW w:w="2754" w:type="dxa"/>
          </w:tcPr>
          <w:p w14:paraId="10F02A4D" w14:textId="3308B129" w:rsidR="00E23132" w:rsidRDefault="0054067F" w:rsidP="00C24C50">
            <w:r w:rsidRPr="0054067F">
              <w:t xml:space="preserve">Extend customer lifespan through </w:t>
            </w:r>
            <w:proofErr w:type="gramStart"/>
            <w:r w:rsidRPr="0054067F">
              <w:t>upsells</w:t>
            </w:r>
            <w:proofErr w:type="gramEnd"/>
            <w:r w:rsidRPr="0054067F">
              <w:t xml:space="preserve"> and renewals</w:t>
            </w:r>
          </w:p>
        </w:tc>
      </w:tr>
      <w:tr w:rsidR="00E23132" w14:paraId="775B8A9A" w14:textId="77777777" w:rsidTr="00E23132">
        <w:tc>
          <w:tcPr>
            <w:tcW w:w="2754" w:type="dxa"/>
          </w:tcPr>
          <w:p w14:paraId="7D48338D" w14:textId="493CAF2F" w:rsidR="00E23132" w:rsidRDefault="00E23132" w:rsidP="00C24C50">
            <w:r>
              <w:t>COCA</w:t>
            </w:r>
          </w:p>
        </w:tc>
        <w:tc>
          <w:tcPr>
            <w:tcW w:w="2754" w:type="dxa"/>
          </w:tcPr>
          <w:p w14:paraId="55EE97CA" w14:textId="3491DE0D" w:rsidR="00E23132" w:rsidRDefault="0054067F" w:rsidP="00C24C50">
            <w:r>
              <w:rPr>
                <w:rFonts w:cstheme="minorHAnsi"/>
              </w:rPr>
              <w:t>€</w:t>
            </w:r>
            <w:r>
              <w:t>500</w:t>
            </w:r>
          </w:p>
        </w:tc>
        <w:tc>
          <w:tcPr>
            <w:tcW w:w="2754" w:type="dxa"/>
          </w:tcPr>
          <w:p w14:paraId="3D420C0E" w14:textId="03D07EDE" w:rsidR="00E23132" w:rsidRDefault="0054067F" w:rsidP="00C24C50">
            <w:r>
              <w:rPr>
                <w:rFonts w:cstheme="minorHAnsi"/>
              </w:rPr>
              <w:t>€</w:t>
            </w:r>
            <w:r>
              <w:t>600</w:t>
            </w:r>
          </w:p>
        </w:tc>
        <w:tc>
          <w:tcPr>
            <w:tcW w:w="2754" w:type="dxa"/>
          </w:tcPr>
          <w:p w14:paraId="29D54F9A" w14:textId="0FB8BFA2" w:rsidR="00E23132" w:rsidRDefault="0054067F" w:rsidP="00C24C50">
            <w:r w:rsidRPr="0054067F">
              <w:t xml:space="preserve">Reduce ad </w:t>
            </w:r>
            <w:proofErr w:type="gramStart"/>
            <w:r w:rsidRPr="0054067F">
              <w:t>spend</w:t>
            </w:r>
            <w:proofErr w:type="gramEnd"/>
            <w:r w:rsidRPr="0054067F">
              <w:t xml:space="preserve"> per lead and improve sales efficiency</w:t>
            </w:r>
          </w:p>
        </w:tc>
      </w:tr>
    </w:tbl>
    <w:p w14:paraId="31288309" w14:textId="77777777" w:rsidR="0054067F" w:rsidRDefault="0054067F" w:rsidP="007978F7">
      <w:pPr>
        <w:pStyle w:val="Heading3"/>
      </w:pPr>
    </w:p>
    <w:p w14:paraId="3DBAE27A" w14:textId="3D9C52FD" w:rsidR="00635EAF" w:rsidRDefault="00E23132" w:rsidP="007978F7">
      <w:pPr>
        <w:pStyle w:val="Heading3"/>
      </w:pPr>
      <w:r>
        <w:t>Define and Test Other Metrics</w:t>
      </w:r>
    </w:p>
    <w:tbl>
      <w:tblPr>
        <w:tblStyle w:val="TableGrid"/>
        <w:tblW w:w="0" w:type="auto"/>
        <w:tblLook w:val="04A0" w:firstRow="1" w:lastRow="0" w:firstColumn="1" w:lastColumn="0" w:noHBand="0" w:noVBand="1"/>
      </w:tblPr>
      <w:tblGrid>
        <w:gridCol w:w="2702"/>
        <w:gridCol w:w="2695"/>
        <w:gridCol w:w="2687"/>
        <w:gridCol w:w="2706"/>
      </w:tblGrid>
      <w:tr w:rsidR="00E23132" w14:paraId="77196669" w14:textId="77777777" w:rsidTr="00E23132">
        <w:tc>
          <w:tcPr>
            <w:tcW w:w="2754" w:type="dxa"/>
          </w:tcPr>
          <w:p w14:paraId="6CDE62D1" w14:textId="36BFD366" w:rsidR="00E23132" w:rsidRDefault="000D2CA9" w:rsidP="00E23132">
            <w:r>
              <w:t>List Custom Metrics Here:</w:t>
            </w:r>
          </w:p>
        </w:tc>
        <w:tc>
          <w:tcPr>
            <w:tcW w:w="2754" w:type="dxa"/>
          </w:tcPr>
          <w:p w14:paraId="2A81D31B" w14:textId="77777777" w:rsidR="00E23132" w:rsidRDefault="00E23132" w:rsidP="00E23132">
            <w:r>
              <w:t>Expected for Short Term</w:t>
            </w:r>
          </w:p>
        </w:tc>
        <w:tc>
          <w:tcPr>
            <w:tcW w:w="2754" w:type="dxa"/>
          </w:tcPr>
          <w:p w14:paraId="518C6AEE" w14:textId="77777777" w:rsidR="00E23132" w:rsidRDefault="00E23132" w:rsidP="00E23132">
            <w:r>
              <w:t>Actual for Short Term</w:t>
            </w:r>
          </w:p>
        </w:tc>
        <w:tc>
          <w:tcPr>
            <w:tcW w:w="2754" w:type="dxa"/>
          </w:tcPr>
          <w:p w14:paraId="12EF082D" w14:textId="63D3ADA5" w:rsidR="00E23132" w:rsidRDefault="00E23132" w:rsidP="00D37306">
            <w:r>
              <w:t xml:space="preserve">Next Steps </w:t>
            </w:r>
          </w:p>
        </w:tc>
      </w:tr>
      <w:tr w:rsidR="00E23132" w14:paraId="67E99A08" w14:textId="77777777" w:rsidTr="00E23132">
        <w:tc>
          <w:tcPr>
            <w:tcW w:w="2754" w:type="dxa"/>
          </w:tcPr>
          <w:p w14:paraId="247AAF99" w14:textId="77AD8CF5" w:rsidR="00E23132" w:rsidRPr="00D42B83" w:rsidRDefault="00436770" w:rsidP="00E23132">
            <w:pPr>
              <w:rPr>
                <w:b/>
              </w:rPr>
            </w:pPr>
            <w:r w:rsidRPr="00D42B83">
              <w:rPr>
                <w:b/>
              </w:rPr>
              <w:t>NPS (Net Promoter Score)</w:t>
            </w:r>
          </w:p>
        </w:tc>
        <w:tc>
          <w:tcPr>
            <w:tcW w:w="2754" w:type="dxa"/>
          </w:tcPr>
          <w:p w14:paraId="11AF5854" w14:textId="483D7242" w:rsidR="00E23132" w:rsidRDefault="0054067F" w:rsidP="00E23132">
            <w:r>
              <w:t>40</w:t>
            </w:r>
          </w:p>
        </w:tc>
        <w:tc>
          <w:tcPr>
            <w:tcW w:w="2754" w:type="dxa"/>
          </w:tcPr>
          <w:p w14:paraId="0EDC3688" w14:textId="77A5BA6B" w:rsidR="00E23132" w:rsidRDefault="0054067F" w:rsidP="00E23132">
            <w:r>
              <w:t>32</w:t>
            </w:r>
          </w:p>
        </w:tc>
        <w:tc>
          <w:tcPr>
            <w:tcW w:w="2754" w:type="dxa"/>
          </w:tcPr>
          <w:p w14:paraId="3124B2BC" w14:textId="5B79207E" w:rsidR="00E23132" w:rsidRDefault="0054067F" w:rsidP="00E23132">
            <w:r w:rsidRPr="0054067F">
              <w:t>Follow up with detractors for feedback; enhance onboarding experience</w:t>
            </w:r>
          </w:p>
        </w:tc>
      </w:tr>
      <w:tr w:rsidR="00E23132" w14:paraId="5B037FF4" w14:textId="77777777" w:rsidTr="00E23132">
        <w:tc>
          <w:tcPr>
            <w:tcW w:w="2754" w:type="dxa"/>
          </w:tcPr>
          <w:p w14:paraId="07C7068B" w14:textId="1BEA4025" w:rsidR="00E23132" w:rsidRDefault="0054067F" w:rsidP="00E23132">
            <w:r w:rsidRPr="0054067F">
              <w:t>Activation Rate (first value moment achieved within 7 days)</w:t>
            </w:r>
          </w:p>
        </w:tc>
        <w:tc>
          <w:tcPr>
            <w:tcW w:w="2754" w:type="dxa"/>
          </w:tcPr>
          <w:p w14:paraId="7952A99B" w14:textId="1C9758C8" w:rsidR="00E23132" w:rsidRDefault="0054067F" w:rsidP="00E23132">
            <w:r>
              <w:t>70%</w:t>
            </w:r>
          </w:p>
        </w:tc>
        <w:tc>
          <w:tcPr>
            <w:tcW w:w="2754" w:type="dxa"/>
          </w:tcPr>
          <w:p w14:paraId="73419877" w14:textId="653DA879" w:rsidR="00E23132" w:rsidRDefault="0054067F" w:rsidP="00E23132">
            <w:r>
              <w:t>50%</w:t>
            </w:r>
          </w:p>
        </w:tc>
        <w:tc>
          <w:tcPr>
            <w:tcW w:w="2754" w:type="dxa"/>
          </w:tcPr>
          <w:p w14:paraId="3683027F" w14:textId="00A239CB" w:rsidR="00E23132" w:rsidRDefault="0054067F" w:rsidP="00E23132">
            <w:r w:rsidRPr="0054067F">
              <w:t>Improve onboarding clarity and engagement</w:t>
            </w:r>
          </w:p>
        </w:tc>
      </w:tr>
      <w:tr w:rsidR="00E23132" w14:paraId="7EC53470" w14:textId="77777777" w:rsidTr="00E23132">
        <w:tc>
          <w:tcPr>
            <w:tcW w:w="2754" w:type="dxa"/>
          </w:tcPr>
          <w:p w14:paraId="305087DC" w14:textId="2C213E73" w:rsidR="00E23132" w:rsidRDefault="0054067F" w:rsidP="00E23132">
            <w:r w:rsidRPr="0054067F">
              <w:t>Churn (Monthly)</w:t>
            </w:r>
          </w:p>
        </w:tc>
        <w:tc>
          <w:tcPr>
            <w:tcW w:w="2754" w:type="dxa"/>
          </w:tcPr>
          <w:p w14:paraId="1C78E30F" w14:textId="6EB9F9AA" w:rsidR="00E23132" w:rsidRDefault="0054067F" w:rsidP="00E23132">
            <w:r>
              <w:t>&lt;10%</w:t>
            </w:r>
          </w:p>
        </w:tc>
        <w:tc>
          <w:tcPr>
            <w:tcW w:w="2754" w:type="dxa"/>
          </w:tcPr>
          <w:p w14:paraId="64AB6BA5" w14:textId="774A4CE6" w:rsidR="00E23132" w:rsidRDefault="0054067F" w:rsidP="00E23132">
            <w:r>
              <w:t>15%</w:t>
            </w:r>
          </w:p>
        </w:tc>
        <w:tc>
          <w:tcPr>
            <w:tcW w:w="2754" w:type="dxa"/>
          </w:tcPr>
          <w:p w14:paraId="1F4D97CC" w14:textId="2B2D4A74" w:rsidR="00E23132" w:rsidRDefault="0054067F" w:rsidP="00E23132">
            <w:r w:rsidRPr="0054067F">
              <w:t>Identify churn reasons via exit surveys; develop retention content</w:t>
            </w:r>
          </w:p>
        </w:tc>
      </w:tr>
      <w:tr w:rsidR="0054067F" w14:paraId="38F2EB11" w14:textId="77777777" w:rsidTr="00E23132">
        <w:tc>
          <w:tcPr>
            <w:tcW w:w="2754" w:type="dxa"/>
          </w:tcPr>
          <w:p w14:paraId="6F68D11E" w14:textId="7A41B41A" w:rsidR="0054067F" w:rsidRPr="0054067F" w:rsidRDefault="0054067F" w:rsidP="00E23132">
            <w:r w:rsidRPr="0054067F">
              <w:t>CSAT (Customer Satisfaction Score post-support)</w:t>
            </w:r>
          </w:p>
        </w:tc>
        <w:tc>
          <w:tcPr>
            <w:tcW w:w="2754" w:type="dxa"/>
          </w:tcPr>
          <w:p w14:paraId="232B5DB7" w14:textId="4826A328" w:rsidR="0054067F" w:rsidRDefault="0054067F" w:rsidP="00E23132">
            <w:r>
              <w:t>85%</w:t>
            </w:r>
          </w:p>
        </w:tc>
        <w:tc>
          <w:tcPr>
            <w:tcW w:w="2754" w:type="dxa"/>
          </w:tcPr>
          <w:p w14:paraId="51B70C06" w14:textId="00DBC16A" w:rsidR="0054067F" w:rsidRDefault="0054067F" w:rsidP="00E23132">
            <w:r>
              <w:t>80%</w:t>
            </w:r>
          </w:p>
        </w:tc>
        <w:tc>
          <w:tcPr>
            <w:tcW w:w="2754" w:type="dxa"/>
          </w:tcPr>
          <w:p w14:paraId="76551426" w14:textId="2A8D653A" w:rsidR="0054067F" w:rsidRPr="0054067F" w:rsidRDefault="0054067F" w:rsidP="00E23132">
            <w:r w:rsidRPr="0054067F">
              <w:t>Improve support script; reduce resolution time</w:t>
            </w:r>
          </w:p>
        </w:tc>
      </w:tr>
    </w:tbl>
    <w:p w14:paraId="03D85639" w14:textId="77777777" w:rsidR="00C24C50" w:rsidRPr="0006057D" w:rsidRDefault="00C24C50" w:rsidP="00D37306"/>
    <w:sectPr w:rsidR="00C24C50" w:rsidRPr="0006057D"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80A20" w14:textId="77777777" w:rsidR="006312AE" w:rsidRDefault="006312AE" w:rsidP="00362ACC">
      <w:pPr>
        <w:spacing w:after="0" w:line="240" w:lineRule="auto"/>
      </w:pPr>
      <w:r>
        <w:separator/>
      </w:r>
    </w:p>
  </w:endnote>
  <w:endnote w:type="continuationSeparator" w:id="0">
    <w:p w14:paraId="3C33DFBE" w14:textId="77777777" w:rsidR="006312AE" w:rsidRDefault="006312AE"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2DE3B" w14:textId="77777777" w:rsidR="006312AE" w:rsidRDefault="006312AE" w:rsidP="00362ACC">
      <w:pPr>
        <w:spacing w:after="0" w:line="240" w:lineRule="auto"/>
      </w:pPr>
      <w:r>
        <w:separator/>
      </w:r>
    </w:p>
  </w:footnote>
  <w:footnote w:type="continuationSeparator" w:id="0">
    <w:p w14:paraId="68A7B96B" w14:textId="77777777" w:rsidR="006312AE" w:rsidRDefault="006312AE"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16CA0"/>
    <w:multiLevelType w:val="hybridMultilevel"/>
    <w:tmpl w:val="5554EF36"/>
    <w:lvl w:ilvl="0" w:tplc="491C0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D6E74"/>
    <w:multiLevelType w:val="hybridMultilevel"/>
    <w:tmpl w:val="B87AA606"/>
    <w:lvl w:ilvl="0" w:tplc="491C09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B1CF6"/>
    <w:multiLevelType w:val="hybridMultilevel"/>
    <w:tmpl w:val="B8785468"/>
    <w:lvl w:ilvl="0" w:tplc="491C09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E0ED7"/>
    <w:multiLevelType w:val="hybridMultilevel"/>
    <w:tmpl w:val="EFE83F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F2A34"/>
    <w:multiLevelType w:val="hybridMultilevel"/>
    <w:tmpl w:val="F70A0188"/>
    <w:lvl w:ilvl="0" w:tplc="CA4086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0580782">
    <w:abstractNumId w:val="4"/>
  </w:num>
  <w:num w:numId="2" w16cid:durableId="620037740">
    <w:abstractNumId w:val="2"/>
  </w:num>
  <w:num w:numId="3" w16cid:durableId="1080443736">
    <w:abstractNumId w:val="0"/>
  </w:num>
  <w:num w:numId="4" w16cid:durableId="1168592842">
    <w:abstractNumId w:val="5"/>
  </w:num>
  <w:num w:numId="5" w16cid:durableId="1516923278">
    <w:abstractNumId w:val="1"/>
  </w:num>
  <w:num w:numId="6" w16cid:durableId="1899626541">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45E0"/>
    <w:rsid w:val="00014F86"/>
    <w:rsid w:val="00020B53"/>
    <w:rsid w:val="000213D4"/>
    <w:rsid w:val="000228C9"/>
    <w:rsid w:val="00023AC4"/>
    <w:rsid w:val="000407EA"/>
    <w:rsid w:val="00042AD6"/>
    <w:rsid w:val="0005179C"/>
    <w:rsid w:val="000565AC"/>
    <w:rsid w:val="0006057D"/>
    <w:rsid w:val="0006436E"/>
    <w:rsid w:val="000700AF"/>
    <w:rsid w:val="0007069B"/>
    <w:rsid w:val="00074BDA"/>
    <w:rsid w:val="00084896"/>
    <w:rsid w:val="0008770A"/>
    <w:rsid w:val="000A285A"/>
    <w:rsid w:val="000A7636"/>
    <w:rsid w:val="000B4AFD"/>
    <w:rsid w:val="000B4CB0"/>
    <w:rsid w:val="000C4202"/>
    <w:rsid w:val="000C4CDF"/>
    <w:rsid w:val="000D1A49"/>
    <w:rsid w:val="000D2CA9"/>
    <w:rsid w:val="000D40C8"/>
    <w:rsid w:val="00100E2B"/>
    <w:rsid w:val="00101861"/>
    <w:rsid w:val="001103B3"/>
    <w:rsid w:val="00116958"/>
    <w:rsid w:val="001213D7"/>
    <w:rsid w:val="0012251D"/>
    <w:rsid w:val="00122A99"/>
    <w:rsid w:val="00123CED"/>
    <w:rsid w:val="00131084"/>
    <w:rsid w:val="0013447D"/>
    <w:rsid w:val="0014045E"/>
    <w:rsid w:val="00144ACA"/>
    <w:rsid w:val="001672A9"/>
    <w:rsid w:val="00167518"/>
    <w:rsid w:val="00170283"/>
    <w:rsid w:val="0017484B"/>
    <w:rsid w:val="00175F8F"/>
    <w:rsid w:val="001805C2"/>
    <w:rsid w:val="001859F6"/>
    <w:rsid w:val="0019154B"/>
    <w:rsid w:val="001936BE"/>
    <w:rsid w:val="001A48EC"/>
    <w:rsid w:val="001A535F"/>
    <w:rsid w:val="001B0D98"/>
    <w:rsid w:val="001B1138"/>
    <w:rsid w:val="001C7242"/>
    <w:rsid w:val="001D0561"/>
    <w:rsid w:val="001D2D16"/>
    <w:rsid w:val="001D3102"/>
    <w:rsid w:val="001D4268"/>
    <w:rsid w:val="001D6C82"/>
    <w:rsid w:val="001E51EA"/>
    <w:rsid w:val="001F0A63"/>
    <w:rsid w:val="001F1D78"/>
    <w:rsid w:val="001F4DD0"/>
    <w:rsid w:val="001F5EF7"/>
    <w:rsid w:val="001F7424"/>
    <w:rsid w:val="0020075C"/>
    <w:rsid w:val="002016AF"/>
    <w:rsid w:val="002055FF"/>
    <w:rsid w:val="00206B8F"/>
    <w:rsid w:val="00211A8D"/>
    <w:rsid w:val="002165E2"/>
    <w:rsid w:val="00227F35"/>
    <w:rsid w:val="00254786"/>
    <w:rsid w:val="00255972"/>
    <w:rsid w:val="00257F53"/>
    <w:rsid w:val="00261C6D"/>
    <w:rsid w:val="00261E71"/>
    <w:rsid w:val="00281EBC"/>
    <w:rsid w:val="00285907"/>
    <w:rsid w:val="00286B44"/>
    <w:rsid w:val="00287FAE"/>
    <w:rsid w:val="002900A0"/>
    <w:rsid w:val="00294B2B"/>
    <w:rsid w:val="002B63C8"/>
    <w:rsid w:val="002B7AAB"/>
    <w:rsid w:val="002C0419"/>
    <w:rsid w:val="002D3D87"/>
    <w:rsid w:val="002E3E20"/>
    <w:rsid w:val="002F69B8"/>
    <w:rsid w:val="0030342D"/>
    <w:rsid w:val="00305802"/>
    <w:rsid w:val="00305F43"/>
    <w:rsid w:val="00314FFE"/>
    <w:rsid w:val="003169A7"/>
    <w:rsid w:val="00324416"/>
    <w:rsid w:val="003356EB"/>
    <w:rsid w:val="00343207"/>
    <w:rsid w:val="003459CF"/>
    <w:rsid w:val="003623F0"/>
    <w:rsid w:val="00362ACC"/>
    <w:rsid w:val="0037552F"/>
    <w:rsid w:val="003807C5"/>
    <w:rsid w:val="003830EE"/>
    <w:rsid w:val="00385576"/>
    <w:rsid w:val="003A1890"/>
    <w:rsid w:val="003A402A"/>
    <w:rsid w:val="003A5CA4"/>
    <w:rsid w:val="003A710F"/>
    <w:rsid w:val="003B1979"/>
    <w:rsid w:val="003C098D"/>
    <w:rsid w:val="003C7F57"/>
    <w:rsid w:val="003D3151"/>
    <w:rsid w:val="003E1A66"/>
    <w:rsid w:val="003E7116"/>
    <w:rsid w:val="003F1229"/>
    <w:rsid w:val="003F2602"/>
    <w:rsid w:val="00404CDD"/>
    <w:rsid w:val="0040758F"/>
    <w:rsid w:val="004136F6"/>
    <w:rsid w:val="00413AA3"/>
    <w:rsid w:val="0041791F"/>
    <w:rsid w:val="004218C1"/>
    <w:rsid w:val="004222EF"/>
    <w:rsid w:val="00430F06"/>
    <w:rsid w:val="00434596"/>
    <w:rsid w:val="00436770"/>
    <w:rsid w:val="00442255"/>
    <w:rsid w:val="00451307"/>
    <w:rsid w:val="004603E3"/>
    <w:rsid w:val="00465478"/>
    <w:rsid w:val="00474C5F"/>
    <w:rsid w:val="00477F0E"/>
    <w:rsid w:val="00493D48"/>
    <w:rsid w:val="004966B9"/>
    <w:rsid w:val="00496C71"/>
    <w:rsid w:val="0049727F"/>
    <w:rsid w:val="004A0CEB"/>
    <w:rsid w:val="004A7771"/>
    <w:rsid w:val="004B5250"/>
    <w:rsid w:val="004C367C"/>
    <w:rsid w:val="004D0BD1"/>
    <w:rsid w:val="004E7FC5"/>
    <w:rsid w:val="004F4161"/>
    <w:rsid w:val="00513415"/>
    <w:rsid w:val="005140DB"/>
    <w:rsid w:val="00515BB2"/>
    <w:rsid w:val="00516CF6"/>
    <w:rsid w:val="00520432"/>
    <w:rsid w:val="00522463"/>
    <w:rsid w:val="005232FE"/>
    <w:rsid w:val="00523400"/>
    <w:rsid w:val="00531307"/>
    <w:rsid w:val="00532F70"/>
    <w:rsid w:val="00536710"/>
    <w:rsid w:val="0054067F"/>
    <w:rsid w:val="005427EA"/>
    <w:rsid w:val="00544699"/>
    <w:rsid w:val="0055099B"/>
    <w:rsid w:val="005609E4"/>
    <w:rsid w:val="00562FD1"/>
    <w:rsid w:val="00563179"/>
    <w:rsid w:val="005631DF"/>
    <w:rsid w:val="00573AE5"/>
    <w:rsid w:val="005769A7"/>
    <w:rsid w:val="005826BA"/>
    <w:rsid w:val="005A2A63"/>
    <w:rsid w:val="005A7FEB"/>
    <w:rsid w:val="005C0B09"/>
    <w:rsid w:val="005C793B"/>
    <w:rsid w:val="005D6D2C"/>
    <w:rsid w:val="005E68C7"/>
    <w:rsid w:val="005E77DF"/>
    <w:rsid w:val="005F5F8B"/>
    <w:rsid w:val="005F6743"/>
    <w:rsid w:val="005F6838"/>
    <w:rsid w:val="005F685D"/>
    <w:rsid w:val="00600D19"/>
    <w:rsid w:val="00603A7F"/>
    <w:rsid w:val="00614B5D"/>
    <w:rsid w:val="0062773A"/>
    <w:rsid w:val="006312AE"/>
    <w:rsid w:val="00635EAF"/>
    <w:rsid w:val="00644A19"/>
    <w:rsid w:val="00646919"/>
    <w:rsid w:val="00652E19"/>
    <w:rsid w:val="006702DF"/>
    <w:rsid w:val="00670531"/>
    <w:rsid w:val="006706F3"/>
    <w:rsid w:val="006800B2"/>
    <w:rsid w:val="00684FE8"/>
    <w:rsid w:val="00693482"/>
    <w:rsid w:val="00693998"/>
    <w:rsid w:val="006B29EF"/>
    <w:rsid w:val="006D0BDD"/>
    <w:rsid w:val="006D2BF1"/>
    <w:rsid w:val="006E1680"/>
    <w:rsid w:val="006F22A9"/>
    <w:rsid w:val="006F457B"/>
    <w:rsid w:val="006F67FF"/>
    <w:rsid w:val="006F7067"/>
    <w:rsid w:val="0070508F"/>
    <w:rsid w:val="007216C7"/>
    <w:rsid w:val="007302AE"/>
    <w:rsid w:val="007376BF"/>
    <w:rsid w:val="00750976"/>
    <w:rsid w:val="00755792"/>
    <w:rsid w:val="00757135"/>
    <w:rsid w:val="00761025"/>
    <w:rsid w:val="00763BFF"/>
    <w:rsid w:val="00765C11"/>
    <w:rsid w:val="00767AF3"/>
    <w:rsid w:val="00767B7F"/>
    <w:rsid w:val="0078564B"/>
    <w:rsid w:val="007978F7"/>
    <w:rsid w:val="007A506F"/>
    <w:rsid w:val="007A699E"/>
    <w:rsid w:val="007B1B8C"/>
    <w:rsid w:val="007C1420"/>
    <w:rsid w:val="007C4154"/>
    <w:rsid w:val="007C4868"/>
    <w:rsid w:val="007D05F4"/>
    <w:rsid w:val="007D3B25"/>
    <w:rsid w:val="007D3D47"/>
    <w:rsid w:val="007F0AE3"/>
    <w:rsid w:val="007F347F"/>
    <w:rsid w:val="007F590D"/>
    <w:rsid w:val="007F5CBB"/>
    <w:rsid w:val="007F603A"/>
    <w:rsid w:val="0080082B"/>
    <w:rsid w:val="00801B00"/>
    <w:rsid w:val="0081231A"/>
    <w:rsid w:val="0081256B"/>
    <w:rsid w:val="008251AB"/>
    <w:rsid w:val="00827F43"/>
    <w:rsid w:val="008332BE"/>
    <w:rsid w:val="00833CBC"/>
    <w:rsid w:val="008347B4"/>
    <w:rsid w:val="00837471"/>
    <w:rsid w:val="00851B8E"/>
    <w:rsid w:val="008555BA"/>
    <w:rsid w:val="00857FE4"/>
    <w:rsid w:val="008652F8"/>
    <w:rsid w:val="00883932"/>
    <w:rsid w:val="008850B2"/>
    <w:rsid w:val="00887DA7"/>
    <w:rsid w:val="008A0610"/>
    <w:rsid w:val="008A5D3F"/>
    <w:rsid w:val="008A75E9"/>
    <w:rsid w:val="008B3354"/>
    <w:rsid w:val="008B6B65"/>
    <w:rsid w:val="008C0141"/>
    <w:rsid w:val="008C5570"/>
    <w:rsid w:val="008C7BB8"/>
    <w:rsid w:val="008D013A"/>
    <w:rsid w:val="008D42C4"/>
    <w:rsid w:val="008D4FC1"/>
    <w:rsid w:val="008D7AC0"/>
    <w:rsid w:val="00904294"/>
    <w:rsid w:val="00906384"/>
    <w:rsid w:val="00907966"/>
    <w:rsid w:val="00910AE8"/>
    <w:rsid w:val="00922B02"/>
    <w:rsid w:val="00923038"/>
    <w:rsid w:val="00924559"/>
    <w:rsid w:val="009267C0"/>
    <w:rsid w:val="00944B97"/>
    <w:rsid w:val="00960E9A"/>
    <w:rsid w:val="00966E13"/>
    <w:rsid w:val="00971CCC"/>
    <w:rsid w:val="009737D4"/>
    <w:rsid w:val="00973D57"/>
    <w:rsid w:val="009757FB"/>
    <w:rsid w:val="00983F7B"/>
    <w:rsid w:val="00996571"/>
    <w:rsid w:val="00997780"/>
    <w:rsid w:val="009A42C2"/>
    <w:rsid w:val="009C0CF6"/>
    <w:rsid w:val="009C5DD1"/>
    <w:rsid w:val="009D3EFB"/>
    <w:rsid w:val="009D45FE"/>
    <w:rsid w:val="009D6100"/>
    <w:rsid w:val="009D654D"/>
    <w:rsid w:val="009E1795"/>
    <w:rsid w:val="009E2B24"/>
    <w:rsid w:val="009E2E80"/>
    <w:rsid w:val="009F10FD"/>
    <w:rsid w:val="009F3B33"/>
    <w:rsid w:val="00A00D0B"/>
    <w:rsid w:val="00A04030"/>
    <w:rsid w:val="00A12A20"/>
    <w:rsid w:val="00A13DB9"/>
    <w:rsid w:val="00A13F9A"/>
    <w:rsid w:val="00A20065"/>
    <w:rsid w:val="00A208F6"/>
    <w:rsid w:val="00A236A5"/>
    <w:rsid w:val="00A3774F"/>
    <w:rsid w:val="00A4344A"/>
    <w:rsid w:val="00A46ADB"/>
    <w:rsid w:val="00A65395"/>
    <w:rsid w:val="00A773C3"/>
    <w:rsid w:val="00A80C52"/>
    <w:rsid w:val="00A90752"/>
    <w:rsid w:val="00A91B5C"/>
    <w:rsid w:val="00A97951"/>
    <w:rsid w:val="00AA347B"/>
    <w:rsid w:val="00AA45AC"/>
    <w:rsid w:val="00AB1BAF"/>
    <w:rsid w:val="00AC4D31"/>
    <w:rsid w:val="00AC5CFA"/>
    <w:rsid w:val="00AC6233"/>
    <w:rsid w:val="00AD2590"/>
    <w:rsid w:val="00AD31A7"/>
    <w:rsid w:val="00AD3D96"/>
    <w:rsid w:val="00AE0985"/>
    <w:rsid w:val="00AE0F82"/>
    <w:rsid w:val="00AE1D8F"/>
    <w:rsid w:val="00AF34D9"/>
    <w:rsid w:val="00AF60A2"/>
    <w:rsid w:val="00B0397F"/>
    <w:rsid w:val="00B05EA4"/>
    <w:rsid w:val="00B11911"/>
    <w:rsid w:val="00B21C07"/>
    <w:rsid w:val="00B23213"/>
    <w:rsid w:val="00B234D8"/>
    <w:rsid w:val="00B30B8C"/>
    <w:rsid w:val="00B362D4"/>
    <w:rsid w:val="00B36654"/>
    <w:rsid w:val="00B4707B"/>
    <w:rsid w:val="00B47A17"/>
    <w:rsid w:val="00B51249"/>
    <w:rsid w:val="00B63CE6"/>
    <w:rsid w:val="00B67007"/>
    <w:rsid w:val="00B7736E"/>
    <w:rsid w:val="00B830FC"/>
    <w:rsid w:val="00B957F2"/>
    <w:rsid w:val="00B96BAF"/>
    <w:rsid w:val="00BA062E"/>
    <w:rsid w:val="00BA243F"/>
    <w:rsid w:val="00BB4555"/>
    <w:rsid w:val="00BB75FE"/>
    <w:rsid w:val="00BC25C9"/>
    <w:rsid w:val="00BC30B0"/>
    <w:rsid w:val="00BC3A6C"/>
    <w:rsid w:val="00BD2327"/>
    <w:rsid w:val="00BD66CC"/>
    <w:rsid w:val="00BE079B"/>
    <w:rsid w:val="00BF0863"/>
    <w:rsid w:val="00C01E27"/>
    <w:rsid w:val="00C11760"/>
    <w:rsid w:val="00C13AAC"/>
    <w:rsid w:val="00C1521B"/>
    <w:rsid w:val="00C21A3C"/>
    <w:rsid w:val="00C24C50"/>
    <w:rsid w:val="00C262A7"/>
    <w:rsid w:val="00C34A6C"/>
    <w:rsid w:val="00C4032F"/>
    <w:rsid w:val="00C4431A"/>
    <w:rsid w:val="00C52C3B"/>
    <w:rsid w:val="00C53635"/>
    <w:rsid w:val="00C63053"/>
    <w:rsid w:val="00C6595A"/>
    <w:rsid w:val="00C715C4"/>
    <w:rsid w:val="00C71B41"/>
    <w:rsid w:val="00C826C7"/>
    <w:rsid w:val="00C916A8"/>
    <w:rsid w:val="00C93CBE"/>
    <w:rsid w:val="00CA4A9F"/>
    <w:rsid w:val="00CB457F"/>
    <w:rsid w:val="00CC46B2"/>
    <w:rsid w:val="00CD33C7"/>
    <w:rsid w:val="00CD6CA2"/>
    <w:rsid w:val="00CE29CF"/>
    <w:rsid w:val="00D10C34"/>
    <w:rsid w:val="00D14190"/>
    <w:rsid w:val="00D16F2A"/>
    <w:rsid w:val="00D25088"/>
    <w:rsid w:val="00D25BFF"/>
    <w:rsid w:val="00D35229"/>
    <w:rsid w:val="00D37306"/>
    <w:rsid w:val="00D421D1"/>
    <w:rsid w:val="00D42B83"/>
    <w:rsid w:val="00D54FE4"/>
    <w:rsid w:val="00D568D2"/>
    <w:rsid w:val="00D56BE5"/>
    <w:rsid w:val="00D6101C"/>
    <w:rsid w:val="00D7038A"/>
    <w:rsid w:val="00D70797"/>
    <w:rsid w:val="00D709AB"/>
    <w:rsid w:val="00D7120F"/>
    <w:rsid w:val="00D716F7"/>
    <w:rsid w:val="00D752B1"/>
    <w:rsid w:val="00D76C00"/>
    <w:rsid w:val="00D76F66"/>
    <w:rsid w:val="00D82E6F"/>
    <w:rsid w:val="00D932E0"/>
    <w:rsid w:val="00D9703E"/>
    <w:rsid w:val="00DA4E59"/>
    <w:rsid w:val="00DA5660"/>
    <w:rsid w:val="00DB3929"/>
    <w:rsid w:val="00DB39FF"/>
    <w:rsid w:val="00DB4CEA"/>
    <w:rsid w:val="00DC1D0F"/>
    <w:rsid w:val="00DC3183"/>
    <w:rsid w:val="00DC4D2F"/>
    <w:rsid w:val="00DD09B2"/>
    <w:rsid w:val="00DD30BA"/>
    <w:rsid w:val="00DD7E72"/>
    <w:rsid w:val="00DF70FF"/>
    <w:rsid w:val="00DF7128"/>
    <w:rsid w:val="00E0737D"/>
    <w:rsid w:val="00E20359"/>
    <w:rsid w:val="00E23132"/>
    <w:rsid w:val="00E26178"/>
    <w:rsid w:val="00E33581"/>
    <w:rsid w:val="00E3775E"/>
    <w:rsid w:val="00E437B9"/>
    <w:rsid w:val="00E54001"/>
    <w:rsid w:val="00E54401"/>
    <w:rsid w:val="00E63932"/>
    <w:rsid w:val="00E670E1"/>
    <w:rsid w:val="00E72FD5"/>
    <w:rsid w:val="00E74E1F"/>
    <w:rsid w:val="00E80776"/>
    <w:rsid w:val="00E8286C"/>
    <w:rsid w:val="00E872CA"/>
    <w:rsid w:val="00E87339"/>
    <w:rsid w:val="00E94919"/>
    <w:rsid w:val="00E97438"/>
    <w:rsid w:val="00E97875"/>
    <w:rsid w:val="00EC2DC1"/>
    <w:rsid w:val="00ED753C"/>
    <w:rsid w:val="00EE3A95"/>
    <w:rsid w:val="00EE4763"/>
    <w:rsid w:val="00EE72C9"/>
    <w:rsid w:val="00F03AF7"/>
    <w:rsid w:val="00F154C8"/>
    <w:rsid w:val="00F16C89"/>
    <w:rsid w:val="00F1709D"/>
    <w:rsid w:val="00F26E0C"/>
    <w:rsid w:val="00F33EFE"/>
    <w:rsid w:val="00F416B5"/>
    <w:rsid w:val="00F43296"/>
    <w:rsid w:val="00F45709"/>
    <w:rsid w:val="00F537B4"/>
    <w:rsid w:val="00F70362"/>
    <w:rsid w:val="00F87EFA"/>
    <w:rsid w:val="00F91942"/>
    <w:rsid w:val="00F91E1F"/>
    <w:rsid w:val="00F965AE"/>
    <w:rsid w:val="00FA5422"/>
    <w:rsid w:val="00FA664B"/>
    <w:rsid w:val="00FB1ABD"/>
    <w:rsid w:val="00FB26A1"/>
    <w:rsid w:val="00FB31D5"/>
    <w:rsid w:val="00FB409C"/>
    <w:rsid w:val="00FC12FB"/>
    <w:rsid w:val="00FC37C1"/>
    <w:rsid w:val="00FC4111"/>
    <w:rsid w:val="00FD5514"/>
    <w:rsid w:val="00FD6CA1"/>
    <w:rsid w:val="00FE6F28"/>
    <w:rsid w:val="00FF4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F4A684"/>
  <w15:docId w15:val="{BD72A819-1B28-4EB3-821C-AE5E0C15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EC"/>
  </w:style>
  <w:style w:type="paragraph" w:styleId="Heading1">
    <w:name w:val="heading 1"/>
    <w:basedOn w:val="Normal"/>
    <w:next w:val="Normal"/>
    <w:link w:val="Heading1Char"/>
    <w:uiPriority w:val="9"/>
    <w:qFormat/>
    <w:rsid w:val="000D2CA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0D2CA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D2CA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014F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4F8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14F86"/>
    <w:rPr>
      <w:sz w:val="18"/>
      <w:szCs w:val="18"/>
    </w:rPr>
  </w:style>
  <w:style w:type="paragraph" w:styleId="CommentText">
    <w:name w:val="annotation text"/>
    <w:basedOn w:val="Normal"/>
    <w:link w:val="CommentTextChar"/>
    <w:uiPriority w:val="99"/>
    <w:semiHidden/>
    <w:unhideWhenUsed/>
    <w:rsid w:val="00014F86"/>
    <w:pPr>
      <w:spacing w:line="240" w:lineRule="auto"/>
    </w:pPr>
    <w:rPr>
      <w:sz w:val="24"/>
      <w:szCs w:val="24"/>
    </w:rPr>
  </w:style>
  <w:style w:type="character" w:customStyle="1" w:styleId="CommentTextChar">
    <w:name w:val="Comment Text Char"/>
    <w:basedOn w:val="DefaultParagraphFont"/>
    <w:link w:val="CommentText"/>
    <w:uiPriority w:val="99"/>
    <w:semiHidden/>
    <w:rsid w:val="00014F86"/>
    <w:rPr>
      <w:sz w:val="24"/>
      <w:szCs w:val="24"/>
    </w:rPr>
  </w:style>
  <w:style w:type="paragraph" w:styleId="CommentSubject">
    <w:name w:val="annotation subject"/>
    <w:basedOn w:val="CommentText"/>
    <w:next w:val="CommentText"/>
    <w:link w:val="CommentSubjectChar"/>
    <w:uiPriority w:val="99"/>
    <w:semiHidden/>
    <w:unhideWhenUsed/>
    <w:rsid w:val="00014F86"/>
    <w:rPr>
      <w:b/>
      <w:bCs/>
      <w:sz w:val="20"/>
      <w:szCs w:val="20"/>
    </w:rPr>
  </w:style>
  <w:style w:type="character" w:customStyle="1" w:styleId="CommentSubjectChar">
    <w:name w:val="Comment Subject Char"/>
    <w:basedOn w:val="CommentTextChar"/>
    <w:link w:val="CommentSubject"/>
    <w:uiPriority w:val="99"/>
    <w:semiHidden/>
    <w:rsid w:val="00014F86"/>
    <w:rPr>
      <w:b/>
      <w:bCs/>
      <w:sz w:val="20"/>
      <w:szCs w:val="20"/>
    </w:rPr>
  </w:style>
  <w:style w:type="character" w:customStyle="1" w:styleId="Heading1Char">
    <w:name w:val="Heading 1 Char"/>
    <w:basedOn w:val="DefaultParagraphFont"/>
    <w:link w:val="Heading1"/>
    <w:uiPriority w:val="9"/>
    <w:rsid w:val="000D2CA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0D2CA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D2CA9"/>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746">
      <w:bodyDiv w:val="1"/>
      <w:marLeft w:val="0"/>
      <w:marRight w:val="0"/>
      <w:marTop w:val="0"/>
      <w:marBottom w:val="0"/>
      <w:divBdr>
        <w:top w:val="none" w:sz="0" w:space="0" w:color="auto"/>
        <w:left w:val="none" w:sz="0" w:space="0" w:color="auto"/>
        <w:bottom w:val="none" w:sz="0" w:space="0" w:color="auto"/>
        <w:right w:val="none" w:sz="0" w:space="0" w:color="auto"/>
      </w:divBdr>
    </w:div>
    <w:div w:id="384183019">
      <w:bodyDiv w:val="1"/>
      <w:marLeft w:val="0"/>
      <w:marRight w:val="0"/>
      <w:marTop w:val="0"/>
      <w:marBottom w:val="0"/>
      <w:divBdr>
        <w:top w:val="none" w:sz="0" w:space="0" w:color="auto"/>
        <w:left w:val="none" w:sz="0" w:space="0" w:color="auto"/>
        <w:bottom w:val="none" w:sz="0" w:space="0" w:color="auto"/>
        <w:right w:val="none" w:sz="0" w:space="0" w:color="auto"/>
      </w:divBdr>
    </w:div>
    <w:div w:id="407073476">
      <w:bodyDiv w:val="1"/>
      <w:marLeft w:val="0"/>
      <w:marRight w:val="0"/>
      <w:marTop w:val="0"/>
      <w:marBottom w:val="0"/>
      <w:divBdr>
        <w:top w:val="none" w:sz="0" w:space="0" w:color="auto"/>
        <w:left w:val="none" w:sz="0" w:space="0" w:color="auto"/>
        <w:bottom w:val="none" w:sz="0" w:space="0" w:color="auto"/>
        <w:right w:val="none" w:sz="0" w:space="0" w:color="auto"/>
      </w:divBdr>
    </w:div>
    <w:div w:id="695811054">
      <w:bodyDiv w:val="1"/>
      <w:marLeft w:val="0"/>
      <w:marRight w:val="0"/>
      <w:marTop w:val="0"/>
      <w:marBottom w:val="0"/>
      <w:divBdr>
        <w:top w:val="none" w:sz="0" w:space="0" w:color="auto"/>
        <w:left w:val="none" w:sz="0" w:space="0" w:color="auto"/>
        <w:bottom w:val="none" w:sz="0" w:space="0" w:color="auto"/>
        <w:right w:val="none" w:sz="0" w:space="0" w:color="auto"/>
      </w:divBdr>
    </w:div>
    <w:div w:id="939333360">
      <w:bodyDiv w:val="1"/>
      <w:marLeft w:val="0"/>
      <w:marRight w:val="0"/>
      <w:marTop w:val="0"/>
      <w:marBottom w:val="0"/>
      <w:divBdr>
        <w:top w:val="none" w:sz="0" w:space="0" w:color="auto"/>
        <w:left w:val="none" w:sz="0" w:space="0" w:color="auto"/>
        <w:bottom w:val="none" w:sz="0" w:space="0" w:color="auto"/>
        <w:right w:val="none" w:sz="0" w:space="0" w:color="auto"/>
      </w:divBdr>
    </w:div>
    <w:div w:id="1321041577">
      <w:bodyDiv w:val="1"/>
      <w:marLeft w:val="0"/>
      <w:marRight w:val="0"/>
      <w:marTop w:val="0"/>
      <w:marBottom w:val="0"/>
      <w:divBdr>
        <w:top w:val="none" w:sz="0" w:space="0" w:color="auto"/>
        <w:left w:val="none" w:sz="0" w:space="0" w:color="auto"/>
        <w:bottom w:val="none" w:sz="0" w:space="0" w:color="auto"/>
        <w:right w:val="none" w:sz="0" w:space="0" w:color="auto"/>
      </w:divBdr>
      <w:divsChild>
        <w:div w:id="742022953">
          <w:marLeft w:val="0"/>
          <w:marRight w:val="0"/>
          <w:marTop w:val="0"/>
          <w:marBottom w:val="0"/>
          <w:divBdr>
            <w:top w:val="none" w:sz="0" w:space="0" w:color="auto"/>
            <w:left w:val="none" w:sz="0" w:space="0" w:color="auto"/>
            <w:bottom w:val="none" w:sz="0" w:space="0" w:color="auto"/>
            <w:right w:val="none" w:sz="0" w:space="0" w:color="auto"/>
          </w:divBdr>
          <w:divsChild>
            <w:div w:id="15576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3299">
      <w:bodyDiv w:val="1"/>
      <w:marLeft w:val="0"/>
      <w:marRight w:val="0"/>
      <w:marTop w:val="0"/>
      <w:marBottom w:val="0"/>
      <w:divBdr>
        <w:top w:val="none" w:sz="0" w:space="0" w:color="auto"/>
        <w:left w:val="none" w:sz="0" w:space="0" w:color="auto"/>
        <w:bottom w:val="none" w:sz="0" w:space="0" w:color="auto"/>
        <w:right w:val="none" w:sz="0" w:space="0" w:color="auto"/>
      </w:divBdr>
    </w:div>
    <w:div w:id="1439134172">
      <w:bodyDiv w:val="1"/>
      <w:marLeft w:val="0"/>
      <w:marRight w:val="0"/>
      <w:marTop w:val="0"/>
      <w:marBottom w:val="0"/>
      <w:divBdr>
        <w:top w:val="none" w:sz="0" w:space="0" w:color="auto"/>
        <w:left w:val="none" w:sz="0" w:space="0" w:color="auto"/>
        <w:bottom w:val="none" w:sz="0" w:space="0" w:color="auto"/>
        <w:right w:val="none" w:sz="0" w:space="0" w:color="auto"/>
      </w:divBdr>
    </w:div>
    <w:div w:id="187007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8E84A-9D52-40D2-9B90-3D9C511B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Marios Antreou</cp:lastModifiedBy>
  <cp:revision>4</cp:revision>
  <cp:lastPrinted>2016-11-30T11:23:00Z</cp:lastPrinted>
  <dcterms:created xsi:type="dcterms:W3CDTF">2016-11-30T11:24:00Z</dcterms:created>
  <dcterms:modified xsi:type="dcterms:W3CDTF">2025-05-03T16:15:00Z</dcterms:modified>
</cp:coreProperties>
</file>