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Sprint Backlog - Sprint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760"/>
        <w:gridCol w:w="1560"/>
        <w:gridCol w:w="1425"/>
        <w:gridCol w:w="1215"/>
      </w:tblGrid>
      <w:tr>
        <w:trPr>
          <w:trHeight w:val="56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Estimación en Product Backlog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Estimación en Sprint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Estado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Realizar informe de investigación de Testing Automático.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(P) Implementar base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(P) Guardar el diseño de examen.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(P) Crear las preguntas del examen de tipo "múltiple opción con respuesta única".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(P) Crear las preguntas del examen de tipo "múltiple opción con varias respuestas".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(P) Crear las preguntas del examen de tipo "falso/verdadero sin justificación".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(P) Crear las preguntas del examen de tipo "falso/verdadero con justificación".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Faltantes y correcciones Sprint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500"/>
        <w:gridCol w:w="960"/>
        <w:gridCol w:w="960"/>
        <w:gridCol w:w="960"/>
      </w:tblGrid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NOTA:</w:t>
      </w:r>
      <w:r w:rsidRPr="00000000" w:rsidR="00000000" w:rsidDel="00000000">
        <w:rPr>
          <w:rtl w:val="0"/>
        </w:rPr>
        <w:t xml:space="preserve"> (P) identifica los módulos del profesor.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</cp:coreProperties>
</file>