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Mexico | Economic monitoring brief</w:t>
      </w:r>
    </w:p>
    <w:p>
      <w:r>
        <w:t>For internal review. Reconcile each finding against the source table; preserve the source observations and methodology note.</w:t>
      </w:r>
    </w:p>
    <w:p>
      <w:pPr>
        <w:pStyle w:val="Heading1"/>
      </w:pPr>
      <w:r>
        <w:t>WDI source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GDP, USD bn</w:t>
            </w:r>
          </w:p>
        </w:tc>
        <w:tc>
          <w:tcPr>
            <w:tcW w:type="dxa" w:w="1440"/>
          </w:tcPr>
          <w:p>
            <w:r>
              <w:t>GDP/capita, USD</w:t>
            </w:r>
          </w:p>
        </w:tc>
        <w:tc>
          <w:tcPr>
            <w:tcW w:type="dxa" w:w="1440"/>
          </w:tcPr>
          <w:p>
            <w:r>
              <w:t>Inflation, %</w:t>
            </w:r>
          </w:p>
        </w:tc>
        <w:tc>
          <w:tcPr>
            <w:tcW w:type="dxa" w:w="1440"/>
          </w:tcPr>
          <w:p>
            <w:r>
              <w:t>Population</w:t>
            </w:r>
          </w:p>
        </w:tc>
        <w:tc>
          <w:tcPr>
            <w:tcW w:type="dxa" w:w="1440"/>
          </w:tcPr>
          <w:p>
            <w:r>
              <w:t>Unemployment, %</w:t>
            </w:r>
          </w:p>
        </w:tc>
      </w:tr>
      <w:tr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1,304.1</w:t>
            </w:r>
          </w:p>
        </w:tc>
        <w:tc>
          <w:tcPr>
            <w:tcW w:type="dxa" w:w="1440"/>
          </w:tcPr>
          <w:p>
            <w:r>
              <w:t>10,370</w:t>
            </w:r>
          </w:p>
        </w:tc>
        <w:tc>
          <w:tcPr>
            <w:tcW w:type="dxa" w:w="1440"/>
          </w:tcPr>
          <w:p>
            <w:r>
              <w:t>3.64</w:t>
            </w:r>
          </w:p>
        </w:tc>
        <w:tc>
          <w:tcPr>
            <w:tcW w:type="dxa" w:w="1440"/>
          </w:tcPr>
          <w:p>
            <w:r>
              <w:t>125,762,982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1,121.1</w:t>
            </w:r>
          </w:p>
        </w:tc>
        <w:tc>
          <w:tcPr>
            <w:tcW w:type="dxa" w:w="1440"/>
          </w:tcPr>
          <w:p>
            <w:r>
              <w:t>8,841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126,799,054</w:t>
            </w:r>
          </w:p>
        </w:tc>
        <w:tc>
          <w:tcPr>
            <w:tcW w:type="dxa" w:w="1440"/>
          </w:tcPr>
          <w:p>
            <w:r>
              <w:t>4.44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1,316.6</w:t>
            </w:r>
          </w:p>
        </w:tc>
        <w:tc>
          <w:tcPr>
            <w:tcW w:type="dxa" w:w="1440"/>
          </w:tcPr>
          <w:p>
            <w:r>
              <w:t>10,314</w:t>
            </w:r>
          </w:p>
        </w:tc>
        <w:tc>
          <w:tcPr>
            <w:tcW w:type="dxa" w:w="1440"/>
          </w:tcPr>
          <w:p>
            <w:r>
              <w:t>5.69</w:t>
            </w:r>
          </w:p>
        </w:tc>
        <w:tc>
          <w:tcPr>
            <w:tcW w:type="dxa" w:w="1440"/>
          </w:tcPr>
          <w:p>
            <w:r>
              <w:t>127,648,148</w:t>
            </w:r>
          </w:p>
        </w:tc>
        <w:tc>
          <w:tcPr>
            <w:tcW w:type="dxa" w:w="1440"/>
          </w:tcPr>
          <w:p>
            <w:r>
              <w:t>4.02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1,466.9</w:t>
            </w:r>
          </w:p>
        </w:tc>
        <w:tc>
          <w:tcPr>
            <w:tcW w:type="dxa" w:w="1440"/>
          </w:tcPr>
          <w:p>
            <w:r>
              <w:t>11,406</w:t>
            </w:r>
          </w:p>
        </w:tc>
        <w:tc>
          <w:tcPr>
            <w:tcW w:type="dxa" w:w="1440"/>
          </w:tcPr>
          <w:p>
            <w:r>
              <w:t>7.90</w:t>
            </w:r>
          </w:p>
        </w:tc>
        <w:tc>
          <w:tcPr>
            <w:tcW w:type="dxa" w:w="1440"/>
          </w:tcPr>
          <w:p>
            <w:r>
              <w:t>128,613,117</w:t>
            </w:r>
          </w:p>
        </w:tc>
        <w:tc>
          <w:tcPr>
            <w:tcW w:type="dxa" w:w="1440"/>
          </w:tcPr>
          <w:p>
            <w:r>
              <w:t>3.26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1,794.4</w:t>
            </w:r>
          </w:p>
        </w:tc>
        <w:tc>
          <w:tcPr>
            <w:tcW w:type="dxa" w:w="1440"/>
          </w:tcPr>
          <w:p>
            <w:r>
              <w:t>13,831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129,739,759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1,830.5</w:t>
            </w:r>
          </w:p>
        </w:tc>
        <w:tc>
          <w:tcPr>
            <w:tcW w:type="dxa" w:w="1440"/>
          </w:tcPr>
          <w:p>
            <w:r>
              <w:t>13,988</w:t>
            </w:r>
          </w:p>
        </w:tc>
        <w:tc>
          <w:tcPr>
            <w:tcW w:type="dxa" w:w="1440"/>
          </w:tcPr>
          <w:p>
            <w:r>
              <w:t>4.72</w:t>
            </w:r>
          </w:p>
        </w:tc>
        <w:tc>
          <w:tcPr>
            <w:tcW w:type="dxa" w:w="1440"/>
          </w:tcPr>
          <w:p>
            <w:r>
              <w:t>130,861,007</w:t>
            </w:r>
          </w:p>
        </w:tc>
        <w:tc>
          <w:tcPr>
            <w:tcW w:type="dxa" w:w="1440"/>
          </w:tcPr>
          <w:p>
            <w:r>
              <w:t>2.68</w:t>
            </w:r>
          </w:p>
        </w:tc>
      </w:tr>
    </w:tbl>
    <w:p>
      <w:pPr>
        <w:pStyle w:val="Heading1"/>
      </w:pPr>
      <w:r>
        <w:t>Findings for decision-makers</w:t>
      </w:r>
    </w:p>
    <w:p>
      <w:pPr>
        <w:pStyle w:val="ListBullet"/>
      </w:pPr>
      <w:r>
        <w:t>FINDING_1_REVIEW_3</w:t>
      </w:r>
    </w:p>
    <w:p>
      <w:pPr>
        <w:pStyle w:val="ListBullet"/>
      </w:pPr>
      <w:r>
        <w:t>FINDING 2: Inflation changed by -0.81 percentage points from 2023 to 2024.</w:t>
      </w:r>
    </w:p>
    <w:p>
      <w:pPr>
        <w:pStyle w:val="ListBullet"/>
      </w:pPr>
      <w:r>
        <w:t>FINDING 3: The 2024 unemployment rate was 2.68%.</w:t>
      </w:r>
    </w:p>
    <w:p>
      <w:pPr>
        <w:pStyle w:val="Heading1"/>
      </w:pPr>
      <w:r>
        <w:t>Method and attribution</w:t>
      </w:r>
    </w:p>
    <w:p>
      <w:r>
        <w:t>The comparison uses the same-country annual WDI observations in the table. Nominal GDP is in current USD; GDP growth is not inflation-adjusted.</w:t>
      </w:r>
    </w:p>
    <w:p>
      <w:r>
        <w:t>Source: World Bank, World Development Indicators, API snapshot 2026-09-25, 2019–2024; CC BY 4.0. Derived calculations are EnvLoop's, not World Bank conclusions.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