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53.319091796875" w:line="240" w:lineRule="auto"/>
        <w:rPr>
          <w:b w:val="1"/>
          <w:bCs w:val="1"/>
          <w:color w:val="434343"/>
          <w:sz w:val="28.000003814697266"/>
          <w:szCs w:val="28.000003814697266"/>
        </w:rPr>
      </w:pPr>
      <w:r w:rsidDel="00000000" w:rsidR="00000000" w:rsidRPr="00000000">
        <w:rPr>
          <w:b w:val="1"/>
          <w:bCs w:val="1"/>
          <w:color w:val="434343"/>
          <w:sz w:val="28.000003814697266"/>
          <w:szCs w:val="28.000003814697266"/>
          <w:rtl w:val="0"/>
        </w:rPr>
        <w:t xml:space="preserve">Alabama Data Dictionary - Year 0</w:t>
      </w:r>
    </w:p>
    <w:p w:rsidR="00000000" w:rsidDel="00000000" w:rsidP="00000000" w:rsidRDefault="00000000" w:rsidRPr="00000000" w14:paraId="00000002">
      <w:pPr>
        <w:widowControl w:val="0"/>
        <w:spacing w:before="128.470458984375" w:line="240" w:lineRule="auto"/>
        <w:ind w:left="9.4000244140625" w:firstLine="0"/>
        <w:rPr>
          <w:sz w:val="19.999996185302734"/>
          <w:szCs w:val="19.999996185302734"/>
          <w:highlight w:val="yellow"/>
        </w:rPr>
      </w:pPr>
      <w:r w:rsidDel="00000000" w:rsidR="00000000" w:rsidRPr="00000000">
        <w:rPr>
          <w:b w:val="1"/>
          <w:bCs w:val="1"/>
          <w:sz w:val="19.999996185302734"/>
          <w:szCs w:val="19.999996185302734"/>
          <w:rtl w:val="0"/>
        </w:rPr>
        <w:t xml:space="preserve">Status: </w:t>
      </w:r>
      <w:r w:rsidDel="00000000" w:rsidR="00000000" w:rsidRPr="00000000">
        <w:rPr>
          <w:sz w:val="19.999996185302734"/>
          <w:szCs w:val="19.999996185302734"/>
          <w:highlight w:val="yellow"/>
          <w:rtl w:val="0"/>
        </w:rPr>
        <w:t xml:space="preserve">DG Finalized 6/17</w:t>
      </w:r>
    </w:p>
    <w:p w:rsidR="00000000" w:rsidDel="00000000" w:rsidP="00000000" w:rsidRDefault="00000000" w:rsidRPr="00000000" w14:paraId="00000003">
      <w:pPr>
        <w:widowControl w:val="0"/>
        <w:spacing w:before="128.470458984375" w:line="240" w:lineRule="auto"/>
        <w:ind w:left="9.4000244140625" w:firstLine="0"/>
        <w:rPr>
          <w:sz w:val="19.999996185302734"/>
          <w:szCs w:val="19.999996185302734"/>
        </w:rPr>
      </w:pPr>
      <w:r w:rsidDel="00000000" w:rsidR="00000000" w:rsidRPr="00000000">
        <w:rPr>
          <w:b w:val="1"/>
          <w:bCs w:val="1"/>
          <w:sz w:val="19.999996185302734"/>
          <w:szCs w:val="19.999996185302734"/>
          <w:rtl w:val="0"/>
        </w:rPr>
        <w:t xml:space="preserve">Category: </w:t>
      </w:r>
      <w:r w:rsidDel="00000000" w:rsidR="00000000" w:rsidRPr="00000000">
        <w:rPr>
          <w:sz w:val="19.999996185302734"/>
          <w:szCs w:val="19.999996185302734"/>
          <w:rtl w:val="0"/>
        </w:rPr>
        <w:t xml:space="preserve">Award Data Available </w:t>
      </w:r>
    </w:p>
    <w:p w:rsidR="00000000" w:rsidDel="00000000" w:rsidP="00000000" w:rsidRDefault="00000000" w:rsidRPr="00000000" w14:paraId="00000004">
      <w:pPr>
        <w:widowControl w:val="0"/>
        <w:spacing w:before="295.55419921875" w:line="240" w:lineRule="auto"/>
        <w:ind w:left="14.799957275390625" w:firstLine="0"/>
        <w:rPr>
          <w:b w:val="1"/>
          <w:bCs w:val="1"/>
          <w:sz w:val="19.999996185302734"/>
          <w:szCs w:val="19.999996185302734"/>
        </w:rPr>
      </w:pPr>
      <w:r w:rsidDel="00000000" w:rsidR="00000000" w:rsidRPr="00000000">
        <w:rPr>
          <w:b w:val="1"/>
          <w:bCs w:val="1"/>
          <w:sz w:val="19.999996185302734"/>
          <w:szCs w:val="19.999996185302734"/>
          <w:rtl w:val="0"/>
        </w:rPr>
        <w:t xml:space="preserve">Features in dashboard: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the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"Lead" "Emerging Contaminants," or "General" purpose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295.55419921875" w:line="240" w:lineRule="auto"/>
        <w:ind w:left="14.799957275390625" w:firstLine="0"/>
        <w:rPr>
          <w:b w:val="1"/>
          <w:bCs w:val="1"/>
          <w:sz w:val="19.999996185302734"/>
          <w:szCs w:val="19.9999961853027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0.767822265625" w:line="264.3699073791504" w:lineRule="auto"/>
        <w:ind w:left="1097.4000549316406" w:firstLine="0"/>
        <w:jc w:val="center"/>
        <w:rPr>
          <w:sz w:val="19.999996185302734"/>
          <w:szCs w:val="19.9999961853027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9.999996185302734"/>
          <w:szCs w:val="19.99999618530273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 documents from which data for the 2023 SRF funding cycle has been collected: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31.0760498046875" w:line="240" w:lineRule="auto"/>
        <w:ind w:left="377.4000549316406" w:firstLine="0"/>
        <w:rPr>
          <w:sz w:val="19.999996185302734"/>
          <w:szCs w:val="19.9999961853027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DWSRF Intended Use Plan Fiscal Year 2021</w:t>
        </w:r>
      </w:hyperlink>
      <w:r w:rsidDel="00000000" w:rsidR="00000000" w:rsidRPr="00000000">
        <w:rPr>
          <w:sz w:val="20"/>
          <w:szCs w:val="20"/>
          <w:rtl w:val="0"/>
        </w:rPr>
        <w:t xml:space="preserve"> (SFY22 Base IUP)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Attachment 1: Project Priority list (SFY22 Base PPL)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TBD  | Last Scraped By: Phil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2026-05-07 | Last Reviewed By: Maria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County Served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Applicant Name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Extract from Attachment 2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</w:t>
      </w:r>
      <w:r w:rsidDel="00000000" w:rsidR="00000000" w:rsidRPr="00000000">
        <w:rPr>
          <w:sz w:val="20"/>
          <w:szCs w:val="20"/>
          <w:rtl w:val="0"/>
        </w:rPr>
        <w:t xml:space="preserve"> [organize by project type and relevant lists, examples below]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All projects on SFY22 Base IUP that are not Lead or EC projects. 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 Projects on the SFY22 Base IUP with “lead” or “LSL” </w:t>
      </w:r>
      <w:r w:rsidDel="00000000" w:rsidR="00000000" w:rsidRPr="00000000">
        <w:rPr>
          <w:sz w:val="20"/>
          <w:szCs w:val="20"/>
          <w:rtl w:val="0"/>
        </w:rPr>
        <w:t xml:space="preserve">extracted from Description in Attachment 2 </w:t>
      </w:r>
      <w:r w:rsidDel="00000000" w:rsidR="00000000" w:rsidRPr="00000000">
        <w:rPr>
          <w:sz w:val="20"/>
          <w:szCs w:val="20"/>
          <w:rtl w:val="0"/>
        </w:rPr>
        <w:t xml:space="preserve">are lead projects.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 Projects on the SFY22 General IUP with “cyanotoxin,” “dioxane,”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extracted from Description in Attachment 2 are emerging contaminants projects.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Assistance Amount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Additional Subsidization (Principal Forgiveness)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 </w:t>
      </w:r>
      <w:r w:rsidDel="00000000" w:rsidR="00000000" w:rsidRPr="00000000">
        <w:rPr>
          <w:sz w:val="20"/>
          <w:szCs w:val="20"/>
          <w:rtl w:val="0"/>
        </w:rPr>
        <w:t xml:space="preserve">Extract from Attachment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Population Served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Priority Point Rank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</w:t>
      </w:r>
      <w:r w:rsidDel="00000000" w:rsidR="00000000" w:rsidRPr="00000000">
        <w:rPr>
          <w:sz w:val="20"/>
          <w:szCs w:val="20"/>
          <w:rtl w:val="0"/>
        </w:rPr>
        <w:t xml:space="preserve">: listed on SFY22 Base PPL 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 xml:space="preserve">: Alabama does not list any general or lead projects that are not expecting funding.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lQ0YkQi9xJYziqWqm4VvdI9Oa-cEz3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