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3cezleov4q65" w:id="0"/>
      <w:bookmarkEnd w:id="0"/>
      <w:r w:rsidDel="00000000" w:rsidR="00000000" w:rsidRPr="00000000">
        <w:rPr>
          <w:b w:val="1"/>
          <w:bCs w:val="1"/>
          <w:rtl w:val="0"/>
        </w:rPr>
        <w:t xml:space="preserve">Texas Data Dictionary – Year 5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Category: </w:t>
      </w:r>
      <w:r w:rsidDel="00000000" w:rsidR="00000000" w:rsidRPr="00000000">
        <w:rPr>
          <w:sz w:val="20"/>
          <w:szCs w:val="20"/>
          <w:rtl w:val="0"/>
        </w:rPr>
        <w:t xml:space="preserve">Partial Award Data Available: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DG Completed 9/10/2026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Community Served:</w:t>
      </w:r>
      <w:r w:rsidDel="00000000" w:rsidR="00000000" w:rsidRPr="00000000">
        <w:rPr>
          <w:sz w:val="20"/>
          <w:szCs w:val="20"/>
          <w:rtl w:val="0"/>
        </w:rPr>
        <w:t xml:space="preserve"> A specific column naming the municipality or county served by the project. But note that “borrower” information will often also contain municipality names - this does not necessarily indicate that the project will benefit the municipality referenced in the applicant name, because some utilities have regional scope.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"Lead" "Emerging Contaminants," or "General" purpose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 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 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Intended Use Plans from which data for the SFY2026 (for the Base and General Supplemental and LSLR programs) SRF funding cycle has been collected: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Drinking Water State Revolving Fund SFY 2027 Intended Use Plan General Activities</w:t>
        </w:r>
      </w:hyperlink>
      <w:r w:rsidDel="00000000" w:rsidR="00000000" w:rsidRPr="00000000">
        <w:rPr>
          <w:sz w:val="20"/>
          <w:szCs w:val="20"/>
          <w:rtl w:val="0"/>
        </w:rPr>
        <w:t xml:space="preserve">, Draft, August 2026 (SFY27 General IUP)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Appendix I. Projects Ineligible for Disadvantaged Funding (SFY27 General Not Disadvantaged List), PDF p. 114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Appendix J. Project Priority List - By Rank (SFY27 General Comprehensive List), PDF pp. 115-155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Appendix K. Initial Invited Projects List (SFY27 General Fundable List), PDF pp. 156-159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2026-09-26 | Last Scraped By: Maria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2026-09-26 | Last Reviewed By: 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standardization: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This list identifies how we interpreted state data from the above documents to align with the standardized categories in the dashboard. Italicized text denotes a column name from a table within the source document(s); text in quotation marks denotes a value within the tables.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Comprehensive List, SFY27 General Fundable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PWS ID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sz w:val="20"/>
          <w:szCs w:val="20"/>
        </w:rPr>
      </w:pPr>
      <w:commentRangeStart w:id="0"/>
      <w:r w:rsidDel="00000000" w:rsidR="00000000" w:rsidRPr="00000000">
        <w:rPr>
          <w:sz w:val="20"/>
          <w:szCs w:val="20"/>
          <w:rtl w:val="0"/>
        </w:rPr>
        <w:t xml:space="preserve">SFY27 General Not Disadvantaged List: No Information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Comprehensive List, SFY27 General Fundable List, SFY27 General Not Disadvantaged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PIF #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SFY27 General Comprehensive List, SFY27 General Fundable List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SFY27 General Not Disadvantaged List: 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 All projects on SFY27 General Comprehensive List, SFY27 General Fundable List, and SFY27 General Not Disadvantaged List that are not lead or EC project types.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projects: 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in the SFY27 General Comprehensive List and SFY27 General Fundable List with “lead,” or “LSLR,”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Description</w:t>
      </w:r>
      <w:r w:rsidDel="00000000" w:rsidR="00000000" w:rsidRPr="00000000">
        <w:rPr>
          <w:sz w:val="20"/>
          <w:szCs w:val="20"/>
          <w:rtl w:val="0"/>
        </w:rPr>
        <w:t xml:space="preserve"> are lead projects.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 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in the SFY27 General Comprehensive List and SFY27 General Fundable List with “cyanotoxin,” “dioxane,” “emerging contaminant,” “lithium,” “manganese,” “Mn,” “Perfluoro-n-pentanoic acid,” “PFPeA,” “PFAS,” “PFOA,” “PFOS,”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 are emerging contaminants projects.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SFY27 General Comprehensive List:Total Project Cost 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Not Disadvantaged List and SFY27 General Fundable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Cost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Fundable List: No Information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 </w:t>
      </w:r>
      <w:r w:rsidDel="00000000" w:rsidR="00000000" w:rsidRPr="00000000">
        <w:rPr>
          <w:sz w:val="20"/>
          <w:szCs w:val="20"/>
          <w:rtl w:val="0"/>
        </w:rPr>
        <w:t xml:space="preserve">No Information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Description: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Comprehensive List, SFY27 General Fundable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SFY27 General Not Disadvantaged List: No Information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Comprehensive List and SFY27 General Fundable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SFY27 General Not Disadvantaged List: No Information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Disadvantaged: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Comprehensive List and SFY27 General Fundable List: All projects that have a value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Disadv %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on</w:t>
      </w:r>
      <w:r w:rsidDel="00000000" w:rsidR="00000000" w:rsidRPr="00000000">
        <w:rPr>
          <w:sz w:val="20"/>
          <w:szCs w:val="20"/>
          <w:rtl w:val="0"/>
        </w:rPr>
        <w:t xml:space="preserve"> the SFY27 General Not Disadvantaged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Comprehensive List, SFY27 General Fundable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SFY27 General Not Disadvantaged List: No Information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Comprehensive List, SFY27 General Fundable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Points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SFY27 General Not Disadvantaged List: No Information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SFY27 General Fundable List are expecting funding. 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 on the SFY27 General Comprehensive List that are not included on the SFY27 General Fundable List are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expected to be funded.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auren Kwan" w:id="0" w:date="2026-09-11T14:04:22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@dgoshen@policyinnovation.org Do we want to match this up from the other project lists using the PIF #? (And same for the other No Informations below for the Not Disadvantaged List)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Qfw0kQaJ7eEwNU5FrYI-XY_TtCFiFot-/view?usp=sharin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