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color w:val="4a86e8"/>
          <w:sz w:val="20"/>
          <w:szCs w:val="20"/>
        </w:rPr>
      </w:pPr>
      <w:bookmarkStart w:colFirst="0" w:colLast="0" w:name="_o7v8m5didefy" w:id="0"/>
      <w:bookmarkEnd w:id="0"/>
      <w:r w:rsidDel="00000000" w:rsidR="00000000" w:rsidRPr="00000000">
        <w:rPr>
          <w:b w:val="1"/>
          <w:bCs w:val="1"/>
          <w:color w:val="4a86e8"/>
          <w:sz w:val="20"/>
          <w:szCs w:val="20"/>
          <w:rtl w:val="0"/>
        </w:rPr>
        <w:t xml:space="preserve">New Jersey Data Dictionary, Year 4</w:t>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to review 10/112/11</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served by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that would be awarded to the project if funded, including principal forgiveness. </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documents from which data for SFY2026 has been collected:</w:t>
      </w:r>
      <w:r w:rsidDel="00000000" w:rsidR="00000000" w:rsidRPr="00000000">
        <w:rPr>
          <w:rtl w:val="0"/>
        </w:rPr>
      </w:r>
    </w:p>
    <w:p w:rsidR="00000000" w:rsidDel="00000000" w:rsidP="00000000" w:rsidRDefault="00000000" w:rsidRPr="00000000" w14:paraId="0000001B">
      <w:pPr>
        <w:numPr>
          <w:ilvl w:val="0"/>
          <w:numId w:val="2"/>
        </w:numPr>
        <w:ind w:left="720" w:hanging="360"/>
        <w:rPr>
          <w:sz w:val="20"/>
          <w:szCs w:val="20"/>
        </w:rPr>
      </w:pPr>
      <w:hyperlink r:id="rId6">
        <w:r w:rsidDel="00000000" w:rsidR="00000000" w:rsidRPr="00000000">
          <w:rPr>
            <w:color w:val="1155cc"/>
            <w:sz w:val="20"/>
            <w:szCs w:val="20"/>
            <w:u w:val="single"/>
            <w:rtl w:val="0"/>
          </w:rPr>
          <w:t xml:space="preserve">New Jersey Environmental Infrastructure Financing Program Final Drinking Water Priority System, Intended Use Plan, and Project Priority List for Federal Fiscal Year 2025/State Fiscal Year 2026</w:t>
        </w:r>
      </w:hyperlink>
      <w:r w:rsidDel="00000000" w:rsidR="00000000" w:rsidRPr="00000000">
        <w:rPr>
          <w:sz w:val="20"/>
          <w:szCs w:val="20"/>
          <w:rtl w:val="0"/>
        </w:rPr>
        <w:t xml:space="preserve">, Final, July 2025  (SFY26 IUP)</w:t>
      </w:r>
    </w:p>
    <w:p w:rsidR="00000000" w:rsidDel="00000000" w:rsidP="00000000" w:rsidRDefault="00000000" w:rsidRPr="00000000" w14:paraId="0000001C">
      <w:pPr>
        <w:numPr>
          <w:ilvl w:val="1"/>
          <w:numId w:val="2"/>
        </w:numPr>
        <w:ind w:left="1440" w:hanging="360"/>
        <w:rPr>
          <w:sz w:val="20"/>
          <w:szCs w:val="20"/>
        </w:rPr>
      </w:pPr>
      <w:r w:rsidDel="00000000" w:rsidR="00000000" w:rsidRPr="00000000">
        <w:rPr>
          <w:sz w:val="20"/>
          <w:szCs w:val="20"/>
          <w:rtl w:val="0"/>
        </w:rPr>
        <w:t xml:space="preserve">Appendix 4 - Federal Fiscal Year 2025 and State Fiscal Year 2026 Project Priority List (SFY26 Comprehensive PPL), PDF pp. 46-74</w:t>
      </w:r>
    </w:p>
    <w:p w:rsidR="00000000" w:rsidDel="00000000" w:rsidP="00000000" w:rsidRDefault="00000000" w:rsidRPr="00000000" w14:paraId="0000001D">
      <w:pPr>
        <w:numPr>
          <w:ilvl w:val="2"/>
          <w:numId w:val="2"/>
        </w:numPr>
        <w:ind w:left="2160" w:hanging="360"/>
        <w:rPr>
          <w:sz w:val="20"/>
          <w:szCs w:val="20"/>
        </w:rPr>
      </w:pPr>
      <w:r w:rsidDel="00000000" w:rsidR="00000000" w:rsidRPr="00000000">
        <w:rPr>
          <w:sz w:val="20"/>
          <w:szCs w:val="20"/>
          <w:rtl w:val="0"/>
        </w:rPr>
        <w:t xml:space="preserve">Last Scraped On: 2025-12-16 | Last Scraped By: Maria</w:t>
      </w:r>
    </w:p>
    <w:p w:rsidR="00000000" w:rsidDel="00000000" w:rsidP="00000000" w:rsidRDefault="00000000" w:rsidRPr="00000000" w14:paraId="0000001E">
      <w:pPr>
        <w:numPr>
          <w:ilvl w:val="2"/>
          <w:numId w:val="2"/>
        </w:numPr>
        <w:ind w:left="2160" w:hanging="360"/>
        <w:rPr>
          <w:sz w:val="20"/>
          <w:szCs w:val="20"/>
        </w:rPr>
      </w:pPr>
      <w:r w:rsidDel="00000000" w:rsidR="00000000" w:rsidRPr="00000000">
        <w:rPr>
          <w:sz w:val="20"/>
          <w:szCs w:val="20"/>
          <w:rtl w:val="0"/>
        </w:rPr>
        <w:t xml:space="preserve">Last Reviewed On: 2025-12-16 | Last Reviewed By: Maria</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w:t>
      </w:r>
    </w:p>
    <w:p w:rsidR="00000000" w:rsidDel="00000000" w:rsidP="00000000" w:rsidRDefault="00000000" w:rsidRPr="00000000" w14:paraId="00000024">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5">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Project Sponsor</w:t>
      </w:r>
    </w:p>
    <w:p w:rsidR="00000000" w:rsidDel="00000000" w:rsidP="00000000" w:rsidRDefault="00000000" w:rsidRPr="00000000" w14:paraId="00000026">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Project Number</w:t>
      </w:r>
      <w:r w:rsidDel="00000000" w:rsidR="00000000" w:rsidRPr="00000000">
        <w:rPr>
          <w:sz w:val="20"/>
          <w:szCs w:val="20"/>
          <w:rtl w:val="0"/>
        </w:rPr>
        <w:t xml:space="preserve"> with “NJ” prepended and removing the “-” and any digits that follow</w:t>
      </w:r>
      <w:r w:rsidDel="00000000" w:rsidR="00000000" w:rsidRPr="00000000">
        <w:rPr>
          <w:rtl w:val="0"/>
        </w:rPr>
      </w:r>
    </w:p>
    <w:p w:rsidR="00000000" w:rsidDel="00000000" w:rsidP="00000000" w:rsidRDefault="00000000" w:rsidRPr="00000000" w14:paraId="00000027">
      <w:pPr>
        <w:numPr>
          <w:ilvl w:val="0"/>
          <w:numId w:val="2"/>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Project Number</w:t>
      </w:r>
    </w:p>
    <w:p w:rsidR="00000000" w:rsidDel="00000000" w:rsidP="00000000" w:rsidRDefault="00000000" w:rsidRPr="00000000" w14:paraId="00000028">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i w:val="1"/>
          <w:iCs w:val="1"/>
          <w:sz w:val="20"/>
          <w:szCs w:val="20"/>
          <w:rtl w:val="0"/>
        </w:rPr>
        <w:t xml:space="preserve">Project Name</w:t>
      </w:r>
    </w:p>
    <w:p w:rsidR="00000000" w:rsidDel="00000000" w:rsidP="00000000" w:rsidRDefault="00000000" w:rsidRPr="00000000" w14:paraId="00000029">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w:t>
      </w:r>
      <w:r w:rsidDel="00000000" w:rsidR="00000000" w:rsidRPr="00000000">
        <w:rPr>
          <w:b w:val="1"/>
          <w:bCs w:val="1"/>
          <w:sz w:val="20"/>
          <w:szCs w:val="20"/>
          <w:rtl w:val="0"/>
        </w:rPr>
        <w:t xml:space="preserve"> Type: </w:t>
      </w:r>
      <w:r w:rsidDel="00000000" w:rsidR="00000000" w:rsidRPr="00000000">
        <w:rPr>
          <w:rtl w:val="0"/>
        </w:rPr>
      </w:r>
    </w:p>
    <w:p w:rsidR="00000000" w:rsidDel="00000000" w:rsidP="00000000" w:rsidRDefault="00000000" w:rsidRPr="00000000" w14:paraId="0000002A">
      <w:pPr>
        <w:numPr>
          <w:ilvl w:val="1"/>
          <w:numId w:val="2"/>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2B">
      <w:pPr>
        <w:numPr>
          <w:ilvl w:val="2"/>
          <w:numId w:val="2"/>
        </w:numPr>
        <w:ind w:left="2160" w:hanging="360"/>
        <w:rPr>
          <w:sz w:val="20"/>
          <w:szCs w:val="20"/>
        </w:rPr>
      </w:pPr>
      <w:r w:rsidDel="00000000" w:rsidR="00000000" w:rsidRPr="00000000">
        <w:rPr>
          <w:sz w:val="20"/>
          <w:szCs w:val="20"/>
          <w:rtl w:val="0"/>
        </w:rPr>
        <w:t xml:space="preserve">Projects with “BIL (GEN)” in </w:t>
      </w:r>
      <w:r w:rsidDel="00000000" w:rsidR="00000000" w:rsidRPr="00000000">
        <w:rPr>
          <w:i w:val="1"/>
          <w:iCs w:val="1"/>
          <w:sz w:val="20"/>
          <w:szCs w:val="20"/>
          <w:rtl w:val="0"/>
        </w:rPr>
        <w:t xml:space="preserve">BIL Eligibility</w:t>
      </w:r>
      <w:r w:rsidDel="00000000" w:rsidR="00000000" w:rsidRPr="00000000">
        <w:rPr>
          <w:sz w:val="20"/>
          <w:szCs w:val="20"/>
          <w:rtl w:val="0"/>
        </w:rPr>
        <w:t xml:space="preserve"> </w:t>
      </w:r>
    </w:p>
    <w:p w:rsidR="00000000" w:rsidDel="00000000" w:rsidP="00000000" w:rsidRDefault="00000000" w:rsidRPr="00000000" w14:paraId="0000002C">
      <w:pPr>
        <w:numPr>
          <w:ilvl w:val="3"/>
          <w:numId w:val="2"/>
        </w:numPr>
        <w:ind w:left="2880" w:hanging="360"/>
        <w:rPr>
          <w:sz w:val="20"/>
          <w:szCs w:val="20"/>
        </w:rPr>
      </w:pPr>
      <w:r w:rsidDel="00000000" w:rsidR="00000000" w:rsidRPr="00000000">
        <w:rPr>
          <w:sz w:val="20"/>
          <w:szCs w:val="20"/>
          <w:rtl w:val="0"/>
        </w:rPr>
        <w:t xml:space="preserve">Note that lead or EC projects may also have “BIL (GEN)” designation but if it has one of the other BIL codes, we should default to that being the project type</w:t>
      </w:r>
    </w:p>
    <w:p w:rsidR="00000000" w:rsidDel="00000000" w:rsidP="00000000" w:rsidRDefault="00000000" w:rsidRPr="00000000" w14:paraId="0000002D">
      <w:pPr>
        <w:numPr>
          <w:ilvl w:val="2"/>
          <w:numId w:val="2"/>
        </w:numPr>
        <w:ind w:left="2160" w:hanging="360"/>
        <w:rPr>
          <w:sz w:val="20"/>
          <w:szCs w:val="20"/>
        </w:rPr>
      </w:pPr>
      <w:r w:rsidDel="00000000" w:rsidR="00000000" w:rsidRPr="00000000">
        <w:rPr>
          <w:sz w:val="20"/>
          <w:szCs w:val="20"/>
          <w:rtl w:val="0"/>
        </w:rPr>
        <w:t xml:space="preserve">All other projects not categorized as lead or EC projects</w:t>
      </w:r>
    </w:p>
    <w:p w:rsidR="00000000" w:rsidDel="00000000" w:rsidP="00000000" w:rsidRDefault="00000000" w:rsidRPr="00000000" w14:paraId="0000002E">
      <w:pPr>
        <w:numPr>
          <w:ilvl w:val="1"/>
          <w:numId w:val="2"/>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2F">
      <w:pPr>
        <w:numPr>
          <w:ilvl w:val="2"/>
          <w:numId w:val="2"/>
        </w:numPr>
        <w:ind w:left="2160" w:hanging="360"/>
        <w:rPr>
          <w:sz w:val="20"/>
          <w:szCs w:val="20"/>
        </w:rPr>
      </w:pPr>
      <w:r w:rsidDel="00000000" w:rsidR="00000000" w:rsidRPr="00000000">
        <w:rPr>
          <w:sz w:val="20"/>
          <w:szCs w:val="20"/>
          <w:rtl w:val="0"/>
        </w:rPr>
        <w:t xml:space="preserve">Projects with “BIL (LSLR)” in </w:t>
      </w:r>
      <w:r w:rsidDel="00000000" w:rsidR="00000000" w:rsidRPr="00000000">
        <w:rPr>
          <w:i w:val="1"/>
          <w:iCs w:val="1"/>
          <w:sz w:val="20"/>
          <w:szCs w:val="20"/>
          <w:rtl w:val="0"/>
        </w:rPr>
        <w:t xml:space="preserve">BIL Eligibility</w:t>
      </w:r>
      <w:r w:rsidDel="00000000" w:rsidR="00000000" w:rsidRPr="00000000">
        <w:rPr>
          <w:sz w:val="20"/>
          <w:szCs w:val="20"/>
          <w:rtl w:val="0"/>
        </w:rPr>
        <w:t xml:space="preserve"> </w:t>
      </w:r>
    </w:p>
    <w:p w:rsidR="00000000" w:rsidDel="00000000" w:rsidP="00000000" w:rsidRDefault="00000000" w:rsidRPr="00000000" w14:paraId="00000030">
      <w:pPr>
        <w:numPr>
          <w:ilvl w:val="3"/>
          <w:numId w:val="2"/>
        </w:numPr>
        <w:ind w:left="2880" w:hanging="360"/>
        <w:rPr>
          <w:sz w:val="20"/>
          <w:szCs w:val="20"/>
        </w:rPr>
      </w:pPr>
      <w:r w:rsidDel="00000000" w:rsidR="00000000" w:rsidRPr="00000000">
        <w:rPr>
          <w:sz w:val="20"/>
          <w:szCs w:val="20"/>
          <w:rtl w:val="0"/>
        </w:rPr>
        <w:t xml:space="preserve">Note that all projects that have “BIL (LSLR)” also contain “BIL (GEN)”</w:t>
      </w:r>
    </w:p>
    <w:p w:rsidR="00000000" w:rsidDel="00000000" w:rsidP="00000000" w:rsidRDefault="00000000" w:rsidRPr="00000000" w14:paraId="00000031">
      <w:pPr>
        <w:numPr>
          <w:ilvl w:val="2"/>
          <w:numId w:val="2"/>
        </w:numPr>
        <w:ind w:left="2160" w:hanging="360"/>
        <w:rPr>
          <w:sz w:val="20"/>
          <w:szCs w:val="20"/>
        </w:rPr>
      </w:pPr>
      <w:r w:rsidDel="00000000" w:rsidR="00000000" w:rsidRPr="00000000">
        <w:rPr>
          <w:sz w:val="20"/>
          <w:szCs w:val="20"/>
          <w:rtl w:val="0"/>
        </w:rPr>
        <w:t xml:space="preserve">Projects that include “lead” or “LSL” in </w:t>
      </w:r>
      <w:r w:rsidDel="00000000" w:rsidR="00000000" w:rsidRPr="00000000">
        <w:rPr>
          <w:i w:val="1"/>
          <w:iCs w:val="1"/>
          <w:sz w:val="20"/>
          <w:szCs w:val="20"/>
          <w:rtl w:val="0"/>
        </w:rPr>
        <w:t xml:space="preserve">Project Name</w:t>
      </w:r>
    </w:p>
    <w:p w:rsidR="00000000" w:rsidDel="00000000" w:rsidP="00000000" w:rsidRDefault="00000000" w:rsidRPr="00000000" w14:paraId="00000032">
      <w:pPr>
        <w:numPr>
          <w:ilvl w:val="1"/>
          <w:numId w:val="2"/>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3">
      <w:pPr>
        <w:numPr>
          <w:ilvl w:val="2"/>
          <w:numId w:val="2"/>
        </w:numPr>
        <w:ind w:left="2160" w:hanging="360"/>
        <w:rPr>
          <w:sz w:val="20"/>
          <w:szCs w:val="20"/>
        </w:rPr>
      </w:pPr>
      <w:r w:rsidDel="00000000" w:rsidR="00000000" w:rsidRPr="00000000">
        <w:rPr>
          <w:sz w:val="20"/>
          <w:szCs w:val="20"/>
          <w:rtl w:val="0"/>
        </w:rPr>
        <w:t xml:space="preserve">Projects with “BIL (EC)” in </w:t>
      </w:r>
      <w:r w:rsidDel="00000000" w:rsidR="00000000" w:rsidRPr="00000000">
        <w:rPr>
          <w:i w:val="1"/>
          <w:iCs w:val="1"/>
          <w:sz w:val="20"/>
          <w:szCs w:val="20"/>
          <w:rtl w:val="0"/>
        </w:rPr>
        <w:t xml:space="preserve">BIL Eligibility</w:t>
      </w:r>
      <w:r w:rsidDel="00000000" w:rsidR="00000000" w:rsidRPr="00000000">
        <w:rPr>
          <w:sz w:val="20"/>
          <w:szCs w:val="20"/>
          <w:rtl w:val="0"/>
        </w:rPr>
        <w:t xml:space="preserve"> </w:t>
      </w:r>
    </w:p>
    <w:p w:rsidR="00000000" w:rsidDel="00000000" w:rsidP="00000000" w:rsidRDefault="00000000" w:rsidRPr="00000000" w14:paraId="00000034">
      <w:pPr>
        <w:numPr>
          <w:ilvl w:val="3"/>
          <w:numId w:val="2"/>
        </w:numPr>
        <w:ind w:left="2880" w:hanging="360"/>
        <w:rPr>
          <w:sz w:val="20"/>
          <w:szCs w:val="20"/>
        </w:rPr>
      </w:pPr>
      <w:r w:rsidDel="00000000" w:rsidR="00000000" w:rsidRPr="00000000">
        <w:rPr>
          <w:sz w:val="20"/>
          <w:szCs w:val="20"/>
          <w:rtl w:val="0"/>
        </w:rPr>
        <w:t xml:space="preserve">Note that all projects that have “BIL (EC)” also contain “BIL (GEN)”</w:t>
      </w:r>
    </w:p>
    <w:p w:rsidR="00000000" w:rsidDel="00000000" w:rsidP="00000000" w:rsidRDefault="00000000" w:rsidRPr="00000000" w14:paraId="00000035">
      <w:pPr>
        <w:numPr>
          <w:ilvl w:val="2"/>
          <w:numId w:val="2"/>
        </w:numPr>
        <w:ind w:left="2160" w:hanging="360"/>
        <w:rPr>
          <w:sz w:val="20"/>
          <w:szCs w:val="20"/>
        </w:rPr>
      </w:pPr>
      <w:r w:rsidDel="00000000" w:rsidR="00000000" w:rsidRPr="00000000">
        <w:rPr>
          <w:sz w:val="20"/>
          <w:szCs w:val="20"/>
          <w:rtl w:val="0"/>
        </w:rPr>
        <w:t xml:space="preserve">Projects with “cyanotoxins,” “dioxane,” “emerging contaminant,” “lithium,” “manganese,” “Mn,” “Perfluoro-n-pentanoic acid,” “PFPeA,” “PFAS,” “PFOA,” “PFOS,” “DBP,” “disinfection byproducts,” “HAA5,” “haloacetic acid,” “trihalomethanes,” “THM,” or “Unregulated Contaminant Monitoring Rule” in </w:t>
      </w:r>
      <w:r w:rsidDel="00000000" w:rsidR="00000000" w:rsidRPr="00000000">
        <w:rPr>
          <w:i w:val="1"/>
          <w:iCs w:val="1"/>
          <w:sz w:val="20"/>
          <w:szCs w:val="20"/>
          <w:rtl w:val="0"/>
        </w:rPr>
        <w:t xml:space="preserve">Project Name </w:t>
      </w:r>
      <w:r w:rsidDel="00000000" w:rsidR="00000000" w:rsidRPr="00000000">
        <w:rPr>
          <w:sz w:val="20"/>
          <w:szCs w:val="20"/>
          <w:rtl w:val="0"/>
        </w:rPr>
        <w:t xml:space="preserve">are emerging contaminants projects. </w:t>
      </w:r>
    </w:p>
    <w:p w:rsidR="00000000" w:rsidDel="00000000" w:rsidP="00000000" w:rsidRDefault="00000000" w:rsidRPr="00000000" w14:paraId="00000036">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Estimated Cost</w:t>
      </w:r>
      <w:r w:rsidDel="00000000" w:rsidR="00000000" w:rsidRPr="00000000">
        <w:rPr>
          <w:rtl w:val="0"/>
        </w:rPr>
      </w:r>
    </w:p>
    <w:p w:rsidR="00000000" w:rsidDel="00000000" w:rsidP="00000000" w:rsidRDefault="00000000" w:rsidRPr="00000000" w14:paraId="00000037">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p>
    <w:p w:rsidR="00000000" w:rsidDel="00000000" w:rsidP="00000000" w:rsidRDefault="00000000" w:rsidRPr="00000000" w14:paraId="00000038">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39">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No information</w:t>
      </w:r>
    </w:p>
    <w:p w:rsidR="00000000" w:rsidDel="00000000" w:rsidP="00000000" w:rsidRDefault="00000000" w:rsidRPr="00000000" w14:paraId="0000003A">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Name</w:t>
      </w:r>
    </w:p>
    <w:p w:rsidR="00000000" w:rsidDel="00000000" w:rsidP="00000000" w:rsidRDefault="00000000" w:rsidRPr="00000000" w14:paraId="0000003B">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Population:</w:t>
      </w:r>
      <w:r w:rsidDel="00000000" w:rsidR="00000000" w:rsidRPr="00000000">
        <w:rPr>
          <w:i w:val="1"/>
          <w:iCs w:val="1"/>
          <w:sz w:val="20"/>
          <w:szCs w:val="20"/>
          <w:rtl w:val="0"/>
        </w:rPr>
        <w:t xml:space="preserve"> Population</w:t>
      </w:r>
      <w:r w:rsidDel="00000000" w:rsidR="00000000" w:rsidRPr="00000000">
        <w:rPr>
          <w:rtl w:val="0"/>
        </w:rPr>
      </w:r>
    </w:p>
    <w:p w:rsidR="00000000" w:rsidDel="00000000" w:rsidP="00000000" w:rsidRDefault="00000000" w:rsidRPr="00000000" w14:paraId="0000003C">
      <w:pPr>
        <w:numPr>
          <w:ilvl w:val="0"/>
          <w:numId w:val="2"/>
        </w:numPr>
        <w:ind w:left="720" w:hanging="360"/>
        <w:rPr>
          <w:i w:val="1"/>
          <w:iCs w:val="1"/>
          <w:sz w:val="20"/>
          <w:szCs w:val="20"/>
        </w:rPr>
      </w:pPr>
      <w:r w:rsidDel="00000000" w:rsidR="00000000" w:rsidRPr="00000000">
        <w:rPr>
          <w:b w:val="1"/>
          <w:bCs w:val="1"/>
          <w:sz w:val="20"/>
          <w:szCs w:val="20"/>
          <w:rtl w:val="0"/>
        </w:rPr>
        <w:t xml:space="preserve">Project Population:</w:t>
      </w:r>
      <w:r w:rsidDel="00000000" w:rsidR="00000000" w:rsidRPr="00000000">
        <w:rPr>
          <w:i w:val="1"/>
          <w:iCs w:val="1"/>
          <w:sz w:val="20"/>
          <w:szCs w:val="20"/>
          <w:rtl w:val="0"/>
        </w:rPr>
        <w:t xml:space="preserve"> </w:t>
      </w:r>
      <w:r w:rsidDel="00000000" w:rsidR="00000000" w:rsidRPr="00000000">
        <w:rPr>
          <w:sz w:val="20"/>
          <w:szCs w:val="20"/>
          <w:rtl w:val="0"/>
        </w:rPr>
        <w:t xml:space="preserve">No information</w:t>
      </w:r>
    </w:p>
    <w:p w:rsidR="00000000" w:rsidDel="00000000" w:rsidP="00000000" w:rsidRDefault="00000000" w:rsidRPr="00000000" w14:paraId="0000003D">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3E">
      <w:pPr>
        <w:numPr>
          <w:ilvl w:val="1"/>
          <w:numId w:val="2"/>
        </w:numPr>
        <w:ind w:left="144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3F">
      <w:pPr>
        <w:numPr>
          <w:ilvl w:val="2"/>
          <w:numId w:val="2"/>
        </w:numPr>
        <w:ind w:left="2160" w:hanging="360"/>
        <w:rPr>
          <w:sz w:val="20"/>
          <w:szCs w:val="20"/>
        </w:rPr>
      </w:pPr>
      <w:r w:rsidDel="00000000" w:rsidR="00000000" w:rsidRPr="00000000">
        <w:rPr>
          <w:sz w:val="20"/>
          <w:szCs w:val="20"/>
          <w:rtl w:val="0"/>
        </w:rPr>
        <w:t xml:space="preserve">Projects that score 80 in “Cat B” column; OR </w:t>
      </w:r>
    </w:p>
    <w:p w:rsidR="00000000" w:rsidDel="00000000" w:rsidP="00000000" w:rsidRDefault="00000000" w:rsidRPr="00000000" w14:paraId="00000040">
      <w:pPr>
        <w:numPr>
          <w:ilvl w:val="2"/>
          <w:numId w:val="2"/>
        </w:numPr>
        <w:ind w:left="2160" w:hanging="360"/>
        <w:rPr>
          <w:sz w:val="20"/>
          <w:szCs w:val="20"/>
        </w:rPr>
      </w:pPr>
      <w:r w:rsidDel="00000000" w:rsidR="00000000" w:rsidRPr="00000000">
        <w:rPr>
          <w:i w:val="1"/>
          <w:iCs w:val="1"/>
          <w:sz w:val="20"/>
          <w:szCs w:val="20"/>
          <w:rtl w:val="0"/>
        </w:rPr>
        <w:t xml:space="preserve">PWSID</w:t>
      </w:r>
      <w:r w:rsidDel="00000000" w:rsidR="00000000" w:rsidRPr="00000000">
        <w:rPr>
          <w:sz w:val="20"/>
          <w:szCs w:val="20"/>
          <w:rtl w:val="0"/>
        </w:rPr>
        <w:t xml:space="preserve"> in this list </w:t>
      </w:r>
      <w:hyperlink r:id="rId7">
        <w:r w:rsidDel="00000000" w:rsidR="00000000" w:rsidRPr="00000000">
          <w:rPr>
            <w:color w:val="1155cc"/>
            <w:sz w:val="20"/>
            <w:szCs w:val="20"/>
            <w:u w:val="single"/>
            <w:rtl w:val="0"/>
          </w:rPr>
          <w:t xml:space="preserve">https://dep.nj.gov/wp-content/uploads/wiip/docs/ac-proposed-amendmentsv2.pdf</w:t>
        </w:r>
      </w:hyperlink>
      <w:r w:rsidDel="00000000" w:rsidR="00000000" w:rsidRPr="00000000">
        <w:rPr>
          <w:sz w:val="20"/>
          <w:szCs w:val="20"/>
          <w:rtl w:val="0"/>
        </w:rPr>
        <w:t xml:space="preserve">  matches</w:t>
      </w:r>
      <w:r w:rsidDel="00000000" w:rsidR="00000000" w:rsidRPr="00000000">
        <w:rPr>
          <w:i w:val="1"/>
          <w:iCs w:val="1"/>
          <w:sz w:val="20"/>
          <w:szCs w:val="20"/>
          <w:rtl w:val="0"/>
        </w:rPr>
        <w:t xml:space="preserve"> PWSID</w:t>
      </w:r>
      <w:r w:rsidDel="00000000" w:rsidR="00000000" w:rsidRPr="00000000">
        <w:rPr>
          <w:sz w:val="20"/>
          <w:szCs w:val="20"/>
          <w:rtl w:val="0"/>
        </w:rPr>
        <w:t xml:space="preserve"> in Comprehensive PPL AND contains a </w:t>
      </w:r>
      <w:r w:rsidDel="00000000" w:rsidR="00000000" w:rsidRPr="00000000">
        <w:rPr>
          <w:i w:val="1"/>
          <w:iCs w:val="1"/>
          <w:sz w:val="20"/>
          <w:szCs w:val="20"/>
          <w:rtl w:val="0"/>
        </w:rPr>
        <w:t xml:space="preserve">AC Score</w:t>
      </w:r>
      <w:r w:rsidDel="00000000" w:rsidR="00000000" w:rsidRPr="00000000">
        <w:rPr>
          <w:sz w:val="20"/>
          <w:szCs w:val="20"/>
          <w:rtl w:val="0"/>
        </w:rPr>
        <w:t xml:space="preserve"> of 86.19 or less</w:t>
      </w:r>
    </w:p>
    <w:p w:rsidR="00000000" w:rsidDel="00000000" w:rsidP="00000000" w:rsidRDefault="00000000" w:rsidRPr="00000000" w14:paraId="00000041">
      <w:pPr>
        <w:numPr>
          <w:ilvl w:val="1"/>
          <w:numId w:val="2"/>
        </w:numPr>
        <w:ind w:left="1440" w:hanging="360"/>
        <w:rPr>
          <w:rFonts w:ascii="Calibri" w:cs="Calibri" w:eastAsia="Calibri" w:hAnsi="Calibri"/>
          <w:b w:val="1"/>
          <w:bCs w:val="1"/>
          <w:sz w:val="20"/>
          <w:szCs w:val="20"/>
        </w:rPr>
      </w:pPr>
      <w:r w:rsidDel="00000000" w:rsidR="00000000" w:rsidRPr="00000000">
        <w:rPr>
          <w:sz w:val="20"/>
          <w:szCs w:val="20"/>
          <w:rtl w:val="0"/>
        </w:rPr>
        <w:t xml:space="preserve">No: All other projects</w:t>
      </w:r>
      <w:r w:rsidDel="00000000" w:rsidR="00000000" w:rsidRPr="00000000">
        <w:rPr>
          <w:rtl w:val="0"/>
        </w:rPr>
      </w:r>
    </w:p>
    <w:p w:rsidR="00000000" w:rsidDel="00000000" w:rsidP="00000000" w:rsidRDefault="00000000" w:rsidRPr="00000000" w14:paraId="00000042">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w:t>
      </w:r>
      <w:r w:rsidDel="00000000" w:rsidR="00000000" w:rsidRPr="00000000">
        <w:rPr>
          <w:i w:val="1"/>
          <w:iCs w:val="1"/>
          <w:sz w:val="20"/>
          <w:szCs w:val="20"/>
          <w:rtl w:val="0"/>
        </w:rPr>
        <w:t xml:space="preserve"> Rank</w:t>
      </w:r>
    </w:p>
    <w:p w:rsidR="00000000" w:rsidDel="00000000" w:rsidP="00000000" w:rsidRDefault="00000000" w:rsidRPr="00000000" w14:paraId="00000043">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Rank Points</w:t>
      </w:r>
    </w:p>
    <w:p w:rsidR="00000000" w:rsidDel="00000000" w:rsidP="00000000" w:rsidRDefault="00000000" w:rsidRPr="00000000" w14:paraId="00000044">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r w:rsidDel="00000000" w:rsidR="00000000" w:rsidRPr="00000000">
        <w:rPr>
          <w:rtl w:val="0"/>
        </w:rPr>
      </w:r>
    </w:p>
    <w:p w:rsidR="00000000" w:rsidDel="00000000" w:rsidP="00000000" w:rsidRDefault="00000000" w:rsidRPr="00000000" w14:paraId="00000045">
      <w:pPr>
        <w:numPr>
          <w:ilvl w:val="1"/>
          <w:numId w:val="2"/>
        </w:numPr>
        <w:ind w:left="1440" w:hanging="360"/>
        <w:rPr>
          <w:rFonts w:ascii="Calibri" w:cs="Calibri" w:eastAsia="Calibri" w:hAnsi="Calibri"/>
          <w:b w:val="1"/>
          <w:bCs w:val="1"/>
          <w:sz w:val="20"/>
          <w:szCs w:val="20"/>
        </w:rPr>
      </w:pPr>
      <w:r w:rsidDel="00000000" w:rsidR="00000000" w:rsidRPr="00000000">
        <w:rPr>
          <w:sz w:val="20"/>
          <w:szCs w:val="20"/>
          <w:rtl w:val="0"/>
        </w:rPr>
        <w:t xml:space="preserve">Yes: all rows with "2026" under </w:t>
      </w:r>
      <w:r w:rsidDel="00000000" w:rsidR="00000000" w:rsidRPr="00000000">
        <w:rPr>
          <w:i w:val="1"/>
          <w:iCs w:val="1"/>
          <w:sz w:val="20"/>
          <w:szCs w:val="20"/>
          <w:rtl w:val="0"/>
        </w:rPr>
        <w:t xml:space="preserve">Actual/Anticipated Funding Status</w:t>
      </w:r>
    </w:p>
    <w:p w:rsidR="00000000" w:rsidDel="00000000" w:rsidP="00000000" w:rsidRDefault="00000000" w:rsidRPr="00000000" w14:paraId="00000046">
      <w:pPr>
        <w:numPr>
          <w:ilvl w:val="1"/>
          <w:numId w:val="2"/>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7">
      <w:pPr>
        <w:numPr>
          <w:ilvl w:val="2"/>
          <w:numId w:val="2"/>
        </w:numPr>
        <w:ind w:left="2160" w:hanging="360"/>
        <w:rPr>
          <w:rFonts w:ascii="Calibri" w:cs="Calibri" w:eastAsia="Calibri" w:hAnsi="Calibri"/>
          <w:b w:val="1"/>
          <w:bCs w:val="1"/>
          <w:sz w:val="20"/>
          <w:szCs w:val="20"/>
        </w:rPr>
      </w:pPr>
      <w:r w:rsidDel="00000000" w:rsidR="00000000" w:rsidRPr="00000000">
        <w:rPr>
          <w:sz w:val="20"/>
          <w:szCs w:val="20"/>
          <w:rtl w:val="0"/>
        </w:rPr>
        <w:t xml:space="preserve">all rows with "Beyond 2026" under </w:t>
      </w:r>
      <w:r w:rsidDel="00000000" w:rsidR="00000000" w:rsidRPr="00000000">
        <w:rPr>
          <w:i w:val="1"/>
          <w:iCs w:val="1"/>
          <w:sz w:val="20"/>
          <w:szCs w:val="20"/>
          <w:rtl w:val="0"/>
        </w:rPr>
        <w:t xml:space="preserve">Actual/Anticipated Funding Status</w:t>
      </w:r>
    </w:p>
    <w:p w:rsidR="00000000" w:rsidDel="00000000" w:rsidP="00000000" w:rsidRDefault="00000000" w:rsidRPr="00000000" w14:paraId="00000048">
      <w:pPr>
        <w:numPr>
          <w:ilvl w:val="2"/>
          <w:numId w:val="2"/>
        </w:numPr>
        <w:ind w:left="2160" w:hanging="360"/>
        <w:rPr>
          <w:sz w:val="20"/>
          <w:szCs w:val="20"/>
        </w:rPr>
      </w:pPr>
      <w:r w:rsidDel="00000000" w:rsidR="00000000" w:rsidRPr="00000000">
        <w:rPr>
          <w:sz w:val="20"/>
          <w:szCs w:val="20"/>
          <w:rtl w:val="0"/>
        </w:rPr>
        <w:t xml:space="preserve">All rows with "Funded" under</w:t>
      </w:r>
      <w:r w:rsidDel="00000000" w:rsidR="00000000" w:rsidRPr="00000000">
        <w:rPr>
          <w:i w:val="1"/>
          <w:iCs w:val="1"/>
          <w:sz w:val="20"/>
          <w:szCs w:val="20"/>
          <w:rtl w:val="0"/>
        </w:rPr>
        <w:t xml:space="preserve"> Actual/Anticipated Funding Status</w:t>
      </w:r>
      <w:r w:rsidDel="00000000" w:rsidR="00000000" w:rsidRPr="00000000">
        <w:rPr>
          <w:rtl w:val="0"/>
        </w:rPr>
      </w:r>
    </w:p>
    <w:p w:rsidR="00000000" w:rsidDel="00000000" w:rsidP="00000000" w:rsidRDefault="00000000" w:rsidRPr="00000000" w14:paraId="00000049">
      <w:pPr>
        <w:ind w:left="0" w:firstLine="0"/>
        <w:rPr>
          <w:sz w:val="20"/>
          <w:szCs w:val="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2914650</wp:posOffset>
          </wp:positionH>
          <wp:positionV relativeFrom="page">
            <wp:posOffset>200025</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kAtt4Zsnf4CuOa5yIYcH04pOtdeSLlMu/view?usp=sharing" TargetMode="External"/><Relationship Id="rId7" Type="http://schemas.openxmlformats.org/officeDocument/2006/relationships/hyperlink" Target="https://dep.nj.gov/wp-content/uploads/wiip/docs/ac-proposed-amendmentsv2.pdf"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