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Insights</w:t>
        <w:br/>
        <w:t>Sales integrity and customer priorities</w:t>
      </w:r>
    </w:p>
    <w:p>
      <w:pPr>
        <w:pStyle w:val="Heading2"/>
      </w:pPr>
      <w:r>
        <w:t>Business question</w:t>
      </w:r>
    </w:p>
    <w:p>
      <w:r>
        <w:t>Which reporting issues and customer groups deserve attention before launching retention or product initiatives? The study audits all 541,909 Online Retail records, then connects a reconciled merchandise ledger with customer and product analysis.</w:t>
      </w:r>
    </w:p>
    <w:p>
      <w:pPr>
        <w:pStyle w:val="Heading2"/>
      </w:pPr>
      <w:r>
        <w:t>Measured scale</w:t>
      </w:r>
    </w:p>
    <w:p>
      <w:r>
        <w:t>The primary ledger records £10,271,034.61 of merchandise purchases and £478,724.18 of negative-quantity credits or adjustments. Purchases less recorded credits are £9,792,310.43; this is not profit or verified accounting revenue.</w:t>
      </w:r>
    </w:p>
    <w:p>
      <w:r>
        <w:drawing>
          <wp:inline xmlns:a="http://schemas.openxmlformats.org/drawingml/2006/main" xmlns:pic="http://schemas.openxmlformats.org/drawingml/2006/picture">
            <wp:extent cx="6355080" cy="3755275"/>
            <wp:docPr id="1" name="Picture 1"/>
            <wp:cNvGraphicFramePr>
              <a:graphicFrameLocks noChangeAspect="1"/>
            </wp:cNvGraphicFramePr>
            <a:graphic>
              <a:graphicData uri="http://schemas.openxmlformats.org/drawingml/2006/picture">
                <pic:pic>
                  <pic:nvPicPr>
                    <pic:cNvPr id="0" name="monthly_sales.png"/>
                    <pic:cNvPicPr/>
                  </pic:nvPicPr>
                  <pic:blipFill>
                    <a:blip r:embed="rId11"/>
                    <a:stretch>
                      <a:fillRect/>
                    </a:stretch>
                  </pic:blipFill>
                  <pic:spPr>
                    <a:xfrm>
                      <a:off x="0" y="0"/>
                      <a:ext cx="6355080" cy="3755275"/>
                    </a:xfrm>
                    <a:prstGeom prst="rect"/>
                  </pic:spPr>
                </pic:pic>
              </a:graphicData>
            </a:graphic>
          </wp:inline>
        </w:drawing>
      </w:r>
    </w:p>
    <w:p>
      <w:pPr>
        <w:pStyle w:val="Caption"/>
        <w:spacing w:after="160"/>
      </w:pPr>
      <w:r>
        <w:t>Monthly merchandise purchase value. December 2011 covers only 1–9 December.</w:t>
      </w:r>
    </w:p>
    <w:p>
      <w:pPr>
        <w:pStyle w:val="Caption"/>
      </w:pPr>
      <w:r>
        <w:t>Source: Chen, D. (2015), Online Retail, UCI. https://doi.org/10.24432/C5BW33 · CC BY 4.0. Calculations: project R pipeline.</w:t>
      </w:r>
    </w:p>
    <w:p>
      <w:r>
        <w:br w:type="page"/>
      </w:r>
    </w:p>
    <w:p>
      <w:pPr>
        <w:pStyle w:val="Heading1"/>
      </w:pPr>
      <w:r>
        <w:t>Investigate the ledger before acting</w:t>
      </w:r>
    </w:p>
    <w:p>
      <w:pPr>
        <w:pStyle w:val="Heading2"/>
      </w:pPr>
      <w:r>
        <w:t>Explicit rules and reconciliation</w:t>
      </w:r>
    </w:p>
    <w:p>
      <w:r>
        <w:t>Every source row receives one class. Administrative codes, invalid or nonpositive prices and cancellation inconsistencies remain visible. The complete row partition and aggregate amounts reconcile to the source.</w:t>
      </w:r>
    </w:p>
    <w:p>
      <w:pPr>
        <w:pStyle w:val="Heading2"/>
      </w:pPr>
      <w:r>
        <w:t>Sensitivity rather than silent deletion</w:t>
      </w:r>
    </w:p>
    <w:p>
      <w:r>
        <w:t>The 5,268 exact repeated rows are preserved in primary results because no unique line identifier exists. Excluding later repeats reduces purchase value by £24,213.74. That difference is a reporting sensitivity, not recovered money.</w:t>
      </w:r>
    </w:p>
    <w:p>
      <w:pPr>
        <w:pStyle w:val="Heading2"/>
      </w:pPr>
      <w:r>
        <w:t>Credit candidates</w:t>
      </w:r>
    </w:p>
    <w:p>
      <w:r>
        <w:t>582 groups contain exactly one purchase and one negative-quantity line sharing customer, code, date, absolute quantity and price, with £287,854.70 in candidate purchase value. A further 142 groups are ambiguous. These are investigation candidates, not proven return links.</w:t>
      </w:r>
    </w:p>
    <w:p>
      <w:r>
        <w:drawing>
          <wp:inline xmlns:a="http://schemas.openxmlformats.org/drawingml/2006/main" xmlns:pic="http://schemas.openxmlformats.org/drawingml/2006/picture">
            <wp:extent cx="6355080" cy="3755275"/>
            <wp:docPr id="2" name="Picture 2"/>
            <wp:cNvGraphicFramePr>
              <a:graphicFrameLocks noChangeAspect="1"/>
            </wp:cNvGraphicFramePr>
            <a:graphic>
              <a:graphicData uri="http://schemas.openxmlformats.org/drawingml/2006/picture">
                <pic:pic>
                  <pic:nvPicPr>
                    <pic:cNvPr id="0" name="product_credits.png"/>
                    <pic:cNvPicPr/>
                  </pic:nvPicPr>
                  <pic:blipFill>
                    <a:blip r:embed="rId12"/>
                    <a:stretch>
                      <a:fillRect/>
                    </a:stretch>
                  </pic:blipFill>
                  <pic:spPr>
                    <a:xfrm>
                      <a:off x="0" y="0"/>
                      <a:ext cx="6355080" cy="3755275"/>
                    </a:xfrm>
                    <a:prstGeom prst="rect"/>
                  </pic:spPr>
                </pic:pic>
              </a:graphicData>
            </a:graphic>
          </wp:inline>
        </w:drawing>
      </w:r>
    </w:p>
    <w:p>
      <w:pPr>
        <w:pStyle w:val="Caption"/>
        <w:spacing w:after="160"/>
      </w:pPr>
      <w:r>
        <w:t>High-credit merchandise codes. Credits alone do not establish defects, return reasons or stock losses.</w:t>
      </w:r>
    </w:p>
    <w:p>
      <w:pPr>
        <w:pStyle w:val="Caption"/>
      </w:pPr>
      <w:r>
        <w:t>Source: Chen, D. (2015), Online Retail, UCI. https://doi.org/10.24432/C5BW33 · CC BY 4.0. Calculations: project R pipeline.</w:t>
      </w:r>
    </w:p>
    <w:p>
      <w:r>
        <w:br w:type="page"/>
      </w:r>
    </w:p>
    <w:p>
      <w:pPr>
        <w:pStyle w:val="Heading1"/>
      </w:pPr>
      <w:r>
        <w:t>Customers and observed cohorts</w:t>
      </w:r>
    </w:p>
    <w:p>
      <w:pPr>
        <w:pStyle w:val="Heading2"/>
      </w:pPr>
      <w:r>
        <w:t>Concentration and coverage</w:t>
      </w:r>
    </w:p>
    <w:p>
      <w:r>
        <w:t>The 4,334 identified buyers account for 85.3% of purchase value. The top 434 buyers contribute 61.3% of identified purchase value. Anonymous purchases are retained in the sales ledger but excluded from RFM.</w:t>
      </w:r>
    </w:p>
    <w:p>
      <w:pPr>
        <w:pStyle w:val="Heading2"/>
      </w:pPr>
      <w:r>
        <w:t>Retention priorities</w:t>
      </w:r>
    </w:p>
    <w:p>
      <w:r>
        <w:t>RFM uses a fixed 10 December 2011 snapshot and consistent handling of ties. The segmentation identifies 384 at-risk buyers. Cohorts begin at the first purchase observed in this file, which may be later than a customer’s true first purchase.</w:t>
      </w:r>
    </w:p>
    <w:p>
      <w:r>
        <w:drawing>
          <wp:inline xmlns:a="http://schemas.openxmlformats.org/drawingml/2006/main" xmlns:pic="http://schemas.openxmlformats.org/drawingml/2006/picture">
            <wp:extent cx="6355080" cy="4044142"/>
            <wp:docPr id="3" name="Picture 3"/>
            <wp:cNvGraphicFramePr>
              <a:graphicFrameLocks noChangeAspect="1"/>
            </wp:cNvGraphicFramePr>
            <a:graphic>
              <a:graphicData uri="http://schemas.openxmlformats.org/drawingml/2006/picture">
                <pic:pic>
                  <pic:nvPicPr>
                    <pic:cNvPr id="0" name="cohort_retention.png"/>
                    <pic:cNvPicPr/>
                  </pic:nvPicPr>
                  <pic:blipFill>
                    <a:blip r:embed="rId13"/>
                    <a:stretch>
                      <a:fillRect/>
                    </a:stretch>
                  </pic:blipFill>
                  <pic:spPr>
                    <a:xfrm>
                      <a:off x="0" y="0"/>
                      <a:ext cx="6355080" cy="4044142"/>
                    </a:xfrm>
                    <a:prstGeom prst="rect"/>
                  </pic:spPr>
                </pic:pic>
              </a:graphicData>
            </a:graphic>
          </wp:inline>
        </w:drawing>
      </w:r>
    </w:p>
    <w:p>
      <w:pPr>
        <w:pStyle w:val="Caption"/>
        <w:spacing w:after="160"/>
      </w:pPr>
      <w:r>
        <w:t>Monthly active-buyer rates for first-observed cohorts. Only complete months enter this view; unobserved future cells remain blank.</w:t>
      </w:r>
    </w:p>
    <w:p>
      <w:pPr>
        <w:pStyle w:val="Caption"/>
      </w:pPr>
      <w:r>
        <w:t>Source: Chen, D. (2015), Online Retail, UCI. https://doi.org/10.24432/C5BW33 · CC BY 4.0. Calculations: project R pipeline.</w:t>
      </w:r>
    </w:p>
    <w:p>
      <w:r>
        <w:br w:type="page"/>
      </w:r>
    </w:p>
    <w:p>
      <w:pPr>
        <w:pStyle w:val="Heading1"/>
      </w:pPr>
      <w:r>
        <w:t>A practical decision sequence</w:t>
      </w:r>
    </w:p>
    <w:p>
      <w:pPr>
        <w:pStyle w:val="Heading2"/>
      </w:pPr>
      <w:r>
        <w:t>1. Resolve reporting questions</w:t>
      </w:r>
    </w:p>
    <w:p>
      <w:r>
        <w:t>Review high-value credit candidates and administrative codes with invoice owners. Require an invoice-line identifier and a product master before adopting automatic matching or revised revenue rules.</w:t>
      </w:r>
    </w:p>
    <w:p>
      <w:pPr>
        <w:pStyle w:val="Heading2"/>
      </w:pPr>
      <w:r>
        <w:t>2. Design a measurable retention pilot</w:t>
      </w:r>
    </w:p>
    <w:p>
      <w:r>
        <w:t>Review contact eligibility and consent, randomise comparable eligible buyers into contact and holdout groups, and measure incremental contribution after campaign costs. The scenario calculator uses editable assumptions and does not claim realised benefits.</w:t>
      </w:r>
    </w:p>
    <w:p>
      <w:pPr>
        <w:pStyle w:val="Heading2"/>
      </w:pPr>
      <w:r>
        <w:t>3. Make the analysis repeatable</w:t>
      </w:r>
    </w:p>
    <w:p>
      <w:r>
        <w:t>Restore renv, verify source checksums, execute rule fixtures and run the complete R pipeline. Use the full report and aggregate workbook for traceability; individual customer identifiers are excluded from the public explorer.</w:t>
      </w:r>
    </w:p>
    <w:tbl>
      <w:tblPr>
        <w:tblStyle w:val="TableGrid"/>
        <w:tblW w:type="auto" w:w="0"/>
        <w:tblLook w:firstColumn="1" w:firstRow="1" w:lastColumn="0" w:lastRow="0" w:noHBand="0" w:noVBand="1" w:val="04A0"/>
      </w:tblPr>
      <w:tblGrid>
        <w:gridCol w:w="5112"/>
        <w:gridCol w:w="5112"/>
      </w:tblGrid>
      <w:tr>
        <w:tc>
          <w:tcPr>
            <w:tcW w:type="dxa" w:w="5112"/>
          </w:tcPr>
          <w:p>
            <w:r>
              <w:t>Deliverable</w:t>
            </w:r>
          </w:p>
        </w:tc>
        <w:tc>
          <w:tcPr>
            <w:tcW w:type="dxa" w:w="5112"/>
          </w:tcPr>
          <w:p>
            <w:r>
              <w:t>Purpose</w:t>
            </w:r>
          </w:p>
        </w:tc>
      </w:tr>
      <w:tr>
        <w:tc>
          <w:tcPr>
            <w:tcW w:type="dxa" w:w="5112"/>
          </w:tcPr>
          <w:p>
            <w:r>
              <w:t>10 figures + complete HTML</w:t>
            </w:r>
          </w:p>
        </w:tc>
        <w:tc>
          <w:tcPr>
            <w:tcW w:type="dxa" w:w="5112"/>
          </w:tcPr>
          <w:p>
            <w:r>
              <w:t>Methods, reconciliations and interpretation</w:t>
            </w:r>
          </w:p>
        </w:tc>
      </w:tr>
      <w:tr>
        <w:tc>
          <w:tcPr>
            <w:tcW w:type="dxa" w:w="5112"/>
          </w:tcPr>
          <w:p>
            <w:r>
              <w:t>Interactive white explorer</w:t>
            </w:r>
          </w:p>
        </w:tc>
        <w:tc>
          <w:tcPr>
            <w:tcW w:type="dxa" w:w="5112"/>
          </w:tcPr>
          <w:p>
            <w:r>
              <w:t>Markets, month ranges, product ranking and sensitivity</w:t>
            </w:r>
          </w:p>
        </w:tc>
      </w:tr>
      <w:tr>
        <w:tc>
          <w:tcPr>
            <w:tcW w:type="dxa" w:w="5112"/>
          </w:tcPr>
          <w:p>
            <w:r>
              <w:t>Excel aggregate workbook</w:t>
            </w:r>
          </w:p>
        </w:tc>
        <w:tc>
          <w:tcPr>
            <w:tcW w:type="dxa" w:w="5112"/>
          </w:tcPr>
          <w:p>
            <w:r>
              <w:t>Auditable tables and an editable pilot scenario</w:t>
            </w:r>
          </w:p>
        </w:tc>
      </w:tr>
      <w:tr>
        <w:tc>
          <w:tcPr>
            <w:tcW w:type="dxa" w:w="5112"/>
          </w:tcPr>
          <w:p>
            <w:r>
              <w:t>RStudio project + source records</w:t>
            </w:r>
          </w:p>
        </w:tc>
        <w:tc>
          <w:tcPr>
            <w:tcW w:type="dxa" w:w="5112"/>
          </w:tcPr>
          <w:p>
            <w:r>
              <w:t>Repeatable transformations and model rules</w:t>
            </w:r>
          </w:p>
        </w:tc>
      </w:tr>
    </w:tbl>
    <w:p>
      <w:pPr>
        <w:pStyle w:val="Caption"/>
      </w:pPr>
      <w:r>
        <w:t>Source: Chen, D. (2015), Online Retail, UCI. https://doi.org/10.24432/C5BW33 · CC BY 4.0. Calculations: project R pipeline.</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Eliud Rojas Mendoza · Historical public-data study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RETAIL INSIGHTS  /  ANALYTICAL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2633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6C7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6C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36C7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5866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Insights — Analytical briefing</dc:title>
  <dc:subject>Historical public-data analysis, methods and decisions</dc:subject>
  <dc:creator>Eliud Rojas Mendoza</dc:creator>
  <cp:keywords/>
  <dc:description/>
  <cp:lastModifiedBy/>
  <cp:revision>1</cp:revision>
  <dcterms:created xsi:type="dcterms:W3CDTF">2013-12-23T23:15:00Z</dcterms:created>
  <dcterms:modified xsi:type="dcterms:W3CDTF">2013-12-23T23:15:00Z</dcterms:modified>
  <cp:category/>
</cp:coreProperties>
</file>