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Заголовок первого уровня</w:t>
      </w:r>
    </w:p>
    <w:p>
      <w:r>
        <w:t xml:space="preserve">Обычный абзац с </w:t>
      </w:r>
      <w:r>
        <w:rPr>
          <w:b/>
        </w:rPr>
        <w:t>полужирным</w:t>
      </w:r>
      <w:r>
        <w:t xml:space="preserve">, </w:t>
      </w:r>
      <w:r>
        <w:rPr>
          <w:i/>
        </w:rPr>
        <w:t>курсивом</w:t>
      </w:r>
      <w:r>
        <w:t xml:space="preserve"> и </w:t>
      </w:r>
      <w:r>
        <w:rPr>
          <w:u w:val="single"/>
        </w:rPr>
        <w:t>подчёркиванием</w:t>
      </w:r>
      <w:r>
        <w:t xml:space="preserve">, а также </w:t>
      </w:r>
      <w:r>
        <w:rPr>
          <w:rFonts w:ascii="Arial" w:hAnsi="Arial"/>
          <w:color w:val="C00000"/>
          <w:sz w:val="32"/>
        </w:rPr>
        <w:t>красным шрифтом Arial 16</w:t>
      </w:r>
      <w:r>
        <w:t>.</w:t>
      </w:r>
    </w:p>
    <w:p>
      <w:pPr>
        <w:pStyle w:val="Heading2"/>
      </w:pPr>
      <w:r>
        <w:t>Заголовок второго уровня</w:t>
      </w:r>
    </w:p>
    <w:p>
      <w:pPr>
        <w:jc w:val="center"/>
      </w:pPr>
      <w:r>
        <w:t>Абзац по центру</w:t>
      </w:r>
    </w:p>
    <w:p>
      <w:pPr>
        <w:ind w:firstLine="709"/>
        <w:jc w:val="both"/>
      </w:pPr>
      <w:r>
        <w:t xml:space="preserve">Абзац по ширине. Абзац по ширине. Абзац по ширине. Абзац по ширине. Абзац по ширине. Абзац по ширине. Абзац по ширине. Абзац по ширине. Абзац по ширине. Абзац по ширине. Абзац по ширине. Абзац по ширине. </w:t>
      </w:r>
    </w:p>
    <w:p>
      <w:pPr>
        <w:pStyle w:val="ListBullet"/>
      </w:pPr>
      <w:r>
        <w:t>Первый маркированный пункт</w:t>
      </w:r>
    </w:p>
    <w:p>
      <w:pPr>
        <w:pStyle w:val="ListBullet"/>
      </w:pPr>
      <w:r>
        <w:t>Второй маркированный пункт</w:t>
      </w:r>
    </w:p>
    <w:p>
      <w:pPr>
        <w:pStyle w:val="ListBullet2"/>
      </w:pPr>
      <w:r>
        <w:t>Вложенный пункт</w:t>
      </w:r>
    </w:p>
    <w:p>
      <w:pPr>
        <w:pStyle w:val="ListNumber"/>
      </w:pPr>
      <w:r>
        <w:t>Первый нумерованный пункт</w:t>
      </w:r>
    </w:p>
    <w:p>
      <w:pPr>
        <w:pStyle w:val="ListNumber"/>
      </w:pPr>
      <w:r>
        <w:t>Второй нумерованный пункт</w:t>
      </w:r>
    </w:p>
    <w:tbl>
      <w:tblPr>
        <w:tblStyle w:val="TableGrid"/>
        <w:tblW w:type="auto" w:w="0"/>
        <w:tblLook w:firstColumn="1" w:firstRow="1" w:lastColumn="0" w:lastRow="0" w:noHBand="0" w:noVBand="1" w:val="04A0"/>
      </w:tblPr>
      <w:tblGrid>
        <w:gridCol w:w="3118"/>
        <w:gridCol w:w="3118"/>
        <w:gridCol w:w="3118"/>
      </w:tblGrid>
      <w:tr>
        <w:tc>
          <w:tcPr>
            <w:tcW w:type="dxa" w:w="6236"/>
            <w:gridSpan w:val="2"/>
          </w:tcPr>
          <w:p>
            <w:r>
              <w:t>Объединённая по горизонтали</w:t>
            </w:r>
          </w:p>
        </w:tc>
        <w:tc>
          <w:tcPr>
            <w:tcW w:type="dxa" w:w="3118"/>
          </w:tcPr>
          <w:p>
            <w:r>
              <w:t>Ячейка 1.3</w:t>
            </w:r>
          </w:p>
        </w:tc>
      </w:tr>
      <w:tr>
        <w:tc>
          <w:tcPr>
            <w:tcW w:type="dxa" w:w="3118"/>
          </w:tcPr>
          <w:p>
            <w:r>
              <w:t>Ячейка 2.1</w:t>
            </w:r>
          </w:p>
        </w:tc>
        <w:tc>
          <w:tcPr>
            <w:tcW w:type="dxa" w:w="3118"/>
          </w:tcPr>
          <w:p>
            <w:r>
              <w:t>Ячейка 2.2</w:t>
            </w:r>
          </w:p>
        </w:tc>
        <w:tc>
          <w:tcPr>
            <w:tcW w:type="dxa" w:w="3118"/>
            <w:vMerge w:val="restart"/>
          </w:tcPr>
          <w:p>
            <w:r>
              <w:t>Объединённая по вертикали</w:t>
            </w:r>
          </w:p>
        </w:tc>
      </w:tr>
      <w:tr>
        <w:tc>
          <w:tcPr>
            <w:tcW w:type="dxa" w:w="3118"/>
          </w:tcPr>
          <w:p>
            <w:r>
              <w:t>Ячейка 3.1</w:t>
            </w:r>
          </w:p>
        </w:tc>
        <w:tc>
          <w:tcPr>
            <w:tcW w:type="dxa" w:w="3118"/>
          </w:tcPr>
          <w:p>
            <w:r>
              <w:t>Ячейка 3.2</w:t>
            </w:r>
          </w:p>
        </w:tc>
        <w:tc>
          <w:tcPr>
            <w:tcW w:type="dxa" w:w="3118"/>
            <w:vMerge/>
          </w:tcPr>
          <w:p/>
        </w:tc>
      </w:tr>
    </w:tbl>
    <w:p>
      <w:r>
        <w:t>Рисунок ниже:</w:t>
      </w:r>
    </w:p>
    <w:p>
      <w:r>
        <w:drawing>
          <wp:inline xmlns:a="http://schemas.openxmlformats.org/drawingml/2006/main" xmlns:pic="http://schemas.openxmlformats.org/drawingml/2006/picture">
            <wp:extent cx="1440000" cy="720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440000" cy="720000"/>
                    </a:xfrm>
                    <a:prstGeom prst="rect"/>
                  </pic:spPr>
                </pic:pic>
              </a:graphicData>
            </a:graphic>
          </wp:inline>
        </w:drawing>
      </w:r>
    </w:p>
    <w:p>
      <w:r>
        <w:t xml:space="preserve">Сайт: </w:t>
      </w:r>
      <w:hyperlink r:id="rId10">
        <w:r>
          <w:t>example.org</w:t>
        </w:r>
      </w:hyperlink>
    </w:p>
    <w:p>
      <w:r>
        <w:t>Перед этим абзацем разрыв страницы</w:t>
        <w:br w:type="page"/>
      </w:r>
    </w:p>
    <w:p>
      <w:r>
        <w:t>Текст на второй странице.</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exampl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