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Основной текст перед надписью.</w:t>
      </w:r>
    </w:p>
    <w:p>
      <w:r xmlns:a="http://schemas.openxmlformats.org/drawingml/2006/main"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3000000</wp:posOffset>
                </wp:positionH>
                <wp:positionV relativeFrom="page">
                  <wp:posOffset>1800000</wp:posOffset>
                </wp:positionV>
                <wp:extent cx="2700000" cy="900000"/>
                <wp:effectExtent l="0" t="0" r="0" b="0"/>
                <wp:wrapNone/>
                <wp:docPr id="77" name="Надпись 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0000" cy="900000"/>
                        </a:xfrm>
                        <a:prstGeom prst="rect">
                          <a:avLst/>
                        </a:prstGeom>
                        <a:solidFill>
                          <a:srgbClr val="FFF2CC"/>
                        </a:solidFill>
                        <a:ln w="1270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>
                            <w:r>
                              <w:t>Надпись: реквизиты</w:t>
                            </w:r>
                          </w:p>
                          <w:p>
                            <w:r>
                              <w:t>Вторая строка надписи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t>Абзац с якорем надписи.</w:t>
      </w:r>
    </w:p>
    <w:p>
      <w:pPr>
        <w:framePr w:w="3000" w:h="900" w:hRule="atLeast" w:wrap="around" w:vAnchor="text" w:hAnchor="page" w:x="5400" w:y="1"/>
      </w:pPr>
      <w:r>
        <w:t>Рамка абзацев: текст внутри рамки.</w:t>
      </w:r>
    </w:p>
    <w:p>
      <w:r>
        <w:t xml:space="preserve">Обычный абзац после рамки. Обычный абзац после рамки. Обычный абзац после рамки. </w:t>
      </w:r>
    </w:p>
    <w:tbl>
      <w:tblPr>
        <w:tblW w:type="auto" w:w="0"/>
        <w:tblLook w:firstColumn="1" w:firstRow="1" w:lastColumn="0" w:lastRow="0" w:noHBand="0" w:noVBand="1" w:val="04A0"/>
        <w:tblpPr w:leftFromText="180" w:rightFromText="180" w:vertAnchor="text" w:horzAnchor="page" w:tblpX="5400" w:tblpY="1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Директору</w:t>
            </w:r>
          </w:p>
        </w:tc>
        <w:tc>
          <w:tcPr>
            <w:tcW w:type="dxa" w:w="4320"/>
          </w:tcPr>
          <w:p>
            <w:r>
              <w:t>Иванову И. И.</w:t>
            </w:r>
          </w:p>
        </w:tc>
      </w:tr>
    </w:tbl>
    <w:p>
      <w:r>
        <w:t>Текст после плавающей таблицы.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 xmlns:a="http://schemas.openxmlformats.org/drawingml/2006/main"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720000</wp:posOffset>
              </wp:positionH>
              <wp:positionV relativeFrom="page">
                <wp:posOffset>360000</wp:posOffset>
              </wp:positionV>
              <wp:extent cx="2700000" cy="600000"/>
              <wp:effectExtent l="0" t="0" r="0" b="0"/>
              <wp:wrapNone/>
              <wp:docPr id="77" name="Надпись 1"/>
              <wp:cNvGraphicFramePr/>
              <a:graphic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00000" cy="60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r>
                            <w:t>Шапка организации</w:t>
                          </w:r>
                        </w:p>
                        <w:p>
                          <w:r>
                            <w:t>Вторая строка надписи</w:t>
                          </w:r>
                        </w:p>
                      </w:txbxContent>
                    </wps:txbx>
                    <wps:bodyPr rot="0" vert="horz" wrap="square" lIns="91440" tIns="45720" rIns="91440" bIns="45720" anchor="t">
                      <a:noAutofit/>
                    </wps:bodyPr>
                  </wps:wsp>
                </a:graphicData>
              </a:graphic>
            </wp:anchor>
          </w:drawing>
        </mc:Choice>
      </mc:AlternateConten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