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600" w:before="200"/>
      </w:pPr>
      <w:r>
        <w:drawing>
          <wp:inline distT="0" distB="0" distL="0" distR="0">
            <wp:extent cx="1562100" cy="571500"/>
            <wp:effectExtent t="0" r="0" b="0" l="0"/>
            <wp:docPr id="1" name="isfdyt.png" descr="isfdyt.png" title="isfdy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62100" cy="571500"/>
                    </a:xfrm>
                    <a:prstGeom prst="rect">
                      <a:avLst/>
                    </a:prstGeom>
                  </pic:spPr>
                </pic:pic>
              </a:graphicData>
            </a:graphic>
          </wp:inline>
        </w:drawing>
      </w:r>
      <w:r>
        <w:t xml:space="preserve">	</w:t>
      </w:r>
      <w:r>
        <w:drawing>
          <wp:inline distT="0" distB="0" distL="0" distR="0">
            <wp:extent cx="1028700" cy="762000"/>
            <wp:effectExtent t="0" r="0" b="0" l="0"/>
            <wp:docPr id="1" name="cammesa.png" descr="cammesa.png" title="camm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28700" cy="762000"/>
                    </a:xfrm>
                    <a:prstGeom prst="rect">
                      <a:avLst/>
                    </a:prstGeom>
                  </pic:spPr>
                </pic:pic>
              </a:graphicData>
            </a:graphic>
          </wp:inline>
        </w:drawing>
      </w:r>
    </w:p>
    <w:p>
      <w:pPr>
        <w:spacing w:after="120" w:before="900"/>
      </w:pPr>
      <w:r>
        <w:rPr>
          <w:rFonts w:ascii="Calibri" w:cs="Calibri" w:eastAsia="Calibri" w:hAnsi="Calibri"/>
          <w:b/>
          <w:bCs/>
          <w:color w:val="0B2A6F"/>
          <w:sz w:val="64"/>
          <w:szCs w:val="64"/>
        </w:rPr>
        <w:t xml:space="preserve">Demanda eléctrica del GBA</w:t>
      </w:r>
    </w:p>
    <w:p>
      <w:pPr>
        <w:pBdr>
          <w:bottom w:val="single" w:color="1E88E5" w:sz="18" w:space="8"/>
        </w:pBdr>
        <w:spacing w:after="120"/>
      </w:pPr>
      <w:r>
        <w:rPr>
          <w:rFonts w:ascii="Calibri" w:cs="Calibri" w:eastAsia="Calibri" w:hAnsi="Calibri"/>
          <w:color w:val="1E88E5"/>
          <w:sz w:val="36"/>
          <w:szCs w:val="36"/>
        </w:rPr>
        <w:t xml:space="preserve">Regresión y alerta de alta demanda</w:t>
      </w:r>
    </w:p>
    <w:p>
      <w:pPr>
        <w:spacing w:after="900" w:before="200"/>
      </w:pPr>
      <w:r>
        <w:rPr>
          <w:rFonts w:ascii="Calibri" w:cs="Calibri" w:eastAsia="Calibri" w:hAnsi="Calibri"/>
          <w:color w:val="475569"/>
          <w:sz w:val="26"/>
          <w:szCs w:val="26"/>
        </w:rPr>
        <w:t xml:space="preserve">Informe final · TP Integrador de Aprendizaje Automático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val="false"/>
        </w:trPr>
        <w:tc>
          <w:tcPr>
            <w:tcW w:type="dxa" w:w="2800"/>
            <w:tcBorders>
              <w:top w:val="single" w:color="CBD5E1" w:sz="4"/>
              <w:left w:val="single" w:color="CBD5E1" w:sz="4"/>
              <w:bottom w:val="single" w:color="CBD5E1" w:sz="4"/>
              <w:right w:val="single" w:color="CBD5E1" w:sz="4"/>
            </w:tcBorders>
            <w:shd w:fill="E8EEF8" w:val="clear"/>
            <w:tcMar>
              <w:top w:type="dxa" w:w="60"/>
              <w:left w:type="dxa" w:w="100"/>
              <w:bottom w:type="dxa" w:w="60"/>
              <w:right w:type="dxa" w:w="100"/>
            </w:tcMar>
            <w:vAlign w:val="center"/>
          </w:tcPr>
          <w:p>
            <w:pPr>
              <w:jc w:val="left"/>
            </w:pPr>
            <w:r>
              <w:rPr>
                <w:rFonts w:ascii="Calibri" w:cs="Calibri" w:eastAsia="Calibri" w:hAnsi="Calibri"/>
                <w:b/>
                <w:bCs/>
                <w:color w:val="1F2937"/>
                <w:sz w:val="20"/>
                <w:szCs w:val="20"/>
              </w:rPr>
              <w:t xml:space="preserve">Institución</w:t>
            </w:r>
          </w:p>
        </w:tc>
        <w:tc>
          <w:tcPr>
            <w:tcW w:type="dxa" w:w="62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b w:val="false"/>
                <w:bCs w:val="false"/>
                <w:color w:val="1F2937"/>
                <w:sz w:val="20"/>
                <w:szCs w:val="20"/>
              </w:rPr>
              <w:t xml:space="preserve">ISFDyT N° 57 «Juana Paula Manso» · Instituto 57</w:t>
            </w:r>
          </w:p>
        </w:tc>
      </w:tr>
      <w:tr>
        <w:trPr>
          <w:cantSplit/>
          <w:tblHeader w:val="false"/>
        </w:trPr>
        <w:tc>
          <w:tcPr>
            <w:tcW w:type="dxa" w:w="2800"/>
            <w:tcBorders>
              <w:top w:val="single" w:color="CBD5E1" w:sz="4"/>
              <w:left w:val="single" w:color="CBD5E1" w:sz="4"/>
              <w:bottom w:val="single" w:color="CBD5E1" w:sz="4"/>
              <w:right w:val="single" w:color="CBD5E1" w:sz="4"/>
            </w:tcBorders>
            <w:shd w:fill="E8EEF8" w:val="clear"/>
            <w:tcMar>
              <w:top w:type="dxa" w:w="60"/>
              <w:left w:type="dxa" w:w="100"/>
              <w:bottom w:type="dxa" w:w="60"/>
              <w:right w:type="dxa" w:w="100"/>
            </w:tcMar>
            <w:vAlign w:val="center"/>
          </w:tcPr>
          <w:p>
            <w:pPr>
              <w:jc w:val="left"/>
            </w:pPr>
            <w:r>
              <w:rPr>
                <w:rFonts w:ascii="Calibri" w:cs="Calibri" w:eastAsia="Calibri" w:hAnsi="Calibri"/>
                <w:b/>
                <w:bCs/>
                <w:color w:val="1F2937"/>
                <w:sz w:val="20"/>
                <w:szCs w:val="20"/>
              </w:rPr>
              <w:t xml:space="preserve">Integrantes</w:t>
            </w:r>
          </w:p>
        </w:tc>
        <w:tc>
          <w:tcPr>
            <w:tcW w:type="dxa" w:w="62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F2937"/>
                <w:sz w:val="20"/>
                <w:szCs w:val="20"/>
              </w:rPr>
              <w:t xml:space="preserve">Enzo Mellado, Gladys González y Lucas Pardo</w:t>
            </w:r>
          </w:p>
        </w:tc>
      </w:tr>
      <w:tr>
        <w:trPr>
          <w:cantSplit/>
          <w:tblHeader w:val="false"/>
        </w:trPr>
        <w:tc>
          <w:tcPr>
            <w:tcW w:type="dxa" w:w="2800"/>
            <w:tcBorders>
              <w:top w:val="single" w:color="CBD5E1" w:sz="4"/>
              <w:left w:val="single" w:color="CBD5E1" w:sz="4"/>
              <w:bottom w:val="single" w:color="CBD5E1" w:sz="4"/>
              <w:right w:val="single" w:color="CBD5E1" w:sz="4"/>
            </w:tcBorders>
            <w:shd w:fill="E8EEF8" w:val="clear"/>
            <w:tcMar>
              <w:top w:type="dxa" w:w="60"/>
              <w:left w:type="dxa" w:w="100"/>
              <w:bottom w:type="dxa" w:w="60"/>
              <w:right w:type="dxa" w:w="100"/>
            </w:tcMar>
            <w:vAlign w:val="center"/>
          </w:tcPr>
          <w:p>
            <w:pPr>
              <w:jc w:val="left"/>
            </w:pPr>
            <w:r>
              <w:rPr>
                <w:rFonts w:ascii="Calibri" w:cs="Calibri" w:eastAsia="Calibri" w:hAnsi="Calibri"/>
                <w:b/>
                <w:bCs/>
                <w:color w:val="1F2937"/>
                <w:sz w:val="20"/>
                <w:szCs w:val="20"/>
              </w:rPr>
              <w:t xml:space="preserve">Curso / Grupo</w:t>
            </w:r>
          </w:p>
        </w:tc>
        <w:tc>
          <w:tcPr>
            <w:tcW w:type="dxa" w:w="62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b w:val="false"/>
                <w:bCs w:val="false"/>
                <w:color w:val="1F2937"/>
                <w:sz w:val="20"/>
                <w:szCs w:val="20"/>
                <w:shd w:fill="FFF200" w:color="auto" w:val="clear"/>
              </w:rPr>
              <w:t xml:space="preserve">2.? a?o de Ciencia de Datos e Inteligencia Artificial ? equipo de tres, autorizado por el docente</w:t>
            </w:r>
          </w:p>
        </w:tc>
      </w:tr>
      <w:tr>
        <w:trPr>
          <w:cantSplit/>
          <w:tblHeader w:val="false"/>
        </w:trPr>
        <w:tc>
          <w:tcPr>
            <w:tcW w:type="dxa" w:w="2800"/>
            <w:tcBorders>
              <w:top w:val="single" w:color="CBD5E1" w:sz="4"/>
              <w:left w:val="single" w:color="CBD5E1" w:sz="4"/>
              <w:bottom w:val="single" w:color="CBD5E1" w:sz="4"/>
              <w:right w:val="single" w:color="CBD5E1" w:sz="4"/>
            </w:tcBorders>
            <w:shd w:fill="E8EEF8" w:val="clear"/>
            <w:tcMar>
              <w:top w:type="dxa" w:w="60"/>
              <w:left w:type="dxa" w:w="100"/>
              <w:bottom w:type="dxa" w:w="60"/>
              <w:right w:type="dxa" w:w="100"/>
            </w:tcMar>
            <w:vAlign w:val="center"/>
          </w:tcPr>
          <w:p>
            <w:pPr>
              <w:jc w:val="left"/>
            </w:pPr>
            <w:r>
              <w:rPr>
                <w:rFonts w:ascii="Calibri" w:cs="Calibri" w:eastAsia="Calibri" w:hAnsi="Calibri"/>
                <w:b/>
                <w:bCs/>
                <w:color w:val="1F2937"/>
                <w:sz w:val="20"/>
                <w:szCs w:val="20"/>
              </w:rPr>
              <w:t xml:space="preserve">Repositorio</w:t>
            </w:r>
          </w:p>
        </w:tc>
        <w:tc>
          <w:tcPr>
            <w:tcW w:type="dxa" w:w="62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F2937"/>
                <w:sz w:val="20"/>
                <w:szCs w:val="20"/>
                <w:shd w:fill="FFF200" w:color="auto" w:val="clear"/>
              </w:rPr>
              <w:t xml:space="preserve">https://github.com/Enzitox35/Demanda-Energia</w:t>
            </w:r>
          </w:p>
        </w:tc>
      </w:tr>
      <w:tr>
        <w:trPr>
          <w:cantSplit/>
          <w:tblHeader w:val="false"/>
        </w:trPr>
        <w:tc>
          <w:tcPr>
            <w:tcW w:type="dxa" w:w="2800"/>
            <w:tcBorders>
              <w:top w:val="single" w:color="CBD5E1" w:sz="4"/>
              <w:left w:val="single" w:color="CBD5E1" w:sz="4"/>
              <w:bottom w:val="single" w:color="CBD5E1" w:sz="4"/>
              <w:right w:val="single" w:color="CBD5E1" w:sz="4"/>
            </w:tcBorders>
            <w:shd w:fill="E8EEF8" w:val="clear"/>
            <w:tcMar>
              <w:top w:type="dxa" w:w="60"/>
              <w:left w:type="dxa" w:w="100"/>
              <w:bottom w:type="dxa" w:w="60"/>
              <w:right w:type="dxa" w:w="100"/>
            </w:tcMar>
            <w:vAlign w:val="center"/>
          </w:tcPr>
          <w:p>
            <w:pPr>
              <w:jc w:val="left"/>
            </w:pPr>
            <w:r>
              <w:rPr>
                <w:rFonts w:ascii="Calibri" w:cs="Calibri" w:eastAsia="Calibri" w:hAnsi="Calibri"/>
                <w:b/>
                <w:bCs/>
                <w:color w:val="1F2937"/>
                <w:sz w:val="20"/>
                <w:szCs w:val="20"/>
              </w:rPr>
              <w:t xml:space="preserve">Etiqueta de la entrega</w:t>
            </w:r>
          </w:p>
        </w:tc>
        <w:tc>
          <w:tcPr>
            <w:tcW w:type="dxa" w:w="62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b w:val="false"/>
                <w:bCs w:val="false"/>
                <w:color w:val="1F2937"/>
                <w:sz w:val="20"/>
                <w:szCs w:val="20"/>
              </w:rPr>
              <w:t xml:space="preserve">entrega-5-final</w:t>
            </w:r>
          </w:p>
        </w:tc>
      </w:tr>
      <w:tr>
        <w:trPr>
          <w:cantSplit/>
          <w:tblHeader w:val="false"/>
        </w:trPr>
        <w:tc>
          <w:tcPr>
            <w:tcW w:type="dxa" w:w="2800"/>
            <w:tcBorders>
              <w:top w:val="single" w:color="CBD5E1" w:sz="4"/>
              <w:left w:val="single" w:color="CBD5E1" w:sz="4"/>
              <w:bottom w:val="single" w:color="CBD5E1" w:sz="4"/>
              <w:right w:val="single" w:color="CBD5E1" w:sz="4"/>
            </w:tcBorders>
            <w:shd w:fill="E8EEF8" w:val="clear"/>
            <w:tcMar>
              <w:top w:type="dxa" w:w="60"/>
              <w:left w:type="dxa" w:w="100"/>
              <w:bottom w:type="dxa" w:w="60"/>
              <w:right w:type="dxa" w:w="100"/>
            </w:tcMar>
            <w:vAlign w:val="center"/>
          </w:tcPr>
          <w:p>
            <w:pPr>
              <w:jc w:val="left"/>
            </w:pPr>
            <w:r>
              <w:rPr>
                <w:rFonts w:ascii="Calibri" w:cs="Calibri" w:eastAsia="Calibri" w:hAnsi="Calibri"/>
                <w:b/>
                <w:bCs/>
                <w:color w:val="1F2937"/>
                <w:sz w:val="20"/>
                <w:szCs w:val="20"/>
              </w:rPr>
              <w:t xml:space="preserve">Aplicación publicada (Vercel)</w:t>
            </w:r>
          </w:p>
        </w:tc>
        <w:tc>
          <w:tcPr>
            <w:tcW w:type="dxa" w:w="62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1F2937"/>
                <w:sz w:val="20"/>
                <w:szCs w:val="20"/>
                <w:shd w:fill="FFF200" w:color="auto" w:val="clear"/>
              </w:rPr>
              <w:t xml:space="preserve">Pendiente de despliegue y prueba p?blica</w:t>
            </w:r>
          </w:p>
        </w:tc>
      </w:tr>
    </w:tbl>
    <w:p>
      <w:r>
        <w:br w:type="page"/>
      </w:r>
    </w:p>
    <w:p>
      <w:pPr>
        <w:spacing w:after="120"/>
      </w:pPr>
      <w:r>
        <w:rPr>
          <w:i/>
        </w:rPr>
        <w:t xml:space="preserve">Version web del informe con graficos y logotipos: ../informe_web.html (en la carpeta informe del repositorio).</w:t>
      </w:r>
    </w:p>
    <w:p>
      <w:pPr>
        <w:pStyle w:val="Heading1"/>
        <w:keepNext/>
      </w:pPr>
      <w:r>
        <w:t xml:space="preserve">Resumen</w:t>
      </w:r>
    </w:p>
    <w:p>
      <w:pPr>
        <w:spacing w:after="120" w:line="276"/>
        <w:jc w:val="both"/>
      </w:pPr>
      <w:r>
        <w:rPr>
          <w:rFonts w:ascii="Calibri" w:cs="Calibri" w:eastAsia="Calibri" w:hAnsi="Calibri"/>
          <w:sz w:val="22"/>
          <w:szCs w:val="22"/>
        </w:rPr>
        <w:t xml:space="preserve">Con 61.368 registros horarios de demanda eléctrica del Gran Buenos Aires (CAMMESA, 2012–2018) se construyeron dos sistemas relacionados: una regresión que estima la demanda en MW y una alerta de alta demanda (más de 7.307 MW). La alerta se genera con un clasificador directo y con la regresión más el umbral, y se comparan con un esquema de costos explícito. El regresor elegido (árbol de profundidad 12) tiene un MAE de 413 MW en la prueba 2018, contra 1.019 MW del baseline de media. Con un falso negativo 5 veces más costoso que un falso positivo, el clasificador directo resulta mejor (costo 45 % menor) y se recomienda como alerta principal; la regresión informa los MW esperados y sirve de control cruzado.</w:t>
      </w:r>
    </w:p>
    <w:p>
      <w:pPr>
        <w:pStyle w:val="Heading1"/>
        <w:keepNext/>
      </w:pPr>
      <w:r>
        <w:t xml:space="preserve">1. Problema y decisión</w:t>
      </w:r>
    </w:p>
    <w:p>
      <w:pPr>
        <w:spacing w:after="120" w:line="276"/>
        <w:jc w:val="both"/>
      </w:pPr>
      <w:r>
        <w:rPr>
          <w:rFonts w:ascii="Calibri" w:cs="Calibri" w:eastAsia="Calibri" w:hAnsi="Calibri"/>
          <w:b/>
          <w:bCs/>
          <w:sz w:val="22"/>
          <w:szCs w:val="22"/>
        </w:rPr>
        <w:t xml:space="preserve">Necesidad.</w:t>
      </w:r>
      <w:r>
        <w:rPr>
          <w:rFonts w:ascii="Calibri" w:cs="Calibri" w:eastAsia="Calibri" w:hAnsi="Calibri"/>
          <w:sz w:val="22"/>
          <w:szCs w:val="22"/>
        </w:rPr>
        <w:t xml:space="preserve"> Quien opera el sistema eléctrico del GBA debe decidir con anticipación si activa generación y reserva adicional para una hora determinada. Si el pico no se anticipa, hay riesgo para el suministro; si la reserva se activa de más, se gasta combustible y recursos sin necesidad.</w:t>
      </w:r>
    </w:p>
    <w:p>
      <w:pPr>
        <w:spacing w:after="120" w:line="276"/>
        <w:jc w:val="both"/>
      </w:pPr>
      <w:r>
        <w:rPr>
          <w:rFonts w:ascii="Calibri" w:cs="Calibri" w:eastAsia="Calibri" w:hAnsi="Calibri"/>
          <w:b/>
          <w:bCs/>
          <w:sz w:val="22"/>
          <w:szCs w:val="22"/>
        </w:rPr>
        <w:t xml:space="preserve">Usuario de la predicción:</w:t>
      </w:r>
      <w:r>
        <w:rPr>
          <w:rFonts w:ascii="Calibri" w:cs="Calibri" w:eastAsia="Calibri" w:hAnsi="Calibri"/>
          <w:sz w:val="22"/>
          <w:szCs w:val="22"/>
        </w:rPr>
        <w:t xml:space="preserve"> el operador o planificador del despacho. </w:t>
      </w:r>
      <w:r>
        <w:rPr>
          <w:rFonts w:ascii="Calibri" w:cs="Calibri" w:eastAsia="Calibri" w:hAnsi="Calibri"/>
          <w:b/>
          <w:bCs/>
          <w:sz w:val="22"/>
          <w:szCs w:val="22"/>
        </w:rPr>
        <w:t xml:space="preserve">Decisión:</w:t>
      </w:r>
      <w:r>
        <w:rPr>
          <w:rFonts w:ascii="Calibri" w:cs="Calibri" w:eastAsia="Calibri" w:hAnsi="Calibri"/>
          <w:sz w:val="22"/>
          <w:szCs w:val="22"/>
        </w:rPr>
        <w:t xml:space="preserve"> activar o no reserva adicional para la hora a cubrir.</w:t>
      </w:r>
    </w:p>
    <w:p>
      <w:pPr>
        <w:spacing w:after="120" w:line="276"/>
        <w:jc w:val="both"/>
      </w:pPr>
      <w:r>
        <w:rPr>
          <w:rFonts w:ascii="Calibri" w:cs="Calibri" w:eastAsia="Calibri" w:hAnsi="Calibri"/>
          <w:b/>
          <w:bCs/>
          <w:sz w:val="22"/>
          <w:szCs w:val="22"/>
        </w:rPr>
        <w:t xml:space="preserve">Momento de la predicción.</w:t>
      </w:r>
      <w:r>
        <w:rPr>
          <w:rFonts w:ascii="Calibri" w:cs="Calibri" w:eastAsia="Calibri" w:hAnsi="Calibri"/>
          <w:sz w:val="22"/>
          <w:szCs w:val="22"/>
        </w:rPr>
        <w:t xml:space="preserve"> Se estima la demanda de una hora futura con el calendario de esa hora y el pronóstico meteorológico para esa hora. En el entrenamiento se usó clima medido, no pronosticado; por eso los resultados son algo optimistas.</w:t>
      </w:r>
    </w:p>
    <w:p>
      <w:pPr>
        <w:spacing w:after="120" w:line="276"/>
        <w:jc w:val="both"/>
      </w:pPr>
      <w:r>
        <w:rPr>
          <w:rFonts w:ascii="Calibri" w:cs="Calibri" w:eastAsia="Calibri" w:hAnsi="Calibri"/>
          <w:b/>
          <w:bCs/>
          <w:sz w:val="22"/>
          <w:szCs w:val="22"/>
        </w:rPr>
        <w:t xml:space="preserve">Significado de los errores.</w:t>
      </w:r>
      <w:r>
        <w:rPr>
          <w:rFonts w:ascii="Calibri" w:cs="Calibri" w:eastAsia="Calibri" w:hAnsi="Calibri"/>
          <w:sz w:val="22"/>
          <w:szCs w:val="22"/>
        </w:rPr>
        <w:t xml:space="preserve"> Un falso positivo es una alerta que no era necesaria (reserva activada de más). Un falso negativo es un pico no anticipado (demanda alta sin reserva preparada).</w:t>
      </w:r>
    </w:p>
    <w:p>
      <w:pPr>
        <w:pStyle w:val="Heading1"/>
        <w:keepNext/>
      </w:pPr>
      <w:r>
        <w:t xml:space="preserve">2. Datos</w:t>
      </w:r>
    </w:p>
    <w:p>
      <w:pPr>
        <w:spacing w:after="120" w:line="276"/>
        <w:jc w:val="both"/>
      </w:pPr>
      <w:r>
        <w:rPr>
          <w:rFonts w:ascii="Calibri" w:cs="Calibri" w:eastAsia="Calibri" w:hAnsi="Calibri"/>
          <w:b/>
          <w:bCs/>
          <w:sz w:val="22"/>
          <w:szCs w:val="22"/>
        </w:rPr>
        <w:t xml:space="preserve">Fuente:</w:t>
      </w:r>
      <w:r>
        <w:rPr>
          <w:rFonts w:ascii="Calibri" w:cs="Calibri" w:eastAsia="Calibri" w:hAnsi="Calibri"/>
          <w:sz w:val="22"/>
          <w:szCs w:val="22"/>
        </w:rPr>
        <w:t xml:space="preserve"> demanda horaria del GBA de CAMMESA. </w:t>
      </w:r>
      <w:r>
        <w:rPr>
          <w:rFonts w:ascii="Calibri" w:cs="Calibri" w:eastAsia="Calibri" w:hAnsi="Calibri"/>
          <w:sz w:val="22"/>
          <w:szCs w:val="22"/>
          <w:shd w:fill="FFF200" w:color="auto" w:val="clear"/>
        </w:rPr>
        <w:t xml:space="preserve">Descarga: portal Datos Argentina, cat?logo de la Secretar?a de Energ?a (https://datos.gob.ar/dataset/?organization=secretaria-de-energia). La ficha espec?fica del recurso, el origen de clima y EMAE, y la limpieza previa a cammesa_limpio.csv deben detallarse.</w:t>
      </w:r>
      <w:r>
        <w:rPr>
          <w:rFonts w:ascii="Calibri" w:cs="Calibri" w:eastAsia="Calibri" w:hAnsi="Calibri"/>
          <w:sz w:val="22"/>
          <w:szCs w:val="22"/>
        </w:rPr>
        <w:t xml:space="preserve">. No hay datos personales identificables.</w:t>
      </w:r>
    </w:p>
    <w:p>
      <w:pPr>
        <w:spacing w:after="120" w:line="276"/>
        <w:jc w:val="both"/>
      </w:pPr>
      <w:r>
        <w:rPr>
          <w:rFonts w:ascii="Calibri" w:cs="Calibri" w:eastAsia="Calibri" w:hAnsi="Calibri"/>
          <w:b/>
          <w:bCs/>
          <w:sz w:val="22"/>
          <w:szCs w:val="22"/>
        </w:rPr>
        <w:t xml:space="preserve">Qué representa cada fila:</w:t>
      </w:r>
      <w:r>
        <w:rPr>
          <w:rFonts w:ascii="Calibri" w:cs="Calibri" w:eastAsia="Calibri" w:hAnsi="Calibri"/>
          <w:sz w:val="22"/>
          <w:szCs w:val="22"/>
        </w:rPr>
        <w:t xml:space="preserve"> una hora del GBA (demanda medida, clima de esa hora y variables de calendario). 61.368 filas, del 01/01/2012 al 31/12/2018, sin duplicados ni horas salteadas.</w:t>
      </w:r>
    </w:p>
    <w:p>
      <w:pPr>
        <w:spacing w:after="120" w:line="276"/>
        <w:jc w:val="both"/>
      </w:pPr>
      <w:r>
        <w:rPr>
          <w:rFonts w:ascii="Calibri" w:cs="Calibri" w:eastAsia="Calibri" w:hAnsi="Calibri"/>
          <w:b/>
          <w:bCs/>
          <w:sz w:val="22"/>
          <w:szCs w:val="22"/>
        </w:rPr>
        <w:t xml:space="preserve">Controles de calidad.</w:t>
      </w:r>
      <w:r>
        <w:rPr>
          <w:rFonts w:ascii="Calibri" w:cs="Calibri" w:eastAsia="Calibri" w:hAnsi="Calibri"/>
          <w:sz w:val="22"/>
          <w:szCs w:val="22"/>
        </w:rPr>
        <w:t xml:space="preserve"> Los calendarios son coherentes con la fecha y no hay valores imposibles (humedad fuera de 0–1, radiación negativa, temperatura o presión fuera de rango). Faltantes: 12 horas con falla del sensor (sin temperatura, humedad, presión ni viento), 39 horas de viento y 335 horas de radiación solar (GHI), que corresponden a días completos. viento_vel es la raíz de vx² + vy², y EMAE tiene un único valor por mes.</w:t>
      </w:r>
    </w:p>
    <w:p>
      <w:pPr>
        <w:spacing w:after="120" w:line="276"/>
        <w:jc w:val="both"/>
      </w:pPr>
      <w:r>
        <w:rPr>
          <w:rFonts w:ascii="Calibri" w:cs="Calibri" w:eastAsia="Calibri" w:hAnsi="Calibri"/>
          <w:b/>
          <w:bCs/>
          <w:sz w:val="22"/>
          <w:szCs w:val="22"/>
        </w:rPr>
        <w:t xml:space="preserve">Preparación.</w:t>
      </w:r>
      <w:r>
        <w:rPr>
          <w:rFonts w:ascii="Calibri" w:cs="Calibri" w:eastAsia="Calibri" w:hAnsi="Calibri"/>
          <w:sz w:val="22"/>
          <w:szCs w:val="22"/>
        </w:rPr>
        <w:t xml:space="preserve"> Interpolación lineal en el tiempo para faltantes cortos de clima (hasta 5 horas); GHI faltante reemplazada por la media de su mes y hora calculada solo con el entrenamiento; variables derivadas: distancia de la temperatura a 18 °C (temperatura de menor demanda en el entrenamiento) y hora y mes en seno y coseno.</w:t>
      </w:r>
    </w:p>
    <w:p>
      <w:pPr>
        <w:spacing w:after="120" w:line="276"/>
        <w:jc w:val="both"/>
      </w:pPr>
      <w:r>
        <w:rPr>
          <w:rFonts w:ascii="Calibri" w:cs="Calibri" w:eastAsia="Calibri" w:hAnsi="Calibri"/>
          <w:b/>
          <w:bCs/>
          <w:sz w:val="22"/>
          <w:szCs w:val="22"/>
        </w:rPr>
        <w:t xml:space="preserve">Predictores usados (10 crudos):</w:t>
      </w:r>
      <w:r>
        <w:rPr>
          <w:rFonts w:ascii="Calibri" w:cs="Calibri" w:eastAsia="Calibri" w:hAnsi="Calibri"/>
          <w:sz w:val="22"/>
          <w:szCs w:val="22"/>
        </w:rPr>
        <w:t xml:space="preserve"> temperatura, humedad, presión, GHI, intensidad del viento, feriado, hora, día de la semana, mes y fin de semana. Dentro del Pipeline se calculan 5 derivadas.</w:t>
      </w:r>
    </w:p>
    <w:p>
      <w:pPr>
        <w:spacing w:after="60"/>
        <w:jc w:val="both"/>
      </w:pPr>
      <w:r>
        <w:rPr>
          <w:rFonts w:ascii="Calibri" w:cs="Calibri" w:eastAsia="Calibri" w:hAnsi="Calibri"/>
          <w:b/>
          <w:bCs/>
          <w:sz w:val="22"/>
          <w:szCs w:val="22"/>
        </w:rPr>
        <w:t xml:space="preserve">Variables descartadas:</w:t>
      </w:r>
    </w:p>
    <w:p>
      <w:pPr>
        <w:pStyle w:val="ListParagraph"/>
        <w:numPr>
          <w:ilvl w:val="0"/>
          <w:numId w:val="2"/>
        </w:numPr>
        <w:spacing w:after="60" w:line="276"/>
      </w:pPr>
      <w:r>
        <w:rPr>
          <w:rFonts w:ascii="Calibri" w:cs="Calibri" w:eastAsia="Calibri" w:hAnsi="Calibri"/>
          <w:sz w:val="22"/>
          <w:szCs w:val="22"/>
        </w:rPr>
        <w:t xml:space="preserve">DemGBA y alta_demanda (objetivos), datetime, split y falla_sensor.</w:t>
      </w:r>
    </w:p>
    <w:p>
      <w:pPr>
        <w:pStyle w:val="ListParagraph"/>
        <w:numPr>
          <w:ilvl w:val="0"/>
          <w:numId w:val="2"/>
        </w:numPr>
        <w:spacing w:after="60" w:line="276"/>
      </w:pPr>
      <w:r>
        <w:rPr>
          <w:rFonts w:ascii="Calibri" w:cs="Calibri" w:eastAsia="Calibri" w:hAnsi="Calibri"/>
          <w:sz w:val="22"/>
          <w:szCs w:val="22"/>
        </w:rPr>
        <w:t xml:space="preserve">vx y vy: redundantes con la intensidad del viento.</w:t>
      </w:r>
    </w:p>
    <w:p>
      <w:pPr>
        <w:pStyle w:val="ListParagraph"/>
        <w:numPr>
          <w:ilvl w:val="0"/>
          <w:numId w:val="2"/>
        </w:numPr>
        <w:spacing w:after="60" w:line="276"/>
      </w:pPr>
      <w:r>
        <w:rPr>
          <w:rFonts w:ascii="Calibri" w:cs="Calibri" w:eastAsia="Calibri" w:hAnsi="Calibri"/>
          <w:sz w:val="22"/>
          <w:szCs w:val="22"/>
        </w:rPr>
        <w:t xml:space="preserve">EMAE: se publica con retraso (no estaría disponible al predecir) y empeora la validación: con el árbol, de 351 a 449 MW con variables base y de 330 a 387 MW con derivadas.</w:t>
      </w:r>
    </w:p>
    <w:p>
      <w:pPr>
        <w:pStyle w:val="ListParagraph"/>
        <w:numPr>
          <w:ilvl w:val="0"/>
          <w:numId w:val="2"/>
        </w:numPr>
        <w:spacing w:after="60" w:line="276"/>
      </w:pPr>
      <w:r>
        <w:rPr>
          <w:rFonts w:ascii="Calibri" w:cs="Calibri" w:eastAsia="Calibri" w:hAnsi="Calibri"/>
          <w:sz w:val="22"/>
          <w:szCs w:val="22"/>
        </w:rPr>
        <w:t xml:space="preserve">Demanda de horas anteriores: la consigna prohíbe que la respuesta aparezca directa o indirectamente entre las entradas.</w:t>
      </w:r>
    </w:p>
    <w:p>
      <w:pPr>
        <w:pStyle w:val="Heading1"/>
        <w:keepNext/>
      </w:pPr>
      <w:r>
        <w:t xml:space="preserve">3. Objetivos, umbral y protocolo de evaluación</w:t>
      </w:r>
    </w:p>
    <w:p>
      <w:pPr>
        <w:spacing w:after="120" w:line="276"/>
        <w:jc w:val="both"/>
      </w:pPr>
      <w:r>
        <w:rPr>
          <w:rFonts w:ascii="Calibri" w:cs="Calibri" w:eastAsia="Calibri" w:hAnsi="Calibri"/>
          <w:b/>
          <w:bCs/>
          <w:sz w:val="22"/>
          <w:szCs w:val="22"/>
        </w:rPr>
        <w:t xml:space="preserve">Regresión:</w:t>
      </w:r>
      <w:r>
        <w:rPr>
          <w:rFonts w:ascii="Calibri" w:cs="Calibri" w:eastAsia="Calibri" w:hAnsi="Calibri"/>
          <w:sz w:val="22"/>
          <w:szCs w:val="22"/>
        </w:rPr>
        <w:t xml:space="preserve"> estimar DemGBA (MW). </w:t>
      </w:r>
      <w:r>
        <w:rPr>
          <w:rFonts w:ascii="Calibri" w:cs="Calibri" w:eastAsia="Calibri" w:hAnsi="Calibri"/>
          <w:b/>
          <w:bCs/>
          <w:sz w:val="22"/>
          <w:szCs w:val="22"/>
        </w:rPr>
        <w:t xml:space="preserve">Clasificación:</w:t>
      </w:r>
      <w:r>
        <w:rPr>
          <w:rFonts w:ascii="Calibri" w:cs="Calibri" w:eastAsia="Calibri" w:hAnsi="Calibri"/>
          <w:sz w:val="22"/>
          <w:szCs w:val="22"/>
        </w:rPr>
        <w:t xml:space="preserve"> alta_demanda = 1 si DemGBA supera 7.307 MW. El umbral es el percentil 90 del entrenamiento (2012–2016): una hora de cada diez es de alta demanda, una frecuencia razonable para activar reserva. Se calculó sin mirar validación ni prueba.</w:t>
      </w:r>
    </w:p>
    <w:p>
      <w:pPr>
        <w:keepNext/>
        <w:spacing w:after="120" w:line="276"/>
        <w:jc w:val="both"/>
      </w:pPr>
      <w:r>
        <w:rPr>
          <w:rFonts w:ascii="Calibri" w:cs="Calibri" w:eastAsia="Calibri" w:hAnsi="Calibri"/>
          <w:b/>
          <w:bCs/>
          <w:sz w:val="22"/>
          <w:szCs w:val="22"/>
        </w:rPr>
        <w:t xml:space="preserve">Partición temporal</w:t>
      </w:r>
      <w:r>
        <w:rPr>
          <w:rFonts w:ascii="Calibri" w:cs="Calibri" w:eastAsia="Calibri" w:hAnsi="Calibri"/>
          <w:sz w:val="22"/>
          <w:szCs w:val="22"/>
        </w:rPr>
        <w:t xml:space="preserve"> (se entrena con el pasado y se evalúa con el futuro):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2326"/>
        <w:gridCol w:w="1400"/>
      </w:tblGrid>
      <w:tr>
        <w:trPr>
          <w:cantSplit/>
          <w:tblHeader/>
        </w:trPr>
        <w:tc>
          <w:tcPr>
            <w:tcW w:type="dxa" w:w="2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Conjunto</w:t>
            </w:r>
          </w:p>
        </w:tc>
        <w:tc>
          <w:tcPr>
            <w:tcW w:type="dxa" w:w="18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Período</w:t>
            </w:r>
          </w:p>
        </w:tc>
        <w:tc>
          <w:tcPr>
            <w:tcW w:type="dxa" w:w="15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Horas</w:t>
            </w:r>
          </w:p>
        </w:tc>
        <w:tc>
          <w:tcPr>
            <w:tcW w:type="dxa" w:w="2326"/>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Horas de alta demanda</w:t>
            </w:r>
          </w:p>
        </w:tc>
        <w:tc>
          <w:tcPr>
            <w:tcW w:type="dxa" w:w="14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 alta</w:t>
            </w:r>
          </w:p>
        </w:tc>
      </w:tr>
      <w:tr>
        <w:trPr>
          <w:cantSplit/>
          <w:tblHeader w:val="false"/>
        </w:trPr>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Entrenamiento</w:t>
            </w:r>
          </w:p>
        </w:tc>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2012–2016</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43.848</w:t>
            </w:r>
          </w:p>
        </w:tc>
        <w:tc>
          <w:tcPr>
            <w:tcW w:type="dxa" w:w="23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4.384</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10,0 %</w:t>
            </w:r>
          </w:p>
        </w:tc>
      </w:tr>
      <w:tr>
        <w:trPr>
          <w:cantSplit/>
          <w:tblHeader w:val="false"/>
        </w:trPr>
        <w:tc>
          <w:tcPr>
            <w:tcW w:type="dxa" w:w="2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Validación</w:t>
            </w:r>
          </w:p>
        </w:tc>
        <w:tc>
          <w:tcPr>
            <w:tcW w:type="dxa" w:w="1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2017</w:t>
            </w:r>
          </w:p>
        </w:tc>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8.760</w:t>
            </w:r>
          </w:p>
        </w:tc>
        <w:tc>
          <w:tcPr>
            <w:tcW w:type="dxa" w:w="23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956</w:t>
            </w:r>
          </w:p>
        </w:tc>
        <w:tc>
          <w:tcPr>
            <w:tcW w:type="dxa" w:w="14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10,9 %</w:t>
            </w:r>
          </w:p>
        </w:tc>
      </w:tr>
      <w:tr>
        <w:trPr>
          <w:cantSplit/>
          <w:tblHeader w:val="false"/>
        </w:trPr>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Prueba</w:t>
            </w:r>
          </w:p>
        </w:tc>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2018</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8.760</w:t>
            </w:r>
          </w:p>
        </w:tc>
        <w:tc>
          <w:tcPr>
            <w:tcW w:type="dxa" w:w="23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1.222</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13,9 %</w:t>
            </w:r>
          </w:p>
        </w:tc>
      </w:tr>
    </w:tbl>
    <w:p>
      <w:pPr>
        <w:spacing w:after="120"/>
      </w:pPr>
    </w:p>
    <w:p>
      <w:pPr>
        <w:spacing w:after="120" w:line="276"/>
        <w:jc w:val="both"/>
      </w:pPr>
      <w:r>
        <w:rPr>
          <w:rFonts w:ascii="Calibri" w:cs="Calibri" w:eastAsia="Calibri" w:hAnsi="Calibri"/>
          <w:b/>
          <w:bCs/>
          <w:sz w:val="22"/>
          <w:szCs w:val="22"/>
        </w:rPr>
        <w:t xml:space="preserve">Reglas.</w:t>
      </w:r>
      <w:r>
        <w:rPr>
          <w:rFonts w:ascii="Calibri" w:cs="Calibri" w:eastAsia="Calibri" w:hAnsi="Calibri"/>
          <w:sz w:val="22"/>
          <w:szCs w:val="22"/>
        </w:rPr>
        <w:t xml:space="preserve"> Las transformaciones se ajustan solo con el entrenamiento; el escalado va dentro del Pipeline; los hiperparámetros y los modelos se eligen con la validación y la prueba se usa al final, sin decidir nada con ella; se usan los mismos casos para evaluar regresión y clasificación; semilla fija (42) y versiones registradas. Como solo el 10–14 % de las horas son positivas, la accuracy sola no alcanza: se mira también precision, recall, F1 y la matriz de confusión.</w:t>
      </w:r>
    </w:p>
    <w:p>
      <w:pPr>
        <w:keepNext/>
        <w:spacing w:before="120"/>
        <w:jc w:val="center"/>
      </w:pPr>
      <w:r>
        <w:drawing>
          <wp:inline distT="0" distB="0" distL="0" distR="0">
            <wp:extent cx="5334000" cy="1895475"/>
            <wp:effectExtent t="0" r="0" b="0" l="0"/>
            <wp:docPr id="1" name="figs/fig1.png" descr="figs/fig1.png" title="figs/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95475"/>
                    </a:xfrm>
                    <a:prstGeom prst="rect">
                      <a:avLst/>
                    </a:prstGeom>
                  </pic:spPr>
                </pic:pic>
              </a:graphicData>
            </a:graphic>
          </wp:inline>
        </w:drawing>
      </w:r>
    </w:p>
    <w:p>
      <w:pPr>
        <w:spacing w:after="200" w:before="60"/>
        <w:jc w:val="center"/>
      </w:pPr>
      <w:r>
        <w:rPr>
          <w:rFonts w:ascii="Calibri" w:cs="Calibri" w:eastAsia="Calibri" w:hAnsi="Calibri"/>
          <w:i/>
          <w:iCs/>
          <w:color w:val="475569"/>
          <w:sz w:val="19"/>
          <w:szCs w:val="19"/>
        </w:rPr>
        <w:t xml:space="preserve">Figura 1. Porcentaje de horas de alta demanda por mes y por hora del día (entrenamiento). Los picos se dan en invierno y verano, y de noche.</w:t>
      </w:r>
    </w:p>
    <w:p>
      <w:pPr>
        <w:pStyle w:val="Heading1"/>
        <w:keepNext/>
      </w:pPr>
      <w:r>
        <w:t xml:space="preserve">4. Baselines</w:t>
      </w:r>
    </w:p>
    <w:p>
      <w:pPr>
        <w:spacing w:after="120" w:line="276"/>
        <w:jc w:val="both"/>
      </w:pPr>
      <w:r>
        <w:rPr>
          <w:rFonts w:ascii="Calibri" w:cs="Calibri" w:eastAsia="Calibri" w:hAnsi="Calibri"/>
          <w:sz w:val="22"/>
          <w:szCs w:val="22"/>
        </w:rPr>
        <w:t xml:space="preserve">Se usaron </w:t>
      </w:r>
      <w:r>
        <w:rPr>
          <w:rFonts w:ascii="Calibri" w:cs="Calibri" w:eastAsia="Calibri" w:hAnsi="Calibri"/>
          <w:i/>
          <w:iCs/>
          <w:sz w:val="22"/>
          <w:szCs w:val="22"/>
        </w:rPr>
        <w:t xml:space="preserve">DummyRegressor</w:t>
      </w:r>
      <w:r>
        <w:rPr>
          <w:rFonts w:ascii="Calibri" w:cs="Calibri" w:eastAsia="Calibri" w:hAnsi="Calibri"/>
          <w:sz w:val="22"/>
          <w:szCs w:val="22"/>
        </w:rPr>
        <w:t xml:space="preserve"> (media del entrenamiento) y </w:t>
      </w:r>
      <w:r>
        <w:rPr>
          <w:rFonts w:ascii="Calibri" w:cs="Calibri" w:eastAsia="Calibri" w:hAnsi="Calibri"/>
          <w:i/>
          <w:iCs/>
          <w:sz w:val="22"/>
          <w:szCs w:val="22"/>
        </w:rPr>
        <w:t xml:space="preserve">DummyClassifier</w:t>
      </w:r>
      <w:r>
        <w:rPr>
          <w:rFonts w:ascii="Calibri" w:cs="Calibri" w:eastAsia="Calibri" w:hAnsi="Calibri"/>
          <w:sz w:val="22"/>
          <w:szCs w:val="22"/>
        </w:rPr>
        <w:t xml:space="preserve"> (clase más frecuente y estratificado). Además, una referencia estacional: la demanda media del entrenamiento para cada combinación de mes, hora y tipo de día. Sirve para saber si el clima aporta algo más que el calendario.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Baseline</w:t>
            </w:r>
          </w:p>
        </w:tc>
        <w:tc>
          <w:tcPr>
            <w:tcW w:type="dxa" w:w="18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MAE valid</w:t>
            </w:r>
          </w:p>
        </w:tc>
        <w:tc>
          <w:tcPr>
            <w:tcW w:type="dxa" w:w="18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MAE test</w:t>
            </w:r>
          </w:p>
        </w:tc>
        <w:tc>
          <w:tcPr>
            <w:tcW w:type="dxa" w:w="18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R² test</w:t>
            </w:r>
          </w:p>
        </w:tc>
      </w:tr>
      <w:tr>
        <w:trPr>
          <w:cantSplit/>
          <w:tblHeader w:val="false"/>
        </w:trPr>
        <w:tc>
          <w:tcPr>
            <w:tcW w:type="dxa" w:w="3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DummyRegressor (media)</w:t>
            </w:r>
          </w:p>
        </w:tc>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931</w:t>
            </w:r>
          </w:p>
        </w:tc>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1.019</w:t>
            </w:r>
          </w:p>
        </w:tc>
        <w:tc>
          <w:tcPr>
            <w:tcW w:type="dxa" w:w="1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-0,001</w:t>
            </w:r>
          </w:p>
        </w:tc>
      </w:tr>
      <w:tr>
        <w:trPr>
          <w:cantSplit/>
          <w:tblHeader w:val="false"/>
        </w:trPr>
        <w:tc>
          <w:tcPr>
            <w:tcW w:type="dxa" w:w="36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Referencia estacional</w:t>
            </w:r>
          </w:p>
        </w:tc>
        <w:tc>
          <w:tcPr>
            <w:tcW w:type="dxa" w:w="1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492</w:t>
            </w:r>
          </w:p>
        </w:tc>
        <w:tc>
          <w:tcPr>
            <w:tcW w:type="dxa" w:w="1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611</w:t>
            </w:r>
          </w:p>
        </w:tc>
        <w:tc>
          <w:tcPr>
            <w:tcW w:type="dxa" w:w="1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0,644</w:t>
            </w:r>
          </w:p>
        </w:tc>
      </w:tr>
    </w:tbl>
    <w:p>
      <w:pPr>
        <w:spacing w:after="120"/>
      </w:pPr>
    </w:p>
    <w:p>
      <w:pPr>
        <w:spacing w:after="120" w:line="276"/>
        <w:jc w:val="both"/>
      </w:pPr>
      <w:r>
        <w:rPr>
          <w:rFonts w:ascii="Calibri" w:cs="Calibri" w:eastAsia="Calibri" w:hAnsi="Calibri"/>
          <w:sz w:val="22"/>
          <w:szCs w:val="22"/>
        </w:rPr>
        <w:t xml:space="preserve">El </w:t>
      </w:r>
      <w:r>
        <w:rPr>
          <w:rFonts w:ascii="Calibri" w:cs="Calibri" w:eastAsia="Calibri" w:hAnsi="Calibri"/>
          <w:i/>
          <w:iCs/>
          <w:sz w:val="22"/>
          <w:szCs w:val="22"/>
        </w:rPr>
        <w:t xml:space="preserve">DummyClassifier</w:t>
      </w:r>
      <w:r>
        <w:rPr>
          <w:rFonts w:ascii="Calibri" w:cs="Calibri" w:eastAsia="Calibri" w:hAnsi="Calibri"/>
          <w:sz w:val="22"/>
          <w:szCs w:val="22"/>
        </w:rPr>
        <w:t xml:space="preserve"> (más frecuente) tiene 86 % de accuracy en prueba sin detectar ningún pico (recall 0): la accuracy engaña con clases desbalanceadas.</w:t>
      </w:r>
    </w:p>
    <w:p>
      <w:pPr>
        <w:pStyle w:val="Heading1"/>
        <w:keepNext/>
      </w:pPr>
      <w:r>
        <w:t xml:space="preserve">5. Regresión</w:t>
      </w:r>
    </w:p>
    <w:p>
      <w:pPr>
        <w:spacing w:after="120" w:line="276"/>
        <w:jc w:val="both"/>
      </w:pPr>
      <w:r>
        <w:rPr>
          <w:rFonts w:ascii="Calibri" w:cs="Calibri" w:eastAsia="Calibri" w:hAnsi="Calibri"/>
          <w:b/>
          <w:bCs/>
          <w:sz w:val="22"/>
          <w:szCs w:val="22"/>
        </w:rPr>
        <w:t xml:space="preserve">Modelos comparados:</w:t>
      </w:r>
      <w:r>
        <w:rPr>
          <w:rFonts w:ascii="Calibri" w:cs="Calibri" w:eastAsia="Calibri" w:hAnsi="Calibri"/>
          <w:sz w:val="22"/>
          <w:szCs w:val="22"/>
        </w:rPr>
        <w:t xml:space="preserve"> </w:t>
      </w:r>
      <w:r>
        <w:rPr>
          <w:rFonts w:ascii="Calibri" w:cs="Calibri" w:eastAsia="Calibri" w:hAnsi="Calibri"/>
          <w:i/>
          <w:iCs/>
          <w:sz w:val="22"/>
          <w:szCs w:val="22"/>
        </w:rPr>
        <w:t xml:space="preserve">DecisionTreeRegressor</w:t>
      </w:r>
      <w:r>
        <w:rPr>
          <w:rFonts w:ascii="Calibri" w:cs="Calibri" w:eastAsia="Calibri" w:hAnsi="Calibri"/>
          <w:sz w:val="22"/>
          <w:szCs w:val="22"/>
        </w:rPr>
        <w:t xml:space="preserve"> (profundidades de 2 a 30) y </w:t>
      </w:r>
      <w:r>
        <w:rPr>
          <w:rFonts w:ascii="Calibri" w:cs="Calibri" w:eastAsia="Calibri" w:hAnsi="Calibri"/>
          <w:i/>
          <w:iCs/>
          <w:sz w:val="22"/>
          <w:szCs w:val="22"/>
        </w:rPr>
        <w:t xml:space="preserve">KNeighborsRegressor</w:t>
      </w:r>
      <w:r>
        <w:rPr>
          <w:rFonts w:ascii="Calibri" w:cs="Calibri" w:eastAsia="Calibri" w:hAnsi="Calibri"/>
          <w:sz w:val="22"/>
          <w:szCs w:val="22"/>
        </w:rPr>
        <w:t xml:space="preserve"> (k de 1 a 100) con </w:t>
      </w:r>
      <w:r>
        <w:rPr>
          <w:rFonts w:ascii="Calibri" w:cs="Calibri" w:eastAsia="Calibri" w:hAnsi="Calibri"/>
          <w:i/>
          <w:iCs/>
          <w:sz w:val="22"/>
          <w:szCs w:val="22"/>
        </w:rPr>
        <w:t xml:space="preserve">StandardScaler</w:t>
      </w:r>
      <w:r>
        <w:rPr>
          <w:rFonts w:ascii="Calibri" w:cs="Calibri" w:eastAsia="Calibri" w:hAnsi="Calibri"/>
          <w:sz w:val="22"/>
          <w:szCs w:val="22"/>
        </w:rPr>
        <w:t xml:space="preserve"> dentro del Pipeline. Todos reciben los 10 predictores crudos y calculan las derivadas dentro del Pipeline. La elección se hizo con el MAE de validación.</w:t>
      </w:r>
    </w:p>
    <w:p>
      <w:pPr>
        <w:keepNext/>
        <w:spacing w:after="120" w:line="276"/>
        <w:jc w:val="both"/>
      </w:pPr>
      <w:r>
        <w:rPr>
          <w:rFonts w:ascii="Calibri" w:cs="Calibri" w:eastAsia="Calibri" w:hAnsi="Calibri"/>
          <w:b/>
          <w:bCs/>
          <w:sz w:val="22"/>
          <w:szCs w:val="22"/>
        </w:rPr>
        <w:t xml:space="preserve">Conjuntos de variables</w:t>
      </w:r>
      <w:r>
        <w:rPr>
          <w:rFonts w:ascii="Calibri" w:cs="Calibri" w:eastAsia="Calibri" w:hAnsi="Calibri"/>
          <w:sz w:val="22"/>
          <w:szCs w:val="22"/>
        </w:rPr>
        <w:t xml:space="preserve"> (MAE de validación, mejor hiperparámetro de cada modelo):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cantSplit/>
          <w:tblHeader/>
        </w:trPr>
        <w:tc>
          <w:tcPr>
            <w:tcW w:type="dxa" w:w="5026"/>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Conjunto de variables</w:t>
            </w:r>
          </w:p>
        </w:tc>
        <w:tc>
          <w:tcPr>
            <w:tcW w:type="dxa" w:w="2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Árbol (MW)</w:t>
            </w:r>
          </w:p>
        </w:tc>
        <w:tc>
          <w:tcPr>
            <w:tcW w:type="dxa" w:w="2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KNN (MW)</w:t>
            </w:r>
          </w:p>
        </w:tc>
      </w:tr>
      <w:tr>
        <w:trPr>
          <w:cantSplit/>
          <w:tblHeader w:val="false"/>
        </w:trPr>
        <w:tc>
          <w:tcPr>
            <w:tcW w:type="dxa" w:w="50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Base con EMAE (11)</w:t>
            </w:r>
          </w:p>
        </w:tc>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449</w:t>
            </w:r>
          </w:p>
        </w:tc>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545</w:t>
            </w:r>
          </w:p>
        </w:tc>
      </w:tr>
      <w:tr>
        <w:trPr>
          <w:cantSplit/>
          <w:tblHeader w:val="false"/>
        </w:trPr>
        <w:tc>
          <w:tcPr>
            <w:tcW w:type="dxa" w:w="50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Base sin EMAE (10)</w:t>
            </w:r>
          </w:p>
        </w:tc>
        <w:tc>
          <w:tcPr>
            <w:tcW w:type="dxa" w:w="2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351</w:t>
            </w:r>
          </w:p>
        </w:tc>
        <w:tc>
          <w:tcPr>
            <w:tcW w:type="dxa" w:w="2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417</w:t>
            </w:r>
          </w:p>
        </w:tc>
      </w:tr>
      <w:tr>
        <w:trPr>
          <w:cantSplit/>
          <w:tblHeader w:val="false"/>
        </w:trPr>
        <w:tc>
          <w:tcPr>
            <w:tcW w:type="dxa" w:w="50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Base + derivadas, con EMAE (16)</w:t>
            </w:r>
          </w:p>
        </w:tc>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387</w:t>
            </w:r>
          </w:p>
        </w:tc>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402</w:t>
            </w:r>
          </w:p>
        </w:tc>
      </w:tr>
      <w:tr>
        <w:trPr>
          <w:cantSplit/>
          <w:tblHeader w:val="false"/>
        </w:trPr>
        <w:tc>
          <w:tcPr>
            <w:tcW w:type="dxa" w:w="50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Base + derivadas, sin EMAE (15)</w:t>
            </w:r>
          </w:p>
        </w:tc>
        <w:tc>
          <w:tcPr>
            <w:tcW w:type="dxa" w:w="2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330</w:t>
            </w:r>
          </w:p>
        </w:tc>
        <w:tc>
          <w:tcPr>
            <w:tcW w:type="dxa" w:w="2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342</w:t>
            </w:r>
          </w:p>
        </w:tc>
      </w:tr>
    </w:tbl>
    <w:p>
      <w:pPr>
        <w:spacing w:after="120"/>
      </w:pPr>
    </w:p>
    <w:p>
      <w:pPr>
        <w:spacing w:after="120" w:line="276"/>
        <w:jc w:val="both"/>
      </w:pPr>
      <w:r>
        <w:rPr>
          <w:rFonts w:ascii="Calibri" w:cs="Calibri" w:eastAsia="Calibri" w:hAnsi="Calibri"/>
          <w:sz w:val="22"/>
          <w:szCs w:val="22"/>
        </w:rPr>
        <w:t xml:space="preserve">Sacar </w:t>
      </w:r>
      <w:r>
        <w:rPr>
          <w:rFonts w:ascii="Calibri" w:cs="Calibri" w:eastAsia="Calibri" w:hAnsi="Calibri"/>
          <w:i/>
          <w:iCs/>
          <w:sz w:val="22"/>
          <w:szCs w:val="22"/>
        </w:rPr>
        <w:t xml:space="preserve">EMAE</w:t>
      </w:r>
      <w:r>
        <w:rPr>
          <w:rFonts w:ascii="Calibri" w:cs="Calibri" w:eastAsia="Calibri" w:hAnsi="Calibri"/>
          <w:sz w:val="22"/>
          <w:szCs w:val="22"/>
        </w:rPr>
        <w:t xml:space="preserve"> mejora el error (es un valor mensual que el modelo usa como identificador de período y no generaliza a 2017) y las derivadas lo reducen todavía más. Se eligió el conjunto de 15 variables (10 crudas más 5 derivadas).</w:t>
      </w:r>
    </w:p>
    <w:p>
      <w:pPr>
        <w:keepNext/>
        <w:spacing w:before="120"/>
        <w:jc w:val="center"/>
      </w:pPr>
      <w:r>
        <w:drawing>
          <wp:inline distT="0" distB="0" distL="0" distR="0">
            <wp:extent cx="5334000" cy="2019300"/>
            <wp:effectExtent t="0" r="0" b="0" l="0"/>
            <wp:docPr id="1" name="figs/fig2.png" descr="figs/fig2.png" title="figs/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19300"/>
                    </a:xfrm>
                    <a:prstGeom prst="rect">
                      <a:avLst/>
                    </a:prstGeom>
                  </pic:spPr>
                </pic:pic>
              </a:graphicData>
            </a:graphic>
          </wp:inline>
        </w:drawing>
      </w:r>
    </w:p>
    <w:p>
      <w:pPr>
        <w:spacing w:after="200" w:before="60"/>
        <w:jc w:val="center"/>
      </w:pPr>
      <w:r>
        <w:rPr>
          <w:rFonts w:ascii="Calibri" w:cs="Calibri" w:eastAsia="Calibri" w:hAnsi="Calibri"/>
          <w:i/>
          <w:iCs/>
          <w:color w:val="475569"/>
          <w:sz w:val="19"/>
          <w:szCs w:val="19"/>
        </w:rPr>
        <w:t xml:space="preserve">Figura 2. MAE de entrenamiento y validación según la profundidad del árbol y el valor de k. Con más profundidad o menos vecinos, el modelo se sobreajusta.</w:t>
      </w:r>
    </w:p>
    <w:p>
      <w:pPr>
        <w:spacing w:after="120" w:line="276"/>
        <w:jc w:val="both"/>
      </w:pPr>
      <w:r>
        <w:rPr>
          <w:rFonts w:ascii="Calibri" w:cs="Calibri" w:eastAsia="Calibri" w:hAnsi="Calibri"/>
          <w:b/>
          <w:bCs/>
          <w:sz w:val="22"/>
          <w:szCs w:val="22"/>
        </w:rPr>
        <w:t xml:space="preserve">Lectura.</w:t>
      </w:r>
      <w:r>
        <w:rPr>
          <w:rFonts w:ascii="Calibri" w:cs="Calibri" w:eastAsia="Calibri" w:hAnsi="Calibri"/>
          <w:sz w:val="22"/>
          <w:szCs w:val="22"/>
        </w:rPr>
        <w:t xml:space="preserve"> El árbol sobreajusta a partir de la profundidad 12 (el error de entrenamiento baja de 243 a 0,4 MW mientras el de validación sube de 330 a 397 MW). KNN con k = 1 memoriza el entrenamiento y con k ≥ 50 se vuelve demasiado suave; el mínimo está en k = 15.</w:t>
      </w:r>
    </w:p>
    <w:p>
      <w:pPr>
        <w:keepNext/>
        <w:spacing w:after="120" w:line="276"/>
        <w:jc w:val="both"/>
      </w:pPr>
      <w:r>
        <w:rPr>
          <w:rFonts w:ascii="Calibri" w:cs="Calibri" w:eastAsia="Calibri" w:hAnsi="Calibri"/>
          <w:b/>
          <w:bCs/>
          <w:sz w:val="22"/>
          <w:szCs w:val="22"/>
        </w:rPr>
        <w:t xml:space="preserve">Comparación contra los baselines</w:t>
      </w:r>
      <w:r>
        <w:rPr>
          <w:rFonts w:ascii="Calibri" w:cs="Calibri" w:eastAsia="Calibri" w:hAnsi="Calibri"/>
          <w:sz w:val="22"/>
          <w:szCs w:val="22"/>
        </w:rPr>
        <w:t xml:space="preserve"> (el modelo se eligió con validación; la prueba se muestra después):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26"/>
        <w:gridCol w:w="1000"/>
        <w:gridCol w:w="1100"/>
        <w:gridCol w:w="1000"/>
        <w:gridCol w:w="1000"/>
        <w:gridCol w:w="1100"/>
        <w:gridCol w:w="1000"/>
      </w:tblGrid>
      <w:tr>
        <w:trPr>
          <w:cantSplit/>
          <w:tblHeader/>
        </w:trPr>
        <w:tc>
          <w:tcPr>
            <w:tcW w:type="dxa" w:w="2826"/>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Modelo</w:t>
            </w:r>
          </w:p>
        </w:tc>
        <w:tc>
          <w:tcPr>
            <w:tcW w:type="dxa" w:w="1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MAE valid</w:t>
            </w:r>
          </w:p>
        </w:tc>
        <w:tc>
          <w:tcPr>
            <w:tcW w:type="dxa" w:w="11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RMSE valid</w:t>
            </w:r>
          </w:p>
        </w:tc>
        <w:tc>
          <w:tcPr>
            <w:tcW w:type="dxa" w:w="1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R² valid</w:t>
            </w:r>
          </w:p>
        </w:tc>
        <w:tc>
          <w:tcPr>
            <w:tcW w:type="dxa" w:w="1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MAE test</w:t>
            </w:r>
          </w:p>
        </w:tc>
        <w:tc>
          <w:tcPr>
            <w:tcW w:type="dxa" w:w="11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RMSE test</w:t>
            </w:r>
          </w:p>
        </w:tc>
        <w:tc>
          <w:tcPr>
            <w:tcW w:type="dxa" w:w="1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R² test</w:t>
            </w:r>
          </w:p>
        </w:tc>
      </w:tr>
      <w:tr>
        <w:trPr>
          <w:cantSplit/>
          <w:tblHeader w:val="false"/>
        </w:trPr>
        <w:tc>
          <w:tcPr>
            <w:tcW w:type="dxa" w:w="28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DummyRegressor (media)</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931</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1.166</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-0,002</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1.019</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1.270</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-0,001</w:t>
            </w:r>
          </w:p>
        </w:tc>
      </w:tr>
      <w:tr>
        <w:trPr>
          <w:cantSplit/>
          <w:tblHeader w:val="false"/>
        </w:trPr>
        <w:tc>
          <w:tcPr>
            <w:tcW w:type="dxa" w:w="28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Referencia estacional</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492</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668</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0,671</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611</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757</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0,644</w:t>
            </w:r>
          </w:p>
        </w:tc>
      </w:tr>
      <w:tr>
        <w:trPr>
          <w:cantSplit/>
          <w:tblHeader w:val="false"/>
        </w:trPr>
        <w:tc>
          <w:tcPr>
            <w:tcW w:type="dxa" w:w="28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DecisionTreeRegressor (prof. 12)</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330</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449</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0,851</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413</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530</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0,825</w:t>
            </w:r>
          </w:p>
        </w:tc>
      </w:tr>
      <w:tr>
        <w:trPr>
          <w:cantSplit/>
          <w:tblHeader w:val="false"/>
        </w:trPr>
        <w:tc>
          <w:tcPr>
            <w:tcW w:type="dxa" w:w="28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KNeighborsRegressor (k=15, escalado)</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341</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461</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0,844</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413</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514</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0,836</w:t>
            </w:r>
          </w:p>
        </w:tc>
      </w:tr>
    </w:tbl>
    <w:p>
      <w:pPr>
        <w:spacing w:after="120"/>
      </w:pPr>
    </w:p>
    <w:p>
      <w:pPr>
        <w:spacing w:after="120" w:line="276"/>
        <w:jc w:val="both"/>
      </w:pPr>
      <w:r>
        <w:rPr>
          <w:rFonts w:ascii="Calibri" w:cs="Calibri" w:eastAsia="Calibri" w:hAnsi="Calibri"/>
          <w:b/>
          <w:bCs/>
          <w:sz w:val="22"/>
          <w:szCs w:val="22"/>
        </w:rPr>
        <w:t xml:space="preserve">Regresor seleccionado: árbol de profundidad 12</w:t>
      </w:r>
      <w:r>
        <w:rPr>
          <w:rFonts w:ascii="Calibri" w:cs="Calibri" w:eastAsia="Calibri" w:hAnsi="Calibri"/>
          <w:sz w:val="22"/>
          <w:szCs w:val="22"/>
        </w:rPr>
        <w:t xml:space="preserve"> (menor MAE de validación, 330 MW). En la prueba, árbol y KNN quedan empatados (413 MW); se mantiene la decisión tomada con validación. Los dos superan a los baselines: el MAE de prueba baja 59 % respecto del </w:t>
      </w:r>
      <w:r>
        <w:rPr>
          <w:rFonts w:ascii="Calibri" w:cs="Calibri" w:eastAsia="Calibri" w:hAnsi="Calibri"/>
          <w:i/>
          <w:iCs/>
          <w:sz w:val="22"/>
          <w:szCs w:val="22"/>
        </w:rPr>
        <w:t xml:space="preserve">DummyRegressor</w:t>
      </w:r>
      <w:r>
        <w:rPr>
          <w:rFonts w:ascii="Calibri" w:cs="Calibri" w:eastAsia="Calibri" w:hAnsi="Calibri"/>
          <w:sz w:val="22"/>
          <w:szCs w:val="22"/>
        </w:rPr>
        <w:t xml:space="preserve"> y 32 % respecto de la referencia estacional, y el R² sube a 0,825.</w:t>
      </w:r>
    </w:p>
    <w:p>
      <w:pPr>
        <w:spacing w:after="120" w:line="276"/>
        <w:jc w:val="both"/>
      </w:pPr>
      <w:r>
        <w:rPr>
          <w:rFonts w:ascii="Calibri" w:cs="Calibri" w:eastAsia="Calibri" w:hAnsi="Calibri"/>
          <w:b/>
          <w:bCs/>
          <w:sz w:val="22"/>
          <w:szCs w:val="22"/>
        </w:rPr>
        <w:t xml:space="preserve">Qué significa el MAE.</w:t>
      </w:r>
      <w:r>
        <w:rPr>
          <w:rFonts w:ascii="Calibri" w:cs="Calibri" w:eastAsia="Calibri" w:hAnsi="Calibri"/>
          <w:sz w:val="22"/>
          <w:szCs w:val="22"/>
        </w:rPr>
        <w:t xml:space="preserve"> En promedio la estimación se desvía 413 MW de la demanda real: el 7,1 % de la demanda media de 2018 y el 5,7 % del umbral. Una hora estimada a menos de unos 400 MW del umbral cae en una zona de incertidumbre.</w:t>
      </w:r>
    </w:p>
    <w:p>
      <w:pPr>
        <w:keepNext/>
        <w:spacing w:before="120"/>
        <w:jc w:val="center"/>
      </w:pPr>
      <w:r>
        <w:drawing>
          <wp:inline distT="0" distB="0" distL="0" distR="0">
            <wp:extent cx="5715000" cy="1714500"/>
            <wp:effectExtent t="0" r="0" b="0" l="0"/>
            <wp:docPr id="1" name="figs/fig3.png" descr="figs/fig3.png" title="figs/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714500"/>
                    </a:xfrm>
                    <a:prstGeom prst="rect">
                      <a:avLst/>
                    </a:prstGeom>
                  </pic:spPr>
                </pic:pic>
              </a:graphicData>
            </a:graphic>
          </wp:inline>
        </w:drawing>
      </w:r>
    </w:p>
    <w:p>
      <w:pPr>
        <w:spacing w:after="200" w:before="60"/>
        <w:jc w:val="center"/>
      </w:pPr>
      <w:r>
        <w:rPr>
          <w:rFonts w:ascii="Calibri" w:cs="Calibri" w:eastAsia="Calibri" w:hAnsi="Calibri"/>
          <w:i/>
          <w:iCs/>
          <w:color w:val="475569"/>
          <w:sz w:val="19"/>
          <w:szCs w:val="19"/>
        </w:rPr>
        <w:t xml:space="preserve">Figura 3. Residuos en la prueba 2018: distribución, residuo contra predicción y error medio por hora.</w:t>
      </w:r>
    </w:p>
    <w:p>
      <w:pPr>
        <w:spacing w:after="120" w:line="276"/>
        <w:jc w:val="both"/>
      </w:pPr>
      <w:r>
        <w:rPr>
          <w:rFonts w:ascii="Calibri" w:cs="Calibri" w:eastAsia="Calibri" w:hAnsi="Calibri"/>
          <w:b/>
          <w:bCs/>
          <w:sz w:val="22"/>
          <w:szCs w:val="22"/>
        </w:rPr>
        <w:t xml:space="preserve">Análisis de residuos y errores importantes.</w:t>
      </w:r>
      <w:r>
        <w:rPr>
          <w:rFonts w:ascii="Calibri" w:cs="Calibri" w:eastAsia="Calibri" w:hAnsi="Calibri"/>
          <w:sz w:val="22"/>
          <w:szCs w:val="22"/>
        </w:rPr>
        <w:t xml:space="preserve"> No hay sesgo global (residuo medio de +16 MW). El error es mayor justo donde importa: en las horas con demanda real sobre el umbral el MAE es de 562 MW y el modelo subestima los picos en promedio 470 MW. Los 10 mayores errores corresponden a 8 días calurosos (28–31 °C) y 2 con 11 °C; en varios el modelo predice un valor muy alto para un día en que la demanda fue mucho menor (por ejemplo, 22/09/2018 a las 15 h: real 4.799 MW y predicho 7.953 MW). Hipótesis a verificar, que los datos no permiten confirmar: días atípicos que el indicador de feriado no marca (puentes, fines de semana largos) y la inercia del calor de días anteriores, que el modelo no ve.</w:t>
      </w:r>
    </w:p>
    <w:p>
      <w:pPr>
        <w:pStyle w:val="Heading1"/>
        <w:keepNext/>
      </w:pPr>
      <w:r>
        <w:t xml:space="preserve">6. Clasificación</w:t>
      </w:r>
    </w:p>
    <w:p>
      <w:pPr>
        <w:spacing w:after="120" w:line="276"/>
        <w:jc w:val="both"/>
      </w:pPr>
      <w:r>
        <w:rPr>
          <w:rFonts w:ascii="Calibri" w:cs="Calibri" w:eastAsia="Calibri" w:hAnsi="Calibri"/>
          <w:b/>
          <w:bCs/>
          <w:sz w:val="22"/>
          <w:szCs w:val="22"/>
        </w:rPr>
        <w:t xml:space="preserve">Esquema de costos.</w:t>
      </w:r>
      <w:r>
        <w:rPr>
          <w:rFonts w:ascii="Calibri" w:cs="Calibri" w:eastAsia="Calibri" w:hAnsi="Calibri"/>
          <w:sz w:val="22"/>
          <w:szCs w:val="22"/>
        </w:rPr>
        <w:t xml:space="preserve"> Unidades relativas: un falso positivo vale 1 y un falso negativo vale 5. El FP tiene un costo acotado (combustible y arranque de unidades de reserva); el FN puede comprometer el suministro (generación de emergencia más cara, riesgo de cortes). El valor 5 es un supuesto del grupo, no un costo real: se analiza su sensibilidad de 1 a 20 y se reemplazaría con los costos reales de reserva y de energía no suministrada.</w:t>
      </w:r>
    </w:p>
    <w:p>
      <w:pPr>
        <w:spacing w:after="120" w:line="276"/>
        <w:jc w:val="both"/>
      </w:pPr>
      <w:r>
        <w:rPr>
          <w:rFonts w:ascii="Calibri" w:cs="Calibri" w:eastAsia="Calibri" w:hAnsi="Calibri"/>
          <w:b/>
          <w:bCs/>
          <w:sz w:val="22"/>
          <w:szCs w:val="22"/>
        </w:rPr>
        <w:t xml:space="preserve">Modelos comparados:</w:t>
      </w:r>
      <w:r>
        <w:rPr>
          <w:rFonts w:ascii="Calibri" w:cs="Calibri" w:eastAsia="Calibri" w:hAnsi="Calibri"/>
          <w:sz w:val="22"/>
          <w:szCs w:val="22"/>
        </w:rPr>
        <w:t xml:space="preserve"> </w:t>
      </w:r>
      <w:r>
        <w:rPr>
          <w:rFonts w:ascii="Calibri" w:cs="Calibri" w:eastAsia="Calibri" w:hAnsi="Calibri"/>
          <w:i/>
          <w:iCs/>
          <w:sz w:val="22"/>
          <w:szCs w:val="22"/>
        </w:rPr>
        <w:t xml:space="preserve">DummyClassifier</w:t>
      </w:r>
      <w:r>
        <w:rPr>
          <w:rFonts w:ascii="Calibri" w:cs="Calibri" w:eastAsia="Calibri" w:hAnsi="Calibri"/>
          <w:sz w:val="22"/>
          <w:szCs w:val="22"/>
        </w:rPr>
        <w:t xml:space="preserve">, </w:t>
      </w:r>
      <w:r>
        <w:rPr>
          <w:rFonts w:ascii="Calibri" w:cs="Calibri" w:eastAsia="Calibri" w:hAnsi="Calibri"/>
          <w:i/>
          <w:iCs/>
          <w:sz w:val="22"/>
          <w:szCs w:val="22"/>
        </w:rPr>
        <w:t xml:space="preserve">DecisionTreeClassifier</w:t>
      </w:r>
      <w:r>
        <w:rPr>
          <w:rFonts w:ascii="Calibri" w:cs="Calibri" w:eastAsia="Calibri" w:hAnsi="Calibri"/>
          <w:sz w:val="22"/>
          <w:szCs w:val="22"/>
        </w:rPr>
        <w:t xml:space="preserve"> (con y sin pesos de clase 1:5), </w:t>
      </w:r>
      <w:r>
        <w:rPr>
          <w:rFonts w:ascii="Calibri" w:cs="Calibri" w:eastAsia="Calibri" w:hAnsi="Calibri"/>
          <w:i/>
          <w:iCs/>
          <w:sz w:val="22"/>
          <w:szCs w:val="22"/>
        </w:rPr>
        <w:t xml:space="preserve">KNeighborsClassifier</w:t>
      </w:r>
      <w:r>
        <w:rPr>
          <w:rFonts w:ascii="Calibri" w:cs="Calibri" w:eastAsia="Calibri" w:hAnsi="Calibri"/>
          <w:sz w:val="22"/>
          <w:szCs w:val="22"/>
        </w:rPr>
        <w:t xml:space="preserve"> con </w:t>
      </w:r>
      <w:r>
        <w:rPr>
          <w:rFonts w:ascii="Calibri" w:cs="Calibri" w:eastAsia="Calibri" w:hAnsi="Calibri"/>
          <w:i/>
          <w:iCs/>
          <w:sz w:val="22"/>
          <w:szCs w:val="22"/>
        </w:rPr>
        <w:t xml:space="preserve">StandardScaler</w:t>
      </w:r>
      <w:r>
        <w:rPr>
          <w:rFonts w:ascii="Calibri" w:cs="Calibri" w:eastAsia="Calibri" w:hAnsi="Calibri"/>
          <w:sz w:val="22"/>
          <w:szCs w:val="22"/>
        </w:rPr>
        <w:t xml:space="preserve"> dentro del Pipeline y </w:t>
      </w:r>
      <w:r>
        <w:rPr>
          <w:rFonts w:ascii="Calibri" w:cs="Calibri" w:eastAsia="Calibri" w:hAnsi="Calibri"/>
          <w:i/>
          <w:iCs/>
          <w:sz w:val="22"/>
          <w:szCs w:val="22"/>
        </w:rPr>
        <w:t xml:space="preserve">GaussianNB</w:t>
      </w:r>
      <w:r>
        <w:rPr>
          <w:rFonts w:ascii="Calibri" w:cs="Calibri" w:eastAsia="Calibri" w:hAnsi="Calibri"/>
          <w:sz w:val="22"/>
          <w:szCs w:val="22"/>
        </w:rPr>
        <w:t xml:space="preserve">. Los hiperparámetros y el modelo final se eligieron por el costo de validación (FP + 5 × FN), con desempate por F1.</w:t>
      </w:r>
    </w:p>
    <w:p>
      <w:pPr>
        <w:keepNext/>
        <w:spacing w:after="120" w:line="276"/>
        <w:jc w:val="both"/>
      </w:pPr>
      <w:r>
        <w:rPr>
          <w:rFonts w:ascii="Calibri" w:cs="Calibri" w:eastAsia="Calibri" w:hAnsi="Calibri"/>
          <w:b/>
          <w:bCs/>
          <w:sz w:val="22"/>
          <w:szCs w:val="22"/>
        </w:rPr>
        <w:t xml:space="preserve">Resultados en la prueba 2018:</w:t>
      </w:r>
    </w:p>
    <w:tbl>
      <w:tblPr>
        <w:tblW w:type="dxa" w:w="8626"/>
        <w:jc w:val="center"/>
        <w:tblBorders>
          <w:top w:val="single" w:color="auto" w:sz="4"/>
          <w:left w:val="single" w:color="auto" w:sz="4"/>
          <w:bottom w:val="single" w:color="auto" w:sz="4"/>
          <w:right w:val="single" w:color="auto" w:sz="4"/>
          <w:insideH w:val="single" w:color="auto" w:sz="4"/>
          <w:insideV w:val="single" w:color="auto" w:sz="4"/>
        </w:tblBorders>
      </w:tblPr>
      <w:tblGrid>
        <w:gridCol w:w="2926"/>
        <w:gridCol w:w="800"/>
        <w:gridCol w:w="800"/>
        <w:gridCol w:w="850"/>
        <w:gridCol w:w="800"/>
        <w:gridCol w:w="650"/>
        <w:gridCol w:w="800"/>
        <w:gridCol w:w="1000"/>
      </w:tblGrid>
      <w:tr>
        <w:trPr>
          <w:cantSplit/>
          <w:tblHeader/>
        </w:trPr>
        <w:tc>
          <w:tcPr>
            <w:tcW w:type="dxa" w:w="2926"/>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Modelo</w:t>
            </w:r>
          </w:p>
        </w:tc>
        <w:tc>
          <w:tcPr>
            <w:tcW w:type="dxa" w:w="8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Acc.</w:t>
            </w:r>
          </w:p>
        </w:tc>
        <w:tc>
          <w:tcPr>
            <w:tcW w:type="dxa" w:w="8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Prec.</w:t>
            </w:r>
          </w:p>
        </w:tc>
        <w:tc>
          <w:tcPr>
            <w:tcW w:type="dxa" w:w="85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Recall</w:t>
            </w:r>
          </w:p>
        </w:tc>
        <w:tc>
          <w:tcPr>
            <w:tcW w:type="dxa" w:w="8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F1</w:t>
            </w:r>
          </w:p>
        </w:tc>
        <w:tc>
          <w:tcPr>
            <w:tcW w:type="dxa" w:w="65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FP</w:t>
            </w:r>
          </w:p>
        </w:tc>
        <w:tc>
          <w:tcPr>
            <w:tcW w:type="dxa" w:w="8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FN</w:t>
            </w:r>
          </w:p>
        </w:tc>
        <w:tc>
          <w:tcPr>
            <w:tcW w:type="dxa" w:w="1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Costo</w:t>
            </w:r>
          </w:p>
        </w:tc>
      </w:tr>
      <w:tr>
        <w:trPr>
          <w:cantSplit/>
          <w:tblHeader w:val="false"/>
        </w:trPr>
        <w:tc>
          <w:tcPr>
            <w:tcW w:type="dxa" w:w="29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DummyClassifier (most_frequent)</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0,861</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0,000</w:t>
            </w:r>
          </w:p>
        </w:tc>
        <w:tc>
          <w:tcPr>
            <w:tcW w:type="dxa" w:w="8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0,000</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0,000</w:t>
            </w:r>
          </w:p>
        </w:tc>
        <w:tc>
          <w:tcPr>
            <w:tcW w:type="dxa" w:w="6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1.222</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6.110</w:t>
            </w:r>
          </w:p>
        </w:tc>
      </w:tr>
      <w:tr>
        <w:trPr>
          <w:cantSplit/>
          <w:tblHeader w:val="false"/>
        </w:trPr>
        <w:tc>
          <w:tcPr>
            <w:tcW w:type="dxa" w:w="29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DummyClassifier (stratified)</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0,792</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0,147</w:t>
            </w:r>
          </w:p>
        </w:tc>
        <w:tc>
          <w:tcPr>
            <w:tcW w:type="dxa" w:w="8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0,102</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0,121</w:t>
            </w:r>
          </w:p>
        </w:tc>
        <w:tc>
          <w:tcPr>
            <w:tcW w:type="dxa" w:w="6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724</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1.097</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6.209</w:t>
            </w:r>
          </w:p>
        </w:tc>
      </w:tr>
      <w:tr>
        <w:trPr>
          <w:cantSplit/>
          <w:tblHeader w:val="false"/>
        </w:trPr>
        <w:tc>
          <w:tcPr>
            <w:tcW w:type="dxa" w:w="29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Referencia estacional + umbral</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0,890</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0,917</w:t>
            </w:r>
          </w:p>
        </w:tc>
        <w:tc>
          <w:tcPr>
            <w:tcW w:type="dxa" w:w="8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0,235</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0,374</w:t>
            </w:r>
          </w:p>
        </w:tc>
        <w:tc>
          <w:tcPr>
            <w:tcW w:type="dxa" w:w="6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26</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935</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4.701</w:t>
            </w:r>
          </w:p>
        </w:tc>
      </w:tr>
      <w:tr>
        <w:trPr>
          <w:cantSplit/>
          <w:tblHeader w:val="false"/>
        </w:trPr>
        <w:tc>
          <w:tcPr>
            <w:tcW w:type="dxa" w:w="29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DecisionTreeClassifier (prof. 8, pesos 1:5)</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0,922</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0,672</w:t>
            </w:r>
          </w:p>
        </w:tc>
        <w:tc>
          <w:tcPr>
            <w:tcW w:type="dxa" w:w="8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0,867</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0,757</w:t>
            </w:r>
          </w:p>
        </w:tc>
        <w:tc>
          <w:tcPr>
            <w:tcW w:type="dxa" w:w="6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517</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162</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1.327</w:t>
            </w:r>
          </w:p>
        </w:tc>
      </w:tr>
      <w:tr>
        <w:trPr>
          <w:cantSplit/>
          <w:tblHeader w:val="false"/>
        </w:trPr>
        <w:tc>
          <w:tcPr>
            <w:tcW w:type="dxa" w:w="29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KNeighborsClassifier (k=15, escalado)</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0,923</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0,827</w:t>
            </w:r>
          </w:p>
        </w:tc>
        <w:tc>
          <w:tcPr>
            <w:tcW w:type="dxa" w:w="8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0,570</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0,675</w:t>
            </w:r>
          </w:p>
        </w:tc>
        <w:tc>
          <w:tcPr>
            <w:tcW w:type="dxa" w:w="6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146</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525</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2.771</w:t>
            </w:r>
          </w:p>
        </w:tc>
      </w:tr>
      <w:tr>
        <w:trPr>
          <w:cantSplit/>
          <w:tblHeader w:val="false"/>
        </w:trPr>
        <w:tc>
          <w:tcPr>
            <w:tcW w:type="dxa" w:w="29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GaussianNB (var_smoothing=1e-09)</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0,870</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0,527</w:t>
            </w:r>
          </w:p>
        </w:tc>
        <w:tc>
          <w:tcPr>
            <w:tcW w:type="dxa" w:w="8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0,642</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0,579</w:t>
            </w:r>
          </w:p>
        </w:tc>
        <w:tc>
          <w:tcPr>
            <w:tcW w:type="dxa" w:w="6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705</w:t>
            </w:r>
          </w:p>
        </w:tc>
        <w:tc>
          <w:tcPr>
            <w:tcW w:type="dxa" w:w="8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437</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2.890</w:t>
            </w:r>
          </w:p>
        </w:tc>
      </w:tr>
    </w:tbl>
    <w:p>
      <w:pPr>
        <w:spacing w:after="120"/>
      </w:pPr>
    </w:p>
    <w:p>
      <w:pPr>
        <w:spacing w:after="120" w:line="276"/>
        <w:jc w:val="both"/>
      </w:pPr>
      <w:r>
        <w:rPr>
          <w:rFonts w:ascii="Calibri" w:cs="Calibri" w:eastAsia="Calibri" w:hAnsi="Calibri"/>
          <w:b/>
          <w:bCs/>
          <w:sz w:val="22"/>
          <w:szCs w:val="22"/>
        </w:rPr>
        <w:t xml:space="preserve">Lectura.</w:t>
      </w:r>
      <w:r>
        <w:rPr>
          <w:rFonts w:ascii="Calibri" w:cs="Calibri" w:eastAsia="Calibri" w:hAnsi="Calibri"/>
          <w:sz w:val="22"/>
          <w:szCs w:val="22"/>
        </w:rPr>
        <w:t xml:space="preserve"> Se eligió el árbol de profundidad 8 con pesos 1:5 (costo de validación 1.116, contra 1.746 del mejor árbol sin pesos). La accuracy engaña: KNN iguala al árbol elegido (0,923 y 0,922) pero deja pasar 525 picos contra 162. KNN es muy preciso pero detecta pocos picos (recall 0,57), porque solo el 10 % de las horas son positivas. GaussianNB es el más débil: asume variables independientes y con forma de campana, y aquí hay variables binarias y circulares. La referencia estacional con umbral tiene precision alta (0,92) pero recall bajo (0,24).</w:t>
      </w:r>
    </w:p>
    <w:p>
      <w:pPr>
        <w:pStyle w:val="Heading1"/>
        <w:keepNext/>
      </w:pPr>
      <w:r>
        <w:t xml:space="preserve">7. Comparación integrada: clasificador directo frente a regresión más umbral</w:t>
      </w:r>
    </w:p>
    <w:p>
      <w:pPr>
        <w:spacing w:after="120" w:line="276"/>
        <w:jc w:val="both"/>
      </w:pPr>
      <w:r>
        <w:rPr>
          <w:rFonts w:ascii="Calibri" w:cs="Calibri" w:eastAsia="Calibri" w:hAnsi="Calibri"/>
          <w:sz w:val="22"/>
          <w:szCs w:val="22"/>
        </w:rPr>
        <w:t xml:space="preserve">Los dos sistemas se evalúan sobre los mismos 8.760 casos de la prueba 2018. El clasificador directo predice la clase; la regresión más umbral alerta si la demanda estimada supera 7.307 MW. Además se probaron dos variantes ajustadas por costo, calibradas solo con validación: un margen de precaución (alertar si la estimación supera 7.307 − 475 MW) y un corte de probabilidad de 0,35.</w:t>
      </w:r>
    </w:p>
    <w:tbl>
      <w:tblPr>
        <w:tblW w:type="dxa" w:w="8426"/>
        <w:jc w:val="center"/>
        <w:tblBorders>
          <w:top w:val="single" w:color="auto" w:sz="4"/>
          <w:left w:val="single" w:color="auto" w:sz="4"/>
          <w:bottom w:val="single" w:color="auto" w:sz="4"/>
          <w:right w:val="single" w:color="auto" w:sz="4"/>
          <w:insideH w:val="single" w:color="auto" w:sz="4"/>
          <w:insideV w:val="single" w:color="auto" w:sz="4"/>
        </w:tblBorders>
      </w:tblPr>
      <w:tblGrid>
        <w:gridCol w:w="2326"/>
        <w:gridCol w:w="1100"/>
        <w:gridCol w:w="1100"/>
        <w:gridCol w:w="850"/>
        <w:gridCol w:w="750"/>
        <w:gridCol w:w="650"/>
        <w:gridCol w:w="650"/>
        <w:gridCol w:w="1000"/>
      </w:tblGrid>
      <w:tr>
        <w:trPr>
          <w:cantSplit/>
          <w:tblHeader/>
        </w:trPr>
        <w:tc>
          <w:tcPr>
            <w:tcW w:type="dxa" w:w="2326"/>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Sistema</w:t>
            </w:r>
          </w:p>
        </w:tc>
        <w:tc>
          <w:tcPr>
            <w:tcW w:type="dxa" w:w="11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Accuracy</w:t>
            </w:r>
          </w:p>
        </w:tc>
        <w:tc>
          <w:tcPr>
            <w:tcW w:type="dxa" w:w="11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Precision</w:t>
            </w:r>
          </w:p>
        </w:tc>
        <w:tc>
          <w:tcPr>
            <w:tcW w:type="dxa" w:w="85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Recall</w:t>
            </w:r>
          </w:p>
        </w:tc>
        <w:tc>
          <w:tcPr>
            <w:tcW w:type="dxa" w:w="75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F1</w:t>
            </w:r>
          </w:p>
        </w:tc>
        <w:tc>
          <w:tcPr>
            <w:tcW w:type="dxa" w:w="65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FP</w:t>
            </w:r>
          </w:p>
        </w:tc>
        <w:tc>
          <w:tcPr>
            <w:tcW w:type="dxa" w:w="65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FN</w:t>
            </w:r>
          </w:p>
        </w:tc>
        <w:tc>
          <w:tcPr>
            <w:tcW w:type="dxa" w:w="1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Costo</w:t>
            </w:r>
          </w:p>
        </w:tc>
      </w:tr>
      <w:tr>
        <w:trPr>
          <w:cantSplit/>
          <w:tblHeader w:val="false"/>
        </w:trPr>
        <w:tc>
          <w:tcPr>
            <w:tcW w:type="dxa" w:w="23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Clasificador directo</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0,922</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0,672</w:t>
            </w:r>
          </w:p>
        </w:tc>
        <w:tc>
          <w:tcPr>
            <w:tcW w:type="dxa" w:w="8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0,867</w:t>
            </w:r>
          </w:p>
        </w:tc>
        <w:tc>
          <w:tcPr>
            <w:tcW w:type="dxa" w:w="7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0,757</w:t>
            </w:r>
          </w:p>
        </w:tc>
        <w:tc>
          <w:tcPr>
            <w:tcW w:type="dxa" w:w="6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517</w:t>
            </w:r>
          </w:p>
        </w:tc>
        <w:tc>
          <w:tcPr>
            <w:tcW w:type="dxa" w:w="6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162</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1.327</w:t>
            </w:r>
          </w:p>
        </w:tc>
      </w:tr>
      <w:tr>
        <w:trPr>
          <w:cantSplit/>
          <w:tblHeader w:val="false"/>
        </w:trPr>
        <w:tc>
          <w:tcPr>
            <w:tcW w:type="dxa" w:w="23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Regresión + umbral</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0,929</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0,812</w:t>
            </w:r>
          </w:p>
        </w:tc>
        <w:tc>
          <w:tcPr>
            <w:tcW w:type="dxa" w:w="8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0,635</w:t>
            </w:r>
          </w:p>
        </w:tc>
        <w:tc>
          <w:tcPr>
            <w:tcW w:type="dxa" w:w="7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0,713</w:t>
            </w:r>
          </w:p>
        </w:tc>
        <w:tc>
          <w:tcPr>
            <w:tcW w:type="dxa" w:w="6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180</w:t>
            </w:r>
          </w:p>
        </w:tc>
        <w:tc>
          <w:tcPr>
            <w:tcW w:type="dxa" w:w="6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446</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2.410</w:t>
            </w:r>
          </w:p>
        </w:tc>
      </w:tr>
      <w:tr>
        <w:trPr>
          <w:cantSplit/>
          <w:tblHeader w:val="false"/>
        </w:trPr>
        <w:tc>
          <w:tcPr>
            <w:tcW w:type="dxa" w:w="23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Regresión + umbral con margen de 475 MW (variante)</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0,921</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0,656</w:t>
            </w:r>
          </w:p>
        </w:tc>
        <w:tc>
          <w:tcPr>
            <w:tcW w:type="dxa" w:w="8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0,908</w:t>
            </w:r>
          </w:p>
        </w:tc>
        <w:tc>
          <w:tcPr>
            <w:tcW w:type="dxa" w:w="7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0,762</w:t>
            </w:r>
          </w:p>
        </w:tc>
        <w:tc>
          <w:tcPr>
            <w:tcW w:type="dxa" w:w="6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582</w:t>
            </w:r>
          </w:p>
        </w:tc>
        <w:tc>
          <w:tcPr>
            <w:tcW w:type="dxa" w:w="65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112</w:t>
            </w:r>
          </w:p>
        </w:tc>
        <w:tc>
          <w:tcPr>
            <w:tcW w:type="dxa" w:w="1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1.142</w:t>
            </w:r>
          </w:p>
        </w:tc>
      </w:tr>
      <w:tr>
        <w:trPr>
          <w:cantSplit/>
          <w:tblHeader w:val="false"/>
        </w:trPr>
        <w:tc>
          <w:tcPr>
            <w:tcW w:type="dxa" w:w="23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Clasificador directo con corte de probabilidad 0,35 (variante)</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0,920</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0,660</w:t>
            </w:r>
          </w:p>
        </w:tc>
        <w:tc>
          <w:tcPr>
            <w:tcW w:type="dxa" w:w="8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0,885</w:t>
            </w:r>
          </w:p>
        </w:tc>
        <w:tc>
          <w:tcPr>
            <w:tcW w:type="dxa" w:w="7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0,756</w:t>
            </w:r>
          </w:p>
        </w:tc>
        <w:tc>
          <w:tcPr>
            <w:tcW w:type="dxa" w:w="6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557</w:t>
            </w:r>
          </w:p>
        </w:tc>
        <w:tc>
          <w:tcPr>
            <w:tcW w:type="dxa" w:w="65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140</w:t>
            </w:r>
          </w:p>
        </w:tc>
        <w:tc>
          <w:tcPr>
            <w:tcW w:type="dxa" w:w="1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1.257</w:t>
            </w:r>
          </w:p>
        </w:tc>
      </w:tr>
    </w:tbl>
    <w:p>
      <w:pPr>
        <w:spacing w:after="120"/>
      </w:pPr>
    </w:p>
    <w:p>
      <w:pPr>
        <w:spacing w:after="120" w:line="276"/>
        <w:jc w:val="both"/>
      </w:pPr>
      <w:r>
        <w:rPr>
          <w:rFonts w:ascii="Calibri" w:cs="Calibri" w:eastAsia="Calibri" w:hAnsi="Calibri"/>
          <w:b/>
          <w:bCs/>
          <w:sz w:val="22"/>
          <w:szCs w:val="22"/>
        </w:rPr>
        <w:t xml:space="preserve">Lectura.</w:t>
      </w:r>
      <w:r>
        <w:rPr>
          <w:rFonts w:ascii="Calibri" w:cs="Calibri" w:eastAsia="Calibri" w:hAnsi="Calibri"/>
          <w:sz w:val="22"/>
          <w:szCs w:val="22"/>
        </w:rPr>
        <w:t xml:space="preserve"> Con costos asimétricos gana el clasificador directo: costo 1.327 contra 2.410 (−45 %). Detecta el 87 % de los picos contra el 64 % de la regresión más umbral, a cambio de más falsos positivos (517 contra 180). La regresión más umbral tiene la mejor accuracy y precision, pero deja sin detectar la mitad de los picos que el directo detecta. Gran parte de su desventaja viene del umbral sin ajustar: con un margen de 475 MW baja el costo a 1.142. Son resultados de un solo año de prueba, así que las diferencias entre variantes no son concluyentes.</w:t>
      </w:r>
    </w:p>
    <w:p>
      <w:pPr>
        <w:keepNext/>
        <w:spacing w:before="120"/>
        <w:jc w:val="center"/>
      </w:pPr>
      <w:r>
        <w:drawing>
          <wp:inline distT="0" distB="0" distL="0" distR="0">
            <wp:extent cx="4953000" cy="2105025"/>
            <wp:effectExtent t="0" r="0" b="0" l="0"/>
            <wp:docPr id="1" name="figs/fig4.png" descr="figs/fig4.png" title="figs/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105025"/>
                    </a:xfrm>
                    <a:prstGeom prst="rect">
                      <a:avLst/>
                    </a:prstGeom>
                  </pic:spPr>
                </pic:pic>
              </a:graphicData>
            </a:graphic>
          </wp:inline>
        </w:drawing>
      </w:r>
    </w:p>
    <w:p>
      <w:pPr>
        <w:spacing w:after="200" w:before="60"/>
        <w:jc w:val="center"/>
      </w:pPr>
      <w:r>
        <w:rPr>
          <w:rFonts w:ascii="Calibri" w:cs="Calibri" w:eastAsia="Calibri" w:hAnsi="Calibri"/>
          <w:i/>
          <w:iCs/>
          <w:color w:val="475569"/>
          <w:sz w:val="19"/>
          <w:szCs w:val="19"/>
        </w:rPr>
        <w:t xml:space="preserve">Figura 4. Matrices de confusión de los dos sistemas en la prueba 2018.</w:t>
      </w:r>
    </w:p>
    <w:p>
      <w:pPr>
        <w:pStyle w:val="Heading2"/>
        <w:keepNext/>
      </w:pPr>
      <w:r>
        <w:t xml:space="preserve">7.1 Sensibilidad al esquema de costos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26"/>
        <w:gridCol w:w="1100"/>
        <w:gridCol w:w="1400"/>
        <w:gridCol w:w="1400"/>
        <w:gridCol w:w="1500"/>
        <w:gridCol w:w="2000"/>
      </w:tblGrid>
      <w:tr>
        <w:trPr>
          <w:cantSplit/>
          <w:tblHeader/>
        </w:trPr>
        <w:tc>
          <w:tcPr>
            <w:tcW w:type="dxa" w:w="1626"/>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FN cuesta N veces un FP</w:t>
            </w:r>
          </w:p>
        </w:tc>
        <w:tc>
          <w:tcPr>
            <w:tcW w:type="dxa" w:w="11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Directo</w:t>
            </w:r>
          </w:p>
        </w:tc>
        <w:tc>
          <w:tcPr>
            <w:tcW w:type="dxa" w:w="14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Regresión + umbral</w:t>
            </w:r>
          </w:p>
        </w:tc>
        <w:tc>
          <w:tcPr>
            <w:tcW w:type="dxa" w:w="14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Regresión + margen</w:t>
            </w:r>
          </w:p>
        </w:tc>
        <w:tc>
          <w:tcPr>
            <w:tcW w:type="dxa" w:w="15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Directo + corte 0,35</w:t>
            </w:r>
          </w:p>
        </w:tc>
        <w:tc>
          <w:tcPr>
            <w:tcW w:type="dxa" w:w="20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Menor costo</w:t>
            </w:r>
          </w:p>
        </w:tc>
      </w:tr>
      <w:tr>
        <w:trPr>
          <w:cantSplit/>
          <w:tblHeader w:val="false"/>
        </w:trPr>
        <w:tc>
          <w:tcPr>
            <w:tcW w:type="dxa" w:w="1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1</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679</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626</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694</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697</w:t>
            </w:r>
          </w:p>
        </w:tc>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Regresión + umbral</w:t>
            </w:r>
          </w:p>
        </w:tc>
      </w:tr>
      <w:tr>
        <w:trPr>
          <w:cantSplit/>
          <w:tblHeader w:val="false"/>
        </w:trPr>
        <w:tc>
          <w:tcPr>
            <w:tcW w:type="dxa" w:w="16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2</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841</w:t>
            </w:r>
          </w:p>
        </w:tc>
        <w:tc>
          <w:tcPr>
            <w:tcW w:type="dxa" w:w="14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1.072</w:t>
            </w:r>
          </w:p>
        </w:tc>
        <w:tc>
          <w:tcPr>
            <w:tcW w:type="dxa" w:w="14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806</w:t>
            </w:r>
          </w:p>
        </w:tc>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837</w:t>
            </w:r>
          </w:p>
        </w:tc>
        <w:tc>
          <w:tcPr>
            <w:tcW w:type="dxa" w:w="2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Regresión + margen</w:t>
            </w:r>
          </w:p>
        </w:tc>
      </w:tr>
      <w:tr>
        <w:trPr>
          <w:cantSplit/>
          <w:tblHeader w:val="false"/>
        </w:trPr>
        <w:tc>
          <w:tcPr>
            <w:tcW w:type="dxa" w:w="1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3</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1.003</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1.518</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918</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977</w:t>
            </w:r>
          </w:p>
        </w:tc>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Regresión + margen</w:t>
            </w:r>
          </w:p>
        </w:tc>
      </w:tr>
      <w:tr>
        <w:trPr>
          <w:cantSplit/>
          <w:tblHeader w:val="false"/>
        </w:trPr>
        <w:tc>
          <w:tcPr>
            <w:tcW w:type="dxa" w:w="16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5</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1.327</w:t>
            </w:r>
          </w:p>
        </w:tc>
        <w:tc>
          <w:tcPr>
            <w:tcW w:type="dxa" w:w="14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2.410</w:t>
            </w:r>
          </w:p>
        </w:tc>
        <w:tc>
          <w:tcPr>
            <w:tcW w:type="dxa" w:w="14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1.142</w:t>
            </w:r>
          </w:p>
        </w:tc>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1.257</w:t>
            </w:r>
          </w:p>
        </w:tc>
        <w:tc>
          <w:tcPr>
            <w:tcW w:type="dxa" w:w="2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Regresión + margen</w:t>
            </w:r>
          </w:p>
        </w:tc>
      </w:tr>
      <w:tr>
        <w:trPr>
          <w:cantSplit/>
          <w:tblHeader w:val="false"/>
        </w:trPr>
        <w:tc>
          <w:tcPr>
            <w:tcW w:type="dxa" w:w="1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10</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2.137</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4.640</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1.702</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1.957</w:t>
            </w:r>
          </w:p>
        </w:tc>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Regresión + margen</w:t>
            </w:r>
          </w:p>
        </w:tc>
      </w:tr>
      <w:tr>
        <w:trPr>
          <w:cantSplit/>
          <w:tblHeader w:val="false"/>
        </w:trPr>
        <w:tc>
          <w:tcPr>
            <w:tcW w:type="dxa" w:w="16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20</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3.757</w:t>
            </w:r>
          </w:p>
        </w:tc>
        <w:tc>
          <w:tcPr>
            <w:tcW w:type="dxa" w:w="14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9.100</w:t>
            </w:r>
          </w:p>
        </w:tc>
        <w:tc>
          <w:tcPr>
            <w:tcW w:type="dxa" w:w="14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2.822</w:t>
            </w:r>
          </w:p>
        </w:tc>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3.357</w:t>
            </w:r>
          </w:p>
        </w:tc>
        <w:tc>
          <w:tcPr>
            <w:tcW w:type="dxa" w:w="20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Regresión + margen</w:t>
            </w:r>
          </w:p>
        </w:tc>
      </w:tr>
    </w:tbl>
    <w:p>
      <w:pPr>
        <w:spacing w:after="120"/>
      </w:pPr>
    </w:p>
    <w:p>
      <w:pPr>
        <w:spacing w:after="120" w:line="276"/>
        <w:jc w:val="both"/>
      </w:pPr>
      <w:r>
        <w:rPr>
          <w:rFonts w:ascii="Calibri" w:cs="Calibri" w:eastAsia="Calibri" w:hAnsi="Calibri"/>
          <w:sz w:val="22"/>
          <w:szCs w:val="22"/>
        </w:rPr>
        <w:t xml:space="preserve">Si un FP y un FN costaran lo mismo, la regresión más umbral sería la de menor costo (626 contra 679). Desde que el FN cuesta el doble, el clasificador directo supera a la regresión más umbral con el umbral fijo; con cocientes de 2 a 20, la variante con margen es la de menor costo. Antes de usar el sistema hay que confirmar con la operación cuánto más grave es un pico no anticipado.</w:t>
      </w:r>
    </w:p>
    <w:p>
      <w:pPr>
        <w:pStyle w:val="Heading2"/>
        <w:keepNext/>
      </w:pPr>
      <w:r>
        <w:t xml:space="preserve">7.2 Casos cercanos al umbral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26"/>
        <w:gridCol w:w="900"/>
        <w:gridCol w:w="1300"/>
        <w:gridCol w:w="1100"/>
        <w:gridCol w:w="1700"/>
        <w:gridCol w:w="1400"/>
      </w:tblGrid>
      <w:tr>
        <w:trPr>
          <w:cantSplit/>
          <w:tblHeader/>
        </w:trPr>
        <w:tc>
          <w:tcPr>
            <w:tcW w:type="dxa" w:w="2626"/>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Distancia de la demanda real al umbral</w:t>
            </w:r>
          </w:p>
        </w:tc>
        <w:tc>
          <w:tcPr>
            <w:tcW w:type="dxa" w:w="9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Horas</w:t>
            </w:r>
          </w:p>
        </w:tc>
        <w:tc>
          <w:tcPr>
            <w:tcW w:type="dxa" w:w="13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Errores directo</w:t>
            </w:r>
          </w:p>
        </w:tc>
        <w:tc>
          <w:tcPr>
            <w:tcW w:type="dxa" w:w="11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 directo</w:t>
            </w:r>
          </w:p>
        </w:tc>
        <w:tc>
          <w:tcPr>
            <w:tcW w:type="dxa" w:w="17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Errores reg. + umbral</w:t>
            </w:r>
          </w:p>
        </w:tc>
        <w:tc>
          <w:tcPr>
            <w:tcW w:type="dxa" w:w="14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 reg. + umbral</w:t>
            </w:r>
          </w:p>
        </w:tc>
      </w:tr>
      <w:tr>
        <w:trPr>
          <w:cantSplit/>
          <w:tblHeader w:val="false"/>
        </w:trPr>
        <w:tc>
          <w:tcPr>
            <w:tcW w:type="dxa" w:w="2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a menos de 300 MW del umbral</w:t>
            </w:r>
          </w:p>
        </w:tc>
        <w:tc>
          <w:tcPr>
            <w:tcW w:type="dxa" w:w="9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712</w:t>
            </w:r>
          </w:p>
        </w:tc>
        <w:tc>
          <w:tcPr>
            <w:tcW w:type="dxa" w:w="1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292</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41,0</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313</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44,0</w:t>
            </w:r>
          </w:p>
        </w:tc>
      </w:tr>
      <w:tr>
        <w:trPr>
          <w:cantSplit/>
          <w:tblHeader w:val="false"/>
        </w:trPr>
        <w:tc>
          <w:tcPr>
            <w:tcW w:type="dxa" w:w="26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entre 300 y 800 MW</w:t>
            </w:r>
          </w:p>
        </w:tc>
        <w:tc>
          <w:tcPr>
            <w:tcW w:type="dxa" w:w="9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1.195</w:t>
            </w:r>
          </w:p>
        </w:tc>
        <w:tc>
          <w:tcPr>
            <w:tcW w:type="dxa" w:w="13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228</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19,1</w:t>
            </w:r>
          </w:p>
        </w:tc>
        <w:tc>
          <w:tcPr>
            <w:tcW w:type="dxa" w:w="17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251</w:t>
            </w:r>
          </w:p>
        </w:tc>
        <w:tc>
          <w:tcPr>
            <w:tcW w:type="dxa" w:w="14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21,0</w:t>
            </w:r>
          </w:p>
        </w:tc>
      </w:tr>
      <w:tr>
        <w:trPr>
          <w:cantSplit/>
          <w:tblHeader w:val="false"/>
        </w:trPr>
        <w:tc>
          <w:tcPr>
            <w:tcW w:type="dxa" w:w="26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a más de 800 MW</w:t>
            </w:r>
          </w:p>
        </w:tc>
        <w:tc>
          <w:tcPr>
            <w:tcW w:type="dxa" w:w="9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6.853</w:t>
            </w:r>
          </w:p>
        </w:tc>
        <w:tc>
          <w:tcPr>
            <w:tcW w:type="dxa" w:w="1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159</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2,3</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62</w:t>
            </w:r>
          </w:p>
        </w:tc>
        <w:tc>
          <w:tcPr>
            <w:tcW w:type="dxa" w:w="14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0,9</w:t>
            </w:r>
          </w:p>
        </w:tc>
      </w:tr>
    </w:tbl>
    <w:p>
      <w:pPr>
        <w:spacing w:after="120"/>
      </w:pPr>
    </w:p>
    <w:p>
      <w:pPr>
        <w:spacing w:after="120" w:line="276"/>
        <w:jc w:val="both"/>
      </w:pPr>
      <w:r>
        <w:rPr>
          <w:rFonts w:ascii="Calibri" w:cs="Calibri" w:eastAsia="Calibri" w:hAnsi="Calibri"/>
          <w:b/>
          <w:bCs/>
          <w:sz w:val="22"/>
          <w:szCs w:val="22"/>
        </w:rPr>
        <w:t xml:space="preserve">Los errores se concentran junto al umbral:</w:t>
      </w:r>
      <w:r>
        <w:rPr>
          <w:rFonts w:ascii="Calibri" w:cs="Calibri" w:eastAsia="Calibri" w:hAnsi="Calibri"/>
          <w:sz w:val="22"/>
          <w:szCs w:val="22"/>
        </w:rPr>
        <w:t xml:space="preserve"> a menos de 300 MW, el 41 % (directo) y el 44 % (regresión más umbral) de las alertas son incorrectas; a más de 800 MW, solo el 2,3 % y el 0,9 %. En 136 de los 626 errores de alerta de la regresión más umbral (22 %), el error numérico era menor o igual al MAE (413 MW); esos casos están en promedio a solo 138 MW del umbral. Los dos sistemas coinciden en 8.089 de 8.760 horas (92,3 %); en los 671 desacuerdos, el directo acierta 309 veces y la regresión más umbral 362.</w:t>
      </w:r>
    </w:p>
    <w:p>
      <w:pPr>
        <w:keepNext/>
        <w:spacing w:before="120"/>
        <w:jc w:val="center"/>
      </w:pPr>
      <w:r>
        <w:drawing>
          <wp:inline distT="0" distB="0" distL="0" distR="0">
            <wp:extent cx="3619500" cy="3228975"/>
            <wp:effectExtent t="0" r="0" b="0" l="0"/>
            <wp:docPr id="1" name="figs/fig5.png" descr="figs/fig5.png" title="figs/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228975"/>
                    </a:xfrm>
                    <a:prstGeom prst="rect">
                      <a:avLst/>
                    </a:prstGeom>
                  </pic:spPr>
                </pic:pic>
              </a:graphicData>
            </a:graphic>
          </wp:inline>
        </w:drawing>
      </w:r>
    </w:p>
    <w:p>
      <w:pPr>
        <w:spacing w:after="200" w:before="60"/>
        <w:jc w:val="center"/>
      </w:pPr>
      <w:r>
        <w:rPr>
          <w:rFonts w:ascii="Calibri" w:cs="Calibri" w:eastAsia="Calibri" w:hAnsi="Calibri"/>
          <w:i/>
          <w:iCs/>
          <w:color w:val="475569"/>
          <w:sz w:val="19"/>
          <w:szCs w:val="19"/>
        </w:rPr>
        <w:t xml:space="preserve">Figura 5. Demanda real contra predicha en la prueba 2018. Las zonas sombreadas son falsos positivos (arriba a la izquierda) y falsos negativos (abajo a la derecha).</w:t>
      </w:r>
    </w:p>
    <w:p>
      <w:pPr>
        <w:pStyle w:val="Heading2"/>
        <w:keepNext/>
      </w:pPr>
      <w:r>
        <w:t xml:space="preserve">7.3 Casos concretos de errores (regresión más umbral)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200"/>
        <w:gridCol w:w="1500"/>
        <w:gridCol w:w="1100"/>
        <w:gridCol w:w="1826"/>
      </w:tblGrid>
      <w:tr>
        <w:trPr>
          <w:cantSplit/>
          <w:tblHeader/>
        </w:trPr>
        <w:tc>
          <w:tcPr>
            <w:tcW w:type="dxa" w:w="15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Tipo</w:t>
            </w:r>
          </w:p>
        </w:tc>
        <w:tc>
          <w:tcPr>
            <w:tcW w:type="dxa" w:w="19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Fecha y hora</w:t>
            </w:r>
          </w:p>
        </w:tc>
        <w:tc>
          <w:tcPr>
            <w:tcW w:type="dxa" w:w="12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Real (MW)</w:t>
            </w:r>
          </w:p>
        </w:tc>
        <w:tc>
          <w:tcPr>
            <w:tcW w:type="dxa" w:w="15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Predicho (MW)</w:t>
            </w:r>
          </w:p>
        </w:tc>
        <w:tc>
          <w:tcPr>
            <w:tcW w:type="dxa" w:w="1100"/>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Temp (°C)</w:t>
            </w:r>
          </w:p>
        </w:tc>
        <w:tc>
          <w:tcPr>
            <w:tcW w:type="dxa" w:w="1826"/>
            <w:tcBorders>
              <w:top w:val="single" w:color="CBD5E1" w:sz="4"/>
              <w:left w:val="single" w:color="CBD5E1" w:sz="4"/>
              <w:bottom w:val="single" w:color="CBD5E1" w:sz="4"/>
              <w:right w:val="single" w:color="CBD5E1" w:sz="4"/>
            </w:tcBorders>
            <w:shd w:fill="0B2A6F"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Real − umbral (MW)</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Falso negativo</w:t>
            </w:r>
          </w:p>
        </w:tc>
        <w:tc>
          <w:tcPr>
            <w:tcW w:type="dxa" w:w="19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2018-01-31 17:00</w:t>
            </w:r>
          </w:p>
        </w:tc>
        <w:tc>
          <w:tcPr>
            <w:tcW w:type="dxa" w:w="1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8.790</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7.204</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31</w:t>
            </w:r>
          </w:p>
        </w:tc>
        <w:tc>
          <w:tcPr>
            <w:tcW w:type="dxa" w:w="18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1.483</w:t>
            </w:r>
          </w:p>
        </w:tc>
      </w:tr>
      <w:tr>
        <w:trPr>
          <w:cantSplit/>
          <w:tblHeader w:val="false"/>
        </w:trPr>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Falso negativo</w:t>
            </w:r>
          </w:p>
        </w:tc>
        <w:tc>
          <w:tcPr>
            <w:tcW w:type="dxa" w:w="19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2018-02-09 00:00</w:t>
            </w:r>
          </w:p>
        </w:tc>
        <w:tc>
          <w:tcPr>
            <w:tcW w:type="dxa" w:w="12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8.717</w:t>
            </w:r>
          </w:p>
        </w:tc>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7.108</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28</w:t>
            </w:r>
          </w:p>
        </w:tc>
        <w:tc>
          <w:tcPr>
            <w:tcW w:type="dxa" w:w="18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1.410</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Falso negativo</w:t>
            </w:r>
          </w:p>
        </w:tc>
        <w:tc>
          <w:tcPr>
            <w:tcW w:type="dxa" w:w="19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2018-01-12 17:00</w:t>
            </w:r>
          </w:p>
        </w:tc>
        <w:tc>
          <w:tcPr>
            <w:tcW w:type="dxa" w:w="1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8.690</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7.199</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30</w:t>
            </w:r>
          </w:p>
        </w:tc>
        <w:tc>
          <w:tcPr>
            <w:tcW w:type="dxa" w:w="18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1.383</w:t>
            </w:r>
          </w:p>
        </w:tc>
      </w:tr>
      <w:tr>
        <w:trPr>
          <w:cantSplit/>
          <w:tblHeader w:val="false"/>
        </w:trPr>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Falso positivo</w:t>
            </w:r>
          </w:p>
        </w:tc>
        <w:tc>
          <w:tcPr>
            <w:tcW w:type="dxa" w:w="19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2018-03-08 16:00</w:t>
            </w:r>
          </w:p>
        </w:tc>
        <w:tc>
          <w:tcPr>
            <w:tcW w:type="dxa" w:w="12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6.837</w:t>
            </w:r>
          </w:p>
        </w:tc>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8.632</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30</w:t>
            </w:r>
          </w:p>
        </w:tc>
        <w:tc>
          <w:tcPr>
            <w:tcW w:type="dxa" w:w="18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-470</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Falso positivo</w:t>
            </w:r>
          </w:p>
        </w:tc>
        <w:tc>
          <w:tcPr>
            <w:tcW w:type="dxa" w:w="19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2018-03-09 12:00</w:t>
            </w:r>
          </w:p>
        </w:tc>
        <w:tc>
          <w:tcPr>
            <w:tcW w:type="dxa" w:w="1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6.931</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8.632</w:t>
            </w:r>
          </w:p>
        </w:tc>
        <w:tc>
          <w:tcPr>
            <w:tcW w:type="dxa" w:w="11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29</w:t>
            </w:r>
          </w:p>
        </w:tc>
        <w:tc>
          <w:tcPr>
            <w:tcW w:type="dxa" w:w="1826"/>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-376</w:t>
            </w:r>
          </w:p>
        </w:tc>
      </w:tr>
      <w:tr>
        <w:trPr>
          <w:cantSplit/>
          <w:tblHeader w:val="false"/>
        </w:trPr>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left"/>
            </w:pPr>
            <w:r>
              <w:rPr>
                <w:rFonts w:ascii="Calibri" w:cs="Calibri" w:eastAsia="Calibri" w:hAnsi="Calibri"/>
                <w:color w:val="1F2937"/>
                <w:sz w:val="20"/>
                <w:szCs w:val="20"/>
              </w:rPr>
              <w:t xml:space="preserve">Falso positivo</w:t>
            </w:r>
          </w:p>
        </w:tc>
        <w:tc>
          <w:tcPr>
            <w:tcW w:type="dxa" w:w="19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2018-03-13 13:00</w:t>
            </w:r>
          </w:p>
        </w:tc>
        <w:tc>
          <w:tcPr>
            <w:tcW w:type="dxa" w:w="12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6.376</w:t>
            </w:r>
          </w:p>
        </w:tc>
        <w:tc>
          <w:tcPr>
            <w:tcW w:type="dxa" w:w="15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8.632</w:t>
            </w:r>
          </w:p>
        </w:tc>
        <w:tc>
          <w:tcPr>
            <w:tcW w:type="dxa" w:w="1100"/>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29</w:t>
            </w:r>
          </w:p>
        </w:tc>
        <w:tc>
          <w:tcPr>
            <w:tcW w:type="dxa" w:w="1826"/>
            <w:tcBorders>
              <w:top w:val="single" w:color="CBD5E1" w:sz="4"/>
              <w:left w:val="single" w:color="CBD5E1" w:sz="4"/>
              <w:bottom w:val="single" w:color="CBD5E1" w:sz="4"/>
              <w:right w:val="single" w:color="CBD5E1" w:sz="4"/>
            </w:tcBorders>
            <w:shd w:fill="F1F5FB" w:val="clear"/>
            <w:tcMar>
              <w:top w:type="dxa" w:w="60"/>
              <w:left w:type="dxa" w:w="100"/>
              <w:bottom w:type="dxa" w:w="60"/>
              <w:right w:type="dxa" w:w="100"/>
            </w:tcMar>
            <w:vAlign w:val="center"/>
          </w:tcPr>
          <w:p>
            <w:pPr>
              <w:jc w:val="center"/>
            </w:pPr>
            <w:r>
              <w:rPr>
                <w:rFonts w:ascii="Calibri" w:cs="Calibri" w:eastAsia="Calibri" w:hAnsi="Calibri"/>
                <w:color w:val="1F2937"/>
                <w:sz w:val="20"/>
                <w:szCs w:val="20"/>
              </w:rPr>
              <w:t xml:space="preserve">-931</w:t>
            </w:r>
          </w:p>
        </w:tc>
      </w:tr>
    </w:tbl>
    <w:p>
      <w:pPr>
        <w:spacing w:after="120"/>
      </w:pPr>
    </w:p>
    <w:p>
      <w:pPr>
        <w:spacing w:after="120" w:line="276"/>
        <w:jc w:val="both"/>
      </w:pPr>
      <w:r>
        <w:rPr>
          <w:rFonts w:ascii="Calibri" w:cs="Calibri" w:eastAsia="Calibri" w:hAnsi="Calibri"/>
          <w:b/>
          <w:bCs/>
          <w:sz w:val="22"/>
          <w:szCs w:val="22"/>
        </w:rPr>
        <w:t xml:space="preserve">Falsos negativos:</w:t>
      </w:r>
      <w:r>
        <w:rPr>
          <w:rFonts w:ascii="Calibri" w:cs="Calibri" w:eastAsia="Calibri" w:hAnsi="Calibri"/>
          <w:sz w:val="22"/>
          <w:szCs w:val="22"/>
        </w:rPr>
        <w:t xml:space="preserve"> días calurosos (28–31 °C) de enero y febrero de 2018 con demandas reales de 8.600 a 8.800 MW; el modelo predijo unos 7.100–7.200 MW, apenas bajo el umbral. Consecuencia: pico sin reserva preparada. </w:t>
      </w:r>
      <w:r>
        <w:rPr>
          <w:rFonts w:ascii="Calibri" w:cs="Calibri" w:eastAsia="Calibri" w:hAnsi="Calibri"/>
          <w:b/>
          <w:bCs/>
          <w:sz w:val="22"/>
          <w:szCs w:val="22"/>
        </w:rPr>
        <w:t xml:space="preserve">Falsos positivos:</w:t>
      </w:r>
      <w:r>
        <w:rPr>
          <w:rFonts w:ascii="Calibri" w:cs="Calibri" w:eastAsia="Calibri" w:hAnsi="Calibri"/>
          <w:sz w:val="22"/>
          <w:szCs w:val="22"/>
        </w:rPr>
        <w:t xml:space="preserve"> días de marzo de 2018 con 29–31 °C en los que el modelo predijo 8.632 MW y la demanda real fue de 6.400 a 6.900 MW. Consecuencia: reserva activada sin necesidad.</w:t>
      </w:r>
    </w:p>
    <w:p>
      <w:pPr>
        <w:pStyle w:val="Heading1"/>
        <w:keepNext/>
      </w:pPr>
      <w:r>
        <w:t xml:space="preserve">8. Respuestas a las preguntas del informe</w:t>
      </w:r>
    </w:p>
    <w:p>
      <w:pPr>
        <w:keepNext/>
        <w:spacing w:after="40" w:before="120"/>
      </w:pPr>
      <w:r>
        <w:rPr>
          <w:rFonts w:ascii="Calibri" w:cs="Calibri" w:eastAsia="Calibri" w:hAnsi="Calibri"/>
          <w:b/>
          <w:bCs/>
          <w:color w:val="0B2A6F"/>
          <w:sz w:val="22"/>
          <w:szCs w:val="22"/>
        </w:rPr>
        <w:t xml:space="preserve">¿El modelo de regresión supera al baseline?</w:t>
      </w:r>
    </w:p>
    <w:p>
      <w:pPr>
        <w:spacing w:after="120" w:line="276"/>
        <w:jc w:val="both"/>
      </w:pPr>
      <w:r>
        <w:rPr>
          <w:rFonts w:ascii="Calibri" w:cs="Calibri" w:eastAsia="Calibri" w:hAnsi="Calibri"/>
          <w:sz w:val="22"/>
          <w:szCs w:val="22"/>
        </w:rPr>
        <w:t xml:space="preserve">Sí. En prueba, MAE de 413 MW contra 1.019 (</w:t>
      </w:r>
      <w:r>
        <w:rPr>
          <w:rFonts w:ascii="Calibri" w:cs="Calibri" w:eastAsia="Calibri" w:hAnsi="Calibri"/>
          <w:i/>
          <w:iCs/>
          <w:sz w:val="22"/>
          <w:szCs w:val="22"/>
        </w:rPr>
        <w:t xml:space="preserve">DummyRegressor</w:t>
      </w:r>
      <w:r>
        <w:rPr>
          <w:rFonts w:ascii="Calibri" w:cs="Calibri" w:eastAsia="Calibri" w:hAnsi="Calibri"/>
          <w:sz w:val="22"/>
          <w:szCs w:val="22"/>
        </w:rPr>
        <w:t xml:space="preserve">) y 611 (referencia estacional); R² de 0,825 contra −0,001 y 0,644.</w:t>
      </w:r>
    </w:p>
    <w:p>
      <w:pPr>
        <w:keepNext/>
        <w:spacing w:after="40" w:before="120"/>
      </w:pPr>
      <w:r>
        <w:rPr>
          <w:rFonts w:ascii="Calibri" w:cs="Calibri" w:eastAsia="Calibri" w:hAnsi="Calibri"/>
          <w:b/>
          <w:bCs/>
          <w:color w:val="0B2A6F"/>
          <w:sz w:val="22"/>
          <w:szCs w:val="22"/>
        </w:rPr>
        <w:t xml:space="preserve">¿Qué significa el MAE en el contexto elegido?</w:t>
      </w:r>
    </w:p>
    <w:p>
      <w:pPr>
        <w:spacing w:after="120" w:line="276"/>
        <w:jc w:val="both"/>
      </w:pPr>
      <w:r>
        <w:rPr>
          <w:rFonts w:ascii="Calibri" w:cs="Calibri" w:eastAsia="Calibri" w:hAnsi="Calibri"/>
          <w:sz w:val="22"/>
          <w:szCs w:val="22"/>
        </w:rPr>
        <w:t xml:space="preserve">En promedio la estimación se desvía 413 MW de la demanda real: el 7,1 % de la demanda media y el 5,7 % del umbral. Es relevante para una alerta cuyo umbral es 7.307 MW.</w:t>
      </w:r>
    </w:p>
    <w:p>
      <w:pPr>
        <w:keepNext/>
        <w:spacing w:after="40" w:before="120"/>
      </w:pPr>
      <w:r>
        <w:rPr>
          <w:rFonts w:ascii="Calibri" w:cs="Calibri" w:eastAsia="Calibri" w:hAnsi="Calibri"/>
          <w:b/>
          <w:bCs/>
          <w:color w:val="0B2A6F"/>
          <w:sz w:val="22"/>
          <w:szCs w:val="22"/>
        </w:rPr>
        <w:t xml:space="preserve">¿Qué modelo detecta mejor los casos críticos?</w:t>
      </w:r>
    </w:p>
    <w:p>
      <w:pPr>
        <w:spacing w:after="120" w:line="276"/>
        <w:jc w:val="both"/>
      </w:pPr>
      <w:r>
        <w:rPr>
          <w:rFonts w:ascii="Calibri" w:cs="Calibri" w:eastAsia="Calibri" w:hAnsi="Calibri"/>
          <w:sz w:val="22"/>
          <w:szCs w:val="22"/>
        </w:rPr>
        <w:t xml:space="preserve">El clasificador directo (árbol de profundidad 8 con pesos 1:5): recall de 0,87. Le siguen </w:t>
      </w:r>
      <w:r>
        <w:rPr>
          <w:rFonts w:ascii="Calibri" w:cs="Calibri" w:eastAsia="Calibri" w:hAnsi="Calibri"/>
          <w:i/>
          <w:iCs/>
          <w:sz w:val="22"/>
          <w:szCs w:val="22"/>
        </w:rPr>
        <w:t xml:space="preserve">GaussianNB</w:t>
      </w:r>
      <w:r>
        <w:rPr>
          <w:rFonts w:ascii="Calibri" w:cs="Calibri" w:eastAsia="Calibri" w:hAnsi="Calibri"/>
          <w:sz w:val="22"/>
          <w:szCs w:val="22"/>
        </w:rPr>
        <w:t xml:space="preserve"> (0,64), la regresión más umbral (0,64), KNN (0,57) y la referencia estacional (0,24).</w:t>
      </w:r>
    </w:p>
    <w:p>
      <w:pPr>
        <w:keepNext/>
        <w:spacing w:after="40" w:before="120"/>
      </w:pPr>
      <w:r>
        <w:rPr>
          <w:rFonts w:ascii="Calibri" w:cs="Calibri" w:eastAsia="Calibri" w:hAnsi="Calibri"/>
          <w:b/>
          <w:bCs/>
          <w:color w:val="0B2A6F"/>
          <w:sz w:val="22"/>
          <w:szCs w:val="22"/>
        </w:rPr>
        <w:t xml:space="preserve">¿Qué errores son más costosos?</w:t>
      </w:r>
    </w:p>
    <w:p>
      <w:pPr>
        <w:spacing w:after="120" w:line="276"/>
        <w:jc w:val="both"/>
      </w:pPr>
      <w:r>
        <w:rPr>
          <w:rFonts w:ascii="Calibri" w:cs="Calibri" w:eastAsia="Calibri" w:hAnsi="Calibri"/>
          <w:sz w:val="22"/>
          <w:szCs w:val="22"/>
        </w:rPr>
        <w:t xml:space="preserve">Los falsos negativos (pico no anticipado), valorados 5 veces más que un falso positivo. Es un supuesto: con costos iguales cambia el orden de los sistemas.</w:t>
      </w:r>
    </w:p>
    <w:p>
      <w:pPr>
        <w:keepNext/>
        <w:spacing w:after="40" w:before="120"/>
      </w:pPr>
      <w:r>
        <w:rPr>
          <w:rFonts w:ascii="Calibri" w:cs="Calibri" w:eastAsia="Calibri" w:hAnsi="Calibri"/>
          <w:b/>
          <w:bCs/>
          <w:color w:val="0B2A6F"/>
          <w:sz w:val="22"/>
          <w:szCs w:val="22"/>
        </w:rPr>
        <w:t xml:space="preserve">¿Qué sucede con los casos cercanos al umbral?</w:t>
      </w:r>
    </w:p>
    <w:p>
      <w:pPr>
        <w:spacing w:after="120" w:line="276"/>
        <w:jc w:val="both"/>
      </w:pPr>
      <w:r>
        <w:rPr>
          <w:rFonts w:ascii="Calibri" w:cs="Calibri" w:eastAsia="Calibri" w:hAnsi="Calibri"/>
          <w:sz w:val="22"/>
          <w:szCs w:val="22"/>
        </w:rPr>
        <w:t xml:space="preserve">Es donde fallan ambos sistemas: 41–44 % de error a menos de 300 MW del umbral y 1–2 % a más de 800 MW.</w:t>
      </w:r>
    </w:p>
    <w:p>
      <w:pPr>
        <w:keepNext/>
        <w:spacing w:after="40" w:before="120"/>
      </w:pPr>
      <w:r>
        <w:rPr>
          <w:rFonts w:ascii="Calibri" w:cs="Calibri" w:eastAsia="Calibri" w:hAnsi="Calibri"/>
          <w:b/>
          <w:bCs/>
          <w:color w:val="0B2A6F"/>
          <w:sz w:val="22"/>
          <w:szCs w:val="22"/>
        </w:rPr>
        <w:t xml:space="preserve">¿Es posible obtener un buen MAE y una mala clasificación?</w:t>
      </w:r>
    </w:p>
    <w:p>
      <w:pPr>
        <w:spacing w:after="120" w:line="276"/>
        <w:jc w:val="both"/>
      </w:pPr>
      <w:r>
        <w:rPr>
          <w:rFonts w:ascii="Calibri" w:cs="Calibri" w:eastAsia="Calibri" w:hAnsi="Calibri"/>
          <w:sz w:val="22"/>
          <w:szCs w:val="22"/>
        </w:rPr>
        <w:t xml:space="preserve">Sí. Con un MAE de 413 MW, la regresión más umbral deja sin detectar el 36 % de los picos, y el 22 % de sus errores de alerta tiene un error numérico menor que el MAE.</w:t>
      </w:r>
    </w:p>
    <w:p>
      <w:pPr>
        <w:keepNext/>
        <w:spacing w:after="40" w:before="120"/>
      </w:pPr>
      <w:r>
        <w:rPr>
          <w:rFonts w:ascii="Calibri" w:cs="Calibri" w:eastAsia="Calibri" w:hAnsi="Calibri"/>
          <w:b/>
          <w:bCs/>
          <w:color w:val="0B2A6F"/>
          <w:sz w:val="22"/>
          <w:szCs w:val="22"/>
        </w:rPr>
        <w:t xml:space="preserve">¿Qué sistema recomendarían y por qué?</w:t>
      </w:r>
    </w:p>
    <w:p>
      <w:pPr>
        <w:spacing w:after="120" w:line="276"/>
        <w:jc w:val="both"/>
      </w:pPr>
      <w:r>
        <w:rPr>
          <w:rFonts w:ascii="Calibri" w:cs="Calibri" w:eastAsia="Calibri" w:hAnsi="Calibri"/>
          <w:sz w:val="22"/>
          <w:szCs w:val="22"/>
        </w:rPr>
        <w:t xml:space="preserve">Con costos 1:5, el clasificador directo como alerta principal: detecta más picos (recall 0,87) y tiene un costo 45 % menor que la regresión más umbral con el umbral fijo. La regresión se usa para informar los MW esperados y como control cruzado: si los sistemas no coinciden, se revisa el caso. La regresión con margen de precaución es una alternativa equivalente que conviene validar con más años de datos.</w:t>
      </w:r>
    </w:p>
    <w:p>
      <w:pPr>
        <w:keepNext/>
        <w:spacing w:after="40" w:before="120"/>
      </w:pPr>
      <w:r>
        <w:rPr>
          <w:rFonts w:ascii="Calibri" w:cs="Calibri" w:eastAsia="Calibri" w:hAnsi="Calibri"/>
          <w:b/>
          <w:bCs/>
          <w:color w:val="0B2A6F"/>
          <w:sz w:val="22"/>
          <w:szCs w:val="22"/>
        </w:rPr>
        <w:t xml:space="preserve">¿En qué situaciones no debería utilizarse la solución?</w:t>
      </w:r>
    </w:p>
    <w:p>
      <w:pPr>
        <w:spacing w:after="120" w:line="276"/>
        <w:jc w:val="both"/>
      </w:pPr>
      <w:r>
        <w:rPr>
          <w:rFonts w:ascii="Calibri" w:cs="Calibri" w:eastAsia="Calibri" w:hAnsi="Calibri"/>
          <w:sz w:val="22"/>
          <w:szCs w:val="22"/>
        </w:rPr>
        <w:t xml:space="preserve">Con datos fuera del rango de entrenamiento; ante días atípicos que el calendario no marca (puentes, eventos, cortes); con pronósticos meteorológicos de mala calidad; para otra región distinta del GBA; si los costos reales de FP y FN son muy distintos de los supuestos; y como único criterio para decidir la seguridad del suministro.</w:t>
      </w:r>
    </w:p>
    <w:p>
      <w:pPr>
        <w:pStyle w:val="Heading1"/>
        <w:keepNext/>
      </w:pPr>
      <w:r>
        <w:t xml:space="preserve">9. Aplicación web y despliegue</w:t>
      </w:r>
    </w:p>
    <w:p>
      <w:pPr>
        <w:spacing w:after="120" w:line="276"/>
        <w:jc w:val="both"/>
      </w:pPr>
      <w:r>
        <w:rPr>
          <w:rFonts w:ascii="Calibri" w:cs="Calibri" w:eastAsia="Calibri" w:hAnsi="Calibri"/>
          <w:sz w:val="22"/>
          <w:szCs w:val="22"/>
        </w:rPr>
        <w:t xml:space="preserve">La aplicación Flask (app.py) permite ingresar un caso (fecha, hora, clima del pronóstico y feriado) y muestra: la demanda estimada en MW, la alerta obtenida desde la regresión, la alerta del clasificador directo con su probabilidad, si los dos sistemas coinciden o discrepan, una interpretación en lenguaje comprensible, avisos cuando el caso está cerca del umbral o fuera del rango de entrenamiento, y las limitaciones.</w:t>
      </w:r>
    </w:p>
    <w:p>
      <w:pPr>
        <w:pStyle w:val="ListParagraph"/>
        <w:numPr>
          <w:ilvl w:val="0"/>
          <w:numId w:val="2"/>
        </w:numPr>
        <w:spacing w:after="60" w:line="276"/>
      </w:pPr>
      <w:r>
        <w:rPr>
          <w:rFonts w:ascii="Calibri" w:cs="Calibri" w:eastAsia="Calibri" w:hAnsi="Calibri"/>
          <w:b/>
          <w:bCs/>
          <w:sz w:val="22"/>
          <w:szCs w:val="22"/>
        </w:rPr>
        <w:t xml:space="preserve">Validación:</w:t>
      </w:r>
      <w:r>
        <w:rPr>
          <w:rFonts w:ascii="Calibri" w:cs="Calibri" w:eastAsia="Calibri" w:hAnsi="Calibri"/>
          <w:sz w:val="22"/>
          <w:szCs w:val="22"/>
        </w:rPr>
        <w:t xml:space="preserve"> todos los campos son obligatorios, numéricos y están dentro de rangos físicos; la fecha debe ser válida y la hora un entero de 0 a 23. Si hay errores se muestran mensajes y no se predice.</w:t>
      </w:r>
    </w:p>
    <w:p>
      <w:pPr>
        <w:pStyle w:val="ListParagraph"/>
        <w:numPr>
          <w:ilvl w:val="0"/>
          <w:numId w:val="2"/>
        </w:numPr>
        <w:spacing w:after="60" w:line="276"/>
      </w:pPr>
      <w:r>
        <w:rPr>
          <w:rFonts w:ascii="Calibri" w:cs="Calibri" w:eastAsia="Calibri" w:hAnsi="Calibri"/>
          <w:b/>
          <w:bCs/>
          <w:sz w:val="22"/>
          <w:szCs w:val="22"/>
        </w:rPr>
        <w:t xml:space="preserve">Seguridad y reproducibilidad:</w:t>
      </w:r>
      <w:r>
        <w:rPr>
          <w:rFonts w:ascii="Calibri" w:cs="Calibri" w:eastAsia="Calibri" w:hAnsi="Calibri"/>
          <w:sz w:val="22"/>
          <w:szCs w:val="22"/>
        </w:rPr>
        <w:t xml:space="preserve"> solo carga los Pipelines guardados en modelos/ con joblib y ejecuta predict; no entrena, no usa base de datos, no tiene credenciales y no acepta archivos joblib o pickle externos.</w:t>
      </w:r>
    </w:p>
    <w:p>
      <w:pPr>
        <w:pStyle w:val="ListParagraph"/>
        <w:numPr>
          <w:ilvl w:val="0"/>
          <w:numId w:val="2"/>
        </w:numPr>
        <w:spacing w:after="60" w:line="276"/>
      </w:pPr>
      <w:r>
        <w:rPr>
          <w:rFonts w:ascii="Calibri" w:cs="Calibri" w:eastAsia="Calibri" w:hAnsi="Calibri"/>
          <w:b/>
          <w:bCs/>
          <w:sz w:val="22"/>
          <w:szCs w:val="22"/>
        </w:rPr>
        <w:t xml:space="preserve">Coherencia con el entrenamiento:</w:t>
      </w:r>
      <w:r>
        <w:rPr>
          <w:rFonts w:ascii="Calibri" w:cs="Calibri" w:eastAsia="Calibri" w:hAnsi="Calibri"/>
          <w:sz w:val="22"/>
          <w:szCs w:val="22"/>
        </w:rPr>
        <w:t xml:space="preserve"> las variables derivadas se calculan dentro del Pipeline (features.py), de modo que la aplicación solo entrega los 10 datos crudos.</w:t>
      </w:r>
    </w:p>
    <w:p>
      <w:pPr>
        <w:pStyle w:val="ListParagraph"/>
        <w:numPr>
          <w:ilvl w:val="0"/>
          <w:numId w:val="2"/>
        </w:numPr>
        <w:spacing w:after="60" w:line="276"/>
      </w:pPr>
      <w:r>
        <w:rPr>
          <w:rFonts w:ascii="Calibri" w:cs="Calibri" w:eastAsia="Calibri" w:hAnsi="Calibri"/>
          <w:b/>
          <w:bCs/>
          <w:sz w:val="22"/>
          <w:szCs w:val="22"/>
        </w:rPr>
        <w:t xml:space="preserve">Despliegue:</w:t>
      </w:r>
      <w:r>
        <w:rPr>
          <w:rFonts w:ascii="Calibri" w:cs="Calibri" w:eastAsia="Calibri" w:hAnsi="Calibri"/>
          <w:sz w:val="22"/>
          <w:szCs w:val="22"/>
        </w:rPr>
        <w:t xml:space="preserve"> Vercel detecta Flask por app.py y toma las dependencias de requirements.txt (Flask, numpy, scikit-learn y joblib con versiones fijas). URL: </w:t>
      </w:r>
      <w:r>
        <w:rPr>
          <w:rFonts w:ascii="Calibri" w:cs="Calibri" w:eastAsia="Calibri" w:hAnsi="Calibri"/>
          <w:sz w:val="22"/>
          <w:szCs w:val="22"/>
          <w:shd w:fill="FFF200" w:color="auto" w:val="clear"/>
        </w:rPr>
        <w:t xml:space="preserve">Pendiente de despliegue</w:t>
      </w:r>
      <w:r>
        <w:rPr>
          <w:rFonts w:ascii="Calibri" w:cs="Calibri" w:eastAsia="Calibri" w:hAnsi="Calibri"/>
          <w:sz w:val="22"/>
          <w:szCs w:val="22"/>
        </w:rPr>
        <w:t xml:space="preserve">. Prueba desde otro dispositivo: </w:t>
      </w:r>
      <w:r>
        <w:rPr>
          <w:rFonts w:ascii="Calibri" w:cs="Calibri" w:eastAsia="Calibri" w:hAnsi="Calibri"/>
          <w:sz w:val="22"/>
          <w:szCs w:val="22"/>
          <w:shd w:fill="FFF200" w:color="auto" w:val="clear"/>
        </w:rPr>
        <w:t xml:space="preserve">Pendiente de prueba desde otro dispositivo</w:t>
      </w:r>
      <w:r>
        <w:rPr>
          <w:rFonts w:ascii="Calibri" w:cs="Calibri" w:eastAsia="Calibri" w:hAnsi="Calibri"/>
          <w:sz w:val="22"/>
          <w:szCs w:val="22"/>
        </w:rPr>
        <w:t xml:space="preserve">.</w:t>
      </w:r>
    </w:p>
    <w:p>
      <w:pPr>
        <w:pStyle w:val="Heading1"/>
        <w:keepNext/>
      </w:pPr>
      <w:r>
        <w:t xml:space="preserve">10. Limitaciones y trabajo futuro</w:t>
      </w:r>
    </w:p>
    <w:p>
      <w:pPr>
        <w:pStyle w:val="ListParagraph"/>
        <w:numPr>
          <w:ilvl w:val="0"/>
          <w:numId w:val="2"/>
        </w:numPr>
        <w:spacing w:after="60" w:line="276"/>
      </w:pPr>
      <w:r>
        <w:rPr>
          <w:rFonts w:ascii="Calibri" w:cs="Calibri" w:eastAsia="Calibri" w:hAnsi="Calibri"/>
          <w:sz w:val="22"/>
          <w:szCs w:val="22"/>
        </w:rPr>
        <w:t xml:space="preserve">Las entradas en producción serían pronósticos meteorológicos; el entrenamiento usó mediciones, así que el error real puede ser mayor.</w:t>
      </w:r>
    </w:p>
    <w:p>
      <w:pPr>
        <w:pStyle w:val="ListParagraph"/>
        <w:numPr>
          <w:ilvl w:val="0"/>
          <w:numId w:val="2"/>
        </w:numPr>
        <w:spacing w:after="60" w:line="276"/>
      </w:pPr>
      <w:r>
        <w:rPr>
          <w:rFonts w:ascii="Calibri" w:cs="Calibri" w:eastAsia="Calibri" w:hAnsi="Calibri"/>
          <w:sz w:val="22"/>
          <w:szCs w:val="22"/>
        </w:rPr>
        <w:t xml:space="preserve">Los datos llegan hasta 2018 y la demanda cambia con el tiempo (2018 tuvo 13,9 % de horas de alta demanda contra 10 % en el entrenamiento); el modelo necesitaría reentrenarse con datos recientes.</w:t>
      </w:r>
    </w:p>
    <w:p>
      <w:pPr>
        <w:pStyle w:val="ListParagraph"/>
        <w:numPr>
          <w:ilvl w:val="0"/>
          <w:numId w:val="2"/>
        </w:numPr>
        <w:spacing w:after="60" w:line="276"/>
      </w:pPr>
      <w:r>
        <w:rPr>
          <w:rFonts w:ascii="Calibri" w:cs="Calibri" w:eastAsia="Calibri" w:hAnsi="Calibri"/>
          <w:sz w:val="22"/>
          <w:szCs w:val="22"/>
        </w:rPr>
        <w:t xml:space="preserve">El esquema de costos 1:5 es un supuesto; debe reemplazarse con costos reales.</w:t>
      </w:r>
    </w:p>
    <w:p>
      <w:pPr>
        <w:pStyle w:val="ListParagraph"/>
        <w:numPr>
          <w:ilvl w:val="0"/>
          <w:numId w:val="2"/>
        </w:numPr>
        <w:spacing w:after="60" w:line="276"/>
      </w:pPr>
      <w:r>
        <w:rPr>
          <w:rFonts w:ascii="Calibri" w:cs="Calibri" w:eastAsia="Calibri" w:hAnsi="Calibri"/>
          <w:sz w:val="22"/>
          <w:szCs w:val="22"/>
        </w:rPr>
        <w:t xml:space="preserve">Los errores más graves ocurren en días atípicos o de calor acumulado que las variables disponibles no capturan. Se podrían probar variables de clima de horas o días previos y un calendario de días no laborables más completo.</w:t>
      </w:r>
    </w:p>
    <w:p>
      <w:pPr>
        <w:pStyle w:val="ListParagraph"/>
        <w:numPr>
          <w:ilvl w:val="0"/>
          <w:numId w:val="2"/>
        </w:numPr>
        <w:spacing w:after="60" w:line="276"/>
      </w:pPr>
      <w:r>
        <w:rPr>
          <w:rFonts w:ascii="Calibri" w:cs="Calibri" w:eastAsia="Calibri" w:hAnsi="Calibri"/>
          <w:sz w:val="22"/>
          <w:szCs w:val="22"/>
        </w:rPr>
        <w:t xml:space="preserve">Las variantes con margen y corte de probabilidad se calibraron con un solo año de validación y se probaron con un solo año; conviene confirmarlas con más datos.</w:t>
      </w:r>
    </w:p>
    <w:p>
      <w:pPr>
        <w:pStyle w:val="ListParagraph"/>
        <w:numPr>
          <w:ilvl w:val="0"/>
          <w:numId w:val="2"/>
        </w:numPr>
        <w:spacing w:after="60" w:line="276"/>
      </w:pPr>
      <w:r>
        <w:rPr>
          <w:rFonts w:ascii="Calibri" w:cs="Calibri" w:eastAsia="Calibri" w:hAnsi="Calibri"/>
          <w:sz w:val="22"/>
          <w:szCs w:val="22"/>
        </w:rPr>
        <w:t xml:space="preserve">Reproducibilidad: el notebook se ejecuta de principio a fin desde notebooks/. Versiones: Python 3.12, numpy 2.4.4, pandas 3.0.2, scikit-learn 1.8.0, matplotlib 3.10.8, joblib 1.5.3. Semilla: 42.</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8"/>
        <w:szCs w:val="18"/>
      </w:rPr>
      <w:t xml:space="preserve">TP Integrador de Aprendizaje Automático · Demanda eléctrica del GBA	Página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tabs>
        <w:tab w:val="right" w:pos="9026"/>
      </w:tabs>
    </w:pPr>
    <w:r>
      <w:drawing>
        <wp:inline distT="0" distB="0" distL="0" distR="0">
          <wp:extent cx="723900" cy="266700"/>
          <wp:effectExtent t="0" r="0" b="0" l="0"/>
          <wp:docPr id="1" name="isfdyt.png" descr="isfdyt.png" title="isfdy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23900" cy="266700"/>
                  </a:xfrm>
                  <a:prstGeom prst="rect">
                    <a:avLst/>
                  </a:prstGeom>
                </pic:spPr>
              </pic:pic>
            </a:graphicData>
          </a:graphic>
        </wp:inline>
      </w:drawing>
    </w:r>
    <w:r>
      <w:t xml:space="preserve">	</w:t>
    </w:r>
    <w:r>
      <w:drawing>
        <wp:inline distT="0" distB="0" distL="0" distR="0">
          <wp:extent cx="390525" cy="285750"/>
          <wp:effectExtent t="0" r="0" b="0" l="0"/>
          <wp:docPr id="1" name="cammesa.png" descr="cammesa.png" title="camm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90525" cy="2857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B2A6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d98d9534b6b091fcf7a7f06920da1c438113de7.png"/><Relationship Id="rId12" Type="http://schemas.openxmlformats.org/officeDocument/2006/relationships/image" Target="media/8a4c189e6b55d8a10584273fc4046eb9b2736423.png"/><Relationship Id="rId13" Type="http://schemas.openxmlformats.org/officeDocument/2006/relationships/image" Target="media/95ebb2334a4e4731ae6aa383b0cdd1efbc97aa59.png"/><Relationship Id="rId14" Type="http://schemas.openxmlformats.org/officeDocument/2006/relationships/image" Target="media/10e5d80417be00ef99fa628713b0d2ffe47f48f7.png"/><Relationship Id="rId15" Type="http://schemas.openxmlformats.org/officeDocument/2006/relationships/image" Target="media/ea7a81c426676075f3266888e68e300537f6fbb6.png"/><Relationship Id="rId16" Type="http://schemas.openxmlformats.org/officeDocument/2006/relationships/image" Target="media/073f76ad0d7bfca75c546f6564035b27be89c9ba.png"/><Relationship Id="rId17" Type="http://schemas.openxmlformats.org/officeDocument/2006/relationships/image" Target="media/40814208a5dd0e5423c5045f5cdfa279f8c9334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98d9534b6b091fcf7a7f06920da1c438113de7.png"/><Relationship Id="rId1" Type="http://schemas.openxmlformats.org/officeDocument/2006/relationships/image" Target="media/8a4c189e6b55d8a10584273fc4046eb9b273642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Demanda eléctrica del GBA</dc:title>
  <dc:creator>Enzo Mellado, Gladys González, Lucas Pardo</dc:creator>
  <cp:lastModifiedBy>Un-named</cp:lastModifiedBy>
  <cp:revision>1</cp:revision>
  <dcterms:created xsi:type="dcterms:W3CDTF">2026-10-21T22:55:32.119Z</dcterms:created>
  <dcterms:modified xsi:type="dcterms:W3CDTF">2026-10-21T22:55:32.120Z</dcterms:modified>
</cp:coreProperties>
</file>

<file path=docProps/custom.xml><?xml version="1.0" encoding="utf-8"?>
<Properties xmlns="http://schemas.openxmlformats.org/officeDocument/2006/custom-properties" xmlns:vt="http://schemas.openxmlformats.org/officeDocument/2006/docPropsVTypes"/>
</file>