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C7A6AD6" w14:textId="6CAF9AA3" w:rsidR="00B00979" w:rsidRPr="00FB6487" w:rsidRDefault="00C77BBA" w:rsidP="00FB6487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FB6487">
        <w:rPr>
          <w:rFonts w:ascii="Arial" w:hAnsi="Arial" w:cs="Arial"/>
          <w:sz w:val="20"/>
          <w:szCs w:val="20"/>
        </w:rPr>
        <w:t>Nombre Alumno: Enzo Romero</w:t>
      </w:r>
    </w:p>
    <w:p w14:paraId="6336A311" w14:textId="5F890BBC" w:rsidR="00C77BBA" w:rsidRPr="00FB6487" w:rsidRDefault="00C77BBA" w:rsidP="00451768">
      <w:pPr>
        <w:tabs>
          <w:tab w:val="left" w:pos="2055"/>
        </w:tabs>
        <w:spacing w:after="0" w:line="240" w:lineRule="auto"/>
        <w:rPr>
          <w:rFonts w:ascii="Arial" w:hAnsi="Arial" w:cs="Arial"/>
          <w:sz w:val="20"/>
          <w:szCs w:val="20"/>
        </w:rPr>
      </w:pPr>
      <w:r w:rsidRPr="00FB6487">
        <w:rPr>
          <w:rFonts w:ascii="Arial" w:hAnsi="Arial" w:cs="Arial"/>
          <w:sz w:val="20"/>
          <w:szCs w:val="20"/>
        </w:rPr>
        <w:t>Nombre Profesor:</w:t>
      </w:r>
      <w:r w:rsidR="00451768" w:rsidRPr="00451768">
        <w:rPr>
          <w:rFonts w:ascii="Arial" w:hAnsi="Arial" w:cs="Arial"/>
          <w:b/>
          <w:bCs/>
          <w:sz w:val="20"/>
          <w:szCs w:val="20"/>
        </w:rPr>
        <w:t>Yanina Medina – Andrea Lezcano Airaldi - Matías Mascazzini</w:t>
      </w:r>
    </w:p>
    <w:p w14:paraId="322B9164" w14:textId="7B4B9D27" w:rsidR="00C77BBA" w:rsidRPr="00FB6487" w:rsidRDefault="00C77BBA" w:rsidP="00FB6487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FB6487">
        <w:rPr>
          <w:rFonts w:ascii="Arial" w:hAnsi="Arial" w:cs="Arial"/>
          <w:sz w:val="20"/>
          <w:szCs w:val="20"/>
        </w:rPr>
        <w:t>Grupo Laboratorio: Comisión 2.</w:t>
      </w:r>
    </w:p>
    <w:p w14:paraId="3BC6F518" w14:textId="49D1F9A6" w:rsidR="00C77BBA" w:rsidRPr="00FB6487" w:rsidRDefault="00C77BBA" w:rsidP="00FB6487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FB6487">
        <w:rPr>
          <w:rFonts w:ascii="Arial" w:hAnsi="Arial" w:cs="Arial"/>
          <w:sz w:val="20"/>
          <w:szCs w:val="20"/>
        </w:rPr>
        <w:t>DNI:41948148.</w:t>
      </w:r>
    </w:p>
    <w:p w14:paraId="52EC31EC" w14:textId="36AA4043" w:rsidR="00C77BBA" w:rsidRPr="00FB6487" w:rsidRDefault="00C77BBA" w:rsidP="00FB6487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FB6487">
        <w:rPr>
          <w:rFonts w:ascii="Arial" w:hAnsi="Arial" w:cs="Arial"/>
          <w:sz w:val="20"/>
          <w:szCs w:val="20"/>
        </w:rPr>
        <w:t>TP: Trabajo Practico N°2.</w:t>
      </w:r>
    </w:p>
    <w:p w14:paraId="279239E0" w14:textId="616E2536" w:rsidR="00C77BBA" w:rsidRPr="00FB6487" w:rsidRDefault="00C77BBA" w:rsidP="00FB6487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FB6487">
        <w:rPr>
          <w:rFonts w:ascii="Arial" w:hAnsi="Arial" w:cs="Arial"/>
          <w:sz w:val="20"/>
          <w:szCs w:val="20"/>
        </w:rPr>
        <w:t>Fecha de Entrega: Domingo 23/08/26.</w:t>
      </w:r>
    </w:p>
    <w:p w14:paraId="1922811C" w14:textId="1319F323" w:rsidR="00C77BBA" w:rsidRPr="00FB6487" w:rsidRDefault="00C77BBA" w:rsidP="00FB6487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FB6487">
        <w:rPr>
          <w:rFonts w:ascii="Arial" w:hAnsi="Arial" w:cs="Arial"/>
          <w:sz w:val="20"/>
          <w:szCs w:val="20"/>
        </w:rPr>
        <w:t>Informe d Fundamentación Teórica y Meta-Análisis.</w:t>
      </w:r>
    </w:p>
    <w:p w14:paraId="6819BD7C" w14:textId="052B50CA" w:rsidR="00C77BBA" w:rsidRPr="00FB6487" w:rsidRDefault="00C77BBA" w:rsidP="00FB6487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FB6487">
        <w:rPr>
          <w:rFonts w:ascii="Arial" w:hAnsi="Arial" w:cs="Arial"/>
          <w:sz w:val="20"/>
          <w:szCs w:val="20"/>
        </w:rPr>
        <w:t>1)Introducción y objetivos:</w:t>
      </w:r>
    </w:p>
    <w:p w14:paraId="4DB51BBD" w14:textId="1E07F935" w:rsidR="00C77BBA" w:rsidRPr="00FB6487" w:rsidRDefault="00C77BBA" w:rsidP="00FB6487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FB6487">
        <w:rPr>
          <w:rFonts w:ascii="Arial" w:hAnsi="Arial" w:cs="Arial"/>
          <w:sz w:val="20"/>
          <w:szCs w:val="20"/>
        </w:rPr>
        <w:tab/>
        <w:t xml:space="preserve">El presente informe tiene como propósito fundamentar la aplicación de los   conceptos teóricas del paradigma Orientado a Objetos desarrollados durante la resolución de la serie de ejercicios del TP N°2 a lo largo de la práctica se buscó aplicar los </w:t>
      </w:r>
      <w:r w:rsidR="00FB6487" w:rsidRPr="00FB6487">
        <w:rPr>
          <w:rFonts w:ascii="Arial" w:hAnsi="Arial" w:cs="Arial"/>
          <w:sz w:val="20"/>
          <w:szCs w:val="20"/>
        </w:rPr>
        <w:t>conceptos abstrayendo</w:t>
      </w:r>
      <w:r w:rsidRPr="00FB6487">
        <w:rPr>
          <w:rFonts w:ascii="Arial" w:hAnsi="Arial" w:cs="Arial"/>
          <w:sz w:val="20"/>
          <w:szCs w:val="20"/>
        </w:rPr>
        <w:t xml:space="preserve"> entidades del mundo real, modelando sus estados y comportamientos y garantizar un diseño de código mantenible, seguro y reutilizable.</w:t>
      </w:r>
    </w:p>
    <w:p w14:paraId="1604ACD6" w14:textId="6B1F567C" w:rsidR="00C77BBA" w:rsidRPr="00FB6487" w:rsidRDefault="00C77BBA" w:rsidP="00FB6487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FB6487">
        <w:rPr>
          <w:rFonts w:ascii="Arial" w:hAnsi="Arial" w:cs="Arial"/>
          <w:sz w:val="20"/>
          <w:szCs w:val="20"/>
        </w:rPr>
        <w:t xml:space="preserve">2). Fundamentación de Conceptos Teóricos y Ejemplos de Aplicación </w:t>
      </w:r>
    </w:p>
    <w:p w14:paraId="1A9123DB" w14:textId="258D1D9A" w:rsidR="00C77BBA" w:rsidRPr="00FB6487" w:rsidRDefault="00C77BBA" w:rsidP="00FB6487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FB6487">
        <w:rPr>
          <w:rFonts w:ascii="Arial" w:hAnsi="Arial" w:cs="Arial"/>
          <w:sz w:val="20"/>
          <w:szCs w:val="20"/>
        </w:rPr>
        <w:tab/>
        <w:t>-</w:t>
      </w:r>
      <w:r w:rsidR="00FB6487" w:rsidRPr="00FB6487">
        <w:rPr>
          <w:rFonts w:ascii="Arial" w:hAnsi="Arial" w:cs="Arial"/>
          <w:sz w:val="20"/>
          <w:szCs w:val="20"/>
        </w:rPr>
        <w:t>Abstracción:</w:t>
      </w:r>
      <w:r w:rsidRPr="00FB6487">
        <w:rPr>
          <w:rFonts w:ascii="Arial" w:hAnsi="Arial" w:cs="Arial"/>
          <w:sz w:val="20"/>
          <w:szCs w:val="20"/>
        </w:rPr>
        <w:t xml:space="preserve"> Consiste en identificar las </w:t>
      </w:r>
      <w:r w:rsidR="00F403DC" w:rsidRPr="00FB6487">
        <w:rPr>
          <w:rFonts w:ascii="Arial" w:hAnsi="Arial" w:cs="Arial"/>
          <w:sz w:val="20"/>
          <w:szCs w:val="20"/>
        </w:rPr>
        <w:t>características</w:t>
      </w:r>
      <w:r w:rsidRPr="00FB6487">
        <w:rPr>
          <w:rFonts w:ascii="Arial" w:hAnsi="Arial" w:cs="Arial"/>
          <w:sz w:val="20"/>
          <w:szCs w:val="20"/>
        </w:rPr>
        <w:t xml:space="preserve"> y </w:t>
      </w:r>
      <w:r w:rsidR="00F403DC" w:rsidRPr="00FB6487">
        <w:rPr>
          <w:rFonts w:ascii="Arial" w:hAnsi="Arial" w:cs="Arial"/>
          <w:sz w:val="20"/>
          <w:szCs w:val="20"/>
        </w:rPr>
        <w:t>comportamientos</w:t>
      </w:r>
      <w:r w:rsidRPr="00FB6487">
        <w:rPr>
          <w:rFonts w:ascii="Arial" w:hAnsi="Arial" w:cs="Arial"/>
          <w:sz w:val="20"/>
          <w:szCs w:val="20"/>
        </w:rPr>
        <w:t xml:space="preserve"> esenciales de un objetivo del mundo real, descartando los detalles irrelevantes para el problema a resolver. En el ejercicio de la clase “Persona”</w:t>
      </w:r>
      <w:r w:rsidR="00F403DC" w:rsidRPr="00FB6487">
        <w:rPr>
          <w:rFonts w:ascii="Arial" w:hAnsi="Arial" w:cs="Arial"/>
          <w:sz w:val="20"/>
          <w:szCs w:val="20"/>
        </w:rPr>
        <w:t>, se abstrajeron únicamente las propiedades necesarias para la gestión de datos Básicos y el calculo de la edad ( nrodni, nombre, apellido, anioNacimiento) , dejando de lado otros atributos no necesarios como la dirección teléfono o redes sociales etc.</w:t>
      </w:r>
    </w:p>
    <w:p w14:paraId="71DCB95B" w14:textId="665CE5DD" w:rsidR="00F403DC" w:rsidRPr="00FB6487" w:rsidRDefault="00F403DC" w:rsidP="00FB6487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FB6487">
        <w:rPr>
          <w:rFonts w:ascii="Arial" w:hAnsi="Arial" w:cs="Arial"/>
          <w:sz w:val="20"/>
          <w:szCs w:val="20"/>
        </w:rPr>
        <w:tab/>
        <w:t xml:space="preserve">- Encapsulamiento y ocultamiento de la información : Es el principio </w:t>
      </w:r>
      <w:r w:rsidR="00FB6487" w:rsidRPr="00FB6487">
        <w:rPr>
          <w:rFonts w:ascii="Arial" w:hAnsi="Arial" w:cs="Arial"/>
          <w:sz w:val="20"/>
          <w:szCs w:val="20"/>
        </w:rPr>
        <w:t>mediante</w:t>
      </w:r>
      <w:r w:rsidRPr="00FB6487">
        <w:rPr>
          <w:rFonts w:ascii="Arial" w:hAnsi="Arial" w:cs="Arial"/>
          <w:sz w:val="20"/>
          <w:szCs w:val="20"/>
        </w:rPr>
        <w:t xml:space="preserve"> el cual se restringe el acceso directo al estado interno de un objeto , protegiéndolo de modificaciones indebidas desde el exterior. Esto se logra definiendo los atributos de las clases modelo con el modificador de </w:t>
      </w:r>
      <w:r w:rsidR="00FB6487" w:rsidRPr="00FB6487">
        <w:rPr>
          <w:rFonts w:ascii="Arial" w:hAnsi="Arial" w:cs="Arial"/>
          <w:sz w:val="20"/>
          <w:szCs w:val="20"/>
        </w:rPr>
        <w:t>visibilidad</w:t>
      </w:r>
      <w:r w:rsidRPr="00FB6487">
        <w:rPr>
          <w:rFonts w:ascii="Arial" w:hAnsi="Arial" w:cs="Arial"/>
          <w:sz w:val="20"/>
          <w:szCs w:val="20"/>
        </w:rPr>
        <w:t xml:space="preserve"> “private”. Por ejemplo , en la clase Empleado , el atributo “ sueldoBasico ”es privada , impidiendo que en una clase externa altere directamente su monto sin pasar por la lógica del sistema .</w:t>
      </w:r>
    </w:p>
    <w:p w14:paraId="795707DD" w14:textId="3DF6238C" w:rsidR="008435F1" w:rsidRPr="00FB6487" w:rsidRDefault="008435F1" w:rsidP="00FB6487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FB6487">
        <w:rPr>
          <w:rFonts w:ascii="Arial" w:hAnsi="Arial" w:cs="Arial"/>
          <w:noProof/>
          <w:sz w:val="20"/>
          <w:szCs w:val="20"/>
        </w:rPr>
        <w:drawing>
          <wp:inline distT="0" distB="0" distL="0" distR="0" wp14:anchorId="26BE8C26" wp14:editId="164586F5">
            <wp:extent cx="5400040" cy="809625"/>
            <wp:effectExtent l="0" t="0" r="0" b="9525"/>
            <wp:docPr id="96121953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1219533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809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DB65CF" w14:textId="2C9D337D" w:rsidR="00F403DC" w:rsidRPr="00FB6487" w:rsidRDefault="00F403DC" w:rsidP="00FB6487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FB6487">
        <w:rPr>
          <w:rFonts w:ascii="Arial" w:hAnsi="Arial" w:cs="Arial"/>
          <w:sz w:val="20"/>
          <w:szCs w:val="20"/>
        </w:rPr>
        <w:tab/>
        <w:t xml:space="preserve">-Doble Encapsulamiento y la Autorreferencia this: Esta técnica extiende el encapsulamiento al ámbito </w:t>
      </w:r>
      <w:r w:rsidR="00FB6487" w:rsidRPr="00FB6487">
        <w:rPr>
          <w:rFonts w:ascii="Arial" w:hAnsi="Arial" w:cs="Arial"/>
          <w:sz w:val="20"/>
          <w:szCs w:val="20"/>
        </w:rPr>
        <w:t>interno</w:t>
      </w:r>
      <w:r w:rsidRPr="00FB6487">
        <w:rPr>
          <w:rFonts w:ascii="Arial" w:hAnsi="Arial" w:cs="Arial"/>
          <w:sz w:val="20"/>
          <w:szCs w:val="20"/>
        </w:rPr>
        <w:t xml:space="preserve"> de la propia clase , forzando a que los métodos de la entidad no accedan de </w:t>
      </w:r>
      <w:r w:rsidR="00FB6487" w:rsidRPr="00FB6487">
        <w:rPr>
          <w:rFonts w:ascii="Arial" w:hAnsi="Arial" w:cs="Arial"/>
          <w:sz w:val="20"/>
          <w:szCs w:val="20"/>
        </w:rPr>
        <w:t>forma</w:t>
      </w:r>
      <w:r w:rsidRPr="00FB6487">
        <w:rPr>
          <w:rFonts w:ascii="Arial" w:hAnsi="Arial" w:cs="Arial"/>
          <w:sz w:val="20"/>
          <w:szCs w:val="20"/>
        </w:rPr>
        <w:t xml:space="preserve"> directa a las variables de instancia , sino a través de sus correspondientes métodos mutadores ( Setters) y observadores(geetters) . En el método edad() de la case persona , en lugar de operar directamente con el atributo anioNacimiento , se invoca la función observadora this.getAnioNacimiento() la palabra reservada this actúa como una referencia </w:t>
      </w:r>
      <w:r w:rsidR="00FB6487" w:rsidRPr="00FB6487">
        <w:rPr>
          <w:rFonts w:ascii="Arial" w:hAnsi="Arial" w:cs="Arial"/>
          <w:sz w:val="20"/>
          <w:szCs w:val="20"/>
        </w:rPr>
        <w:t>explica</w:t>
      </w:r>
      <w:r w:rsidRPr="00FB6487">
        <w:rPr>
          <w:rFonts w:ascii="Arial" w:hAnsi="Arial" w:cs="Arial"/>
          <w:sz w:val="20"/>
          <w:szCs w:val="20"/>
        </w:rPr>
        <w:t xml:space="preserve"> al objeto actual que </w:t>
      </w:r>
      <w:r w:rsidR="00FB6487" w:rsidRPr="00FB6487">
        <w:rPr>
          <w:rFonts w:ascii="Arial" w:hAnsi="Arial" w:cs="Arial"/>
          <w:sz w:val="20"/>
          <w:szCs w:val="20"/>
        </w:rPr>
        <w:t>ejecuta</w:t>
      </w:r>
      <w:r w:rsidRPr="00FB6487">
        <w:rPr>
          <w:rFonts w:ascii="Arial" w:hAnsi="Arial" w:cs="Arial"/>
          <w:sz w:val="20"/>
          <w:szCs w:val="20"/>
        </w:rPr>
        <w:t xml:space="preserve"> el mensaje.</w:t>
      </w:r>
    </w:p>
    <w:p w14:paraId="158D7037" w14:textId="0B9DF0AB" w:rsidR="00F403DC" w:rsidRPr="00FB6487" w:rsidRDefault="00F403DC" w:rsidP="00FB6487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FB6487">
        <w:rPr>
          <w:rFonts w:ascii="Arial" w:hAnsi="Arial" w:cs="Arial"/>
          <w:noProof/>
          <w:sz w:val="20"/>
          <w:szCs w:val="20"/>
        </w:rPr>
        <w:drawing>
          <wp:inline distT="0" distB="0" distL="0" distR="0" wp14:anchorId="4526914F" wp14:editId="4F693DF3">
            <wp:extent cx="5400040" cy="583565"/>
            <wp:effectExtent l="0" t="0" r="0" b="6985"/>
            <wp:docPr id="106520615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5206157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5835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59E16D" w14:textId="3A386605" w:rsidR="008435F1" w:rsidRPr="00FB6487" w:rsidRDefault="008435F1" w:rsidP="00FB6487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FB6487">
        <w:rPr>
          <w:rFonts w:ascii="Arial" w:hAnsi="Arial" w:cs="Arial"/>
          <w:sz w:val="20"/>
          <w:szCs w:val="20"/>
        </w:rPr>
        <w:tab/>
        <w:t xml:space="preserve">-Sobrecarga de Constructores : la </w:t>
      </w:r>
      <w:r w:rsidR="00FB6487" w:rsidRPr="00FB6487">
        <w:rPr>
          <w:rFonts w:ascii="Arial" w:hAnsi="Arial" w:cs="Arial"/>
          <w:sz w:val="20"/>
          <w:szCs w:val="20"/>
        </w:rPr>
        <w:t>sobrecarga</w:t>
      </w:r>
      <w:r w:rsidRPr="00FB6487">
        <w:rPr>
          <w:rFonts w:ascii="Arial" w:hAnsi="Arial" w:cs="Arial"/>
          <w:sz w:val="20"/>
          <w:szCs w:val="20"/>
        </w:rPr>
        <w:t xml:space="preserve"> permite definir </w:t>
      </w:r>
      <w:r w:rsidR="00FB6487" w:rsidRPr="00FB6487">
        <w:rPr>
          <w:rFonts w:ascii="Arial" w:hAnsi="Arial" w:cs="Arial"/>
          <w:sz w:val="20"/>
          <w:szCs w:val="20"/>
        </w:rPr>
        <w:t>múltiples</w:t>
      </w:r>
      <w:r w:rsidRPr="00FB6487">
        <w:rPr>
          <w:rFonts w:ascii="Arial" w:hAnsi="Arial" w:cs="Arial"/>
          <w:sz w:val="20"/>
          <w:szCs w:val="20"/>
        </w:rPr>
        <w:t xml:space="preserve"> constructores para una misma clase, diferenciados por su firma (cantidad o tipo de parámetros). En la clase “Punto”, se implementaron dos constructores: uno por defecto punto (), que inicializa las </w:t>
      </w:r>
      <w:r w:rsidR="00FB6487" w:rsidRPr="00FB6487">
        <w:rPr>
          <w:rFonts w:ascii="Arial" w:hAnsi="Arial" w:cs="Arial"/>
          <w:sz w:val="20"/>
          <w:szCs w:val="20"/>
        </w:rPr>
        <w:t>coordenadas</w:t>
      </w:r>
      <w:r w:rsidRPr="00FB6487">
        <w:rPr>
          <w:rFonts w:ascii="Arial" w:hAnsi="Arial" w:cs="Arial"/>
          <w:sz w:val="20"/>
          <w:szCs w:val="20"/>
        </w:rPr>
        <w:t xml:space="preserve"> en el origen(0,0) y el otro explicito punto (p_x ,p_Y), que sitúa el objeto en coordenadas </w:t>
      </w:r>
      <w:r w:rsidR="00FB6487" w:rsidRPr="00FB6487">
        <w:rPr>
          <w:rFonts w:ascii="Arial" w:hAnsi="Arial" w:cs="Arial"/>
          <w:sz w:val="20"/>
          <w:szCs w:val="20"/>
        </w:rPr>
        <w:t>específicas</w:t>
      </w:r>
      <w:r w:rsidRPr="00FB6487">
        <w:rPr>
          <w:rFonts w:ascii="Arial" w:hAnsi="Arial" w:cs="Arial"/>
          <w:sz w:val="20"/>
          <w:szCs w:val="20"/>
        </w:rPr>
        <w:t xml:space="preserve"> provistas por el usuario.</w:t>
      </w:r>
    </w:p>
    <w:p w14:paraId="0D21BDF1" w14:textId="60D2B66A" w:rsidR="008435F1" w:rsidRPr="00FB6487" w:rsidRDefault="008435F1" w:rsidP="00FB6487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FB6487">
        <w:rPr>
          <w:rFonts w:ascii="Arial" w:hAnsi="Arial" w:cs="Arial"/>
          <w:noProof/>
          <w:sz w:val="20"/>
          <w:szCs w:val="20"/>
        </w:rPr>
        <w:drawing>
          <wp:inline distT="0" distB="0" distL="0" distR="0" wp14:anchorId="0EACD9D3" wp14:editId="2F16AFA1">
            <wp:extent cx="5400040" cy="1343025"/>
            <wp:effectExtent l="0" t="0" r="0" b="9525"/>
            <wp:docPr id="1864691479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64691479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343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FB6487">
        <w:rPr>
          <w:rFonts w:ascii="Arial" w:hAnsi="Arial" w:cs="Arial"/>
          <w:sz w:val="20"/>
          <w:szCs w:val="20"/>
        </w:rPr>
        <w:t xml:space="preserve"> </w:t>
      </w:r>
    </w:p>
    <w:p w14:paraId="3C9B4D37" w14:textId="52F2DCB9" w:rsidR="008435F1" w:rsidRPr="00FB6487" w:rsidRDefault="008435F1" w:rsidP="00FB6487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FB6487">
        <w:rPr>
          <w:rFonts w:ascii="Arial" w:hAnsi="Arial" w:cs="Arial"/>
          <w:sz w:val="20"/>
          <w:szCs w:val="20"/>
        </w:rPr>
        <w:tab/>
        <w:t>-</w:t>
      </w:r>
      <w:r w:rsidR="00FB6487" w:rsidRPr="00FB6487">
        <w:rPr>
          <w:rFonts w:ascii="Arial" w:hAnsi="Arial" w:cs="Arial"/>
          <w:sz w:val="20"/>
          <w:szCs w:val="20"/>
        </w:rPr>
        <w:t>Colaboración</w:t>
      </w:r>
      <w:r w:rsidRPr="00FB6487">
        <w:rPr>
          <w:rFonts w:ascii="Arial" w:hAnsi="Arial" w:cs="Arial"/>
          <w:sz w:val="20"/>
          <w:szCs w:val="20"/>
        </w:rPr>
        <w:t xml:space="preserve"> entre objetos e </w:t>
      </w:r>
      <w:r w:rsidR="00FB6487" w:rsidRPr="00FB6487">
        <w:rPr>
          <w:rFonts w:ascii="Arial" w:hAnsi="Arial" w:cs="Arial"/>
          <w:sz w:val="20"/>
          <w:szCs w:val="20"/>
        </w:rPr>
        <w:t>interacción</w:t>
      </w:r>
      <w:r w:rsidRPr="00FB6487">
        <w:rPr>
          <w:rFonts w:ascii="Arial" w:hAnsi="Arial" w:cs="Arial"/>
          <w:sz w:val="20"/>
          <w:szCs w:val="20"/>
        </w:rPr>
        <w:t xml:space="preserve"> con el ejecutable: los objetos no trabajan de forma aislada, sino que colaboran mediante el </w:t>
      </w:r>
      <w:r w:rsidR="00FB6487" w:rsidRPr="00FB6487">
        <w:rPr>
          <w:rFonts w:ascii="Arial" w:hAnsi="Arial" w:cs="Arial"/>
          <w:sz w:val="20"/>
          <w:szCs w:val="20"/>
        </w:rPr>
        <w:t>envió</w:t>
      </w:r>
      <w:r w:rsidRPr="00FB6487">
        <w:rPr>
          <w:rFonts w:ascii="Arial" w:hAnsi="Arial" w:cs="Arial"/>
          <w:sz w:val="20"/>
          <w:szCs w:val="20"/>
        </w:rPr>
        <w:t xml:space="preserve"> de mensajes. En las clases ejecutables (main) , se instancian los objetos invocando sus métodos públicos (como mostrar() , desplazar(), o sueldoNeto()) respetando la interfaz publica de cada entidad.</w:t>
      </w:r>
    </w:p>
    <w:p w14:paraId="2EC6186F" w14:textId="5C2F914D" w:rsidR="008435F1" w:rsidRPr="00FB6487" w:rsidRDefault="008435F1" w:rsidP="00FB6487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FB6487">
        <w:rPr>
          <w:rFonts w:ascii="Arial" w:hAnsi="Arial" w:cs="Arial"/>
          <w:sz w:val="20"/>
          <w:szCs w:val="20"/>
        </w:rPr>
        <w:t>Parámetros estáticos</w:t>
      </w:r>
    </w:p>
    <w:p w14:paraId="3C83C8B7" w14:textId="00DD95AD" w:rsidR="008435F1" w:rsidRPr="00FB6487" w:rsidRDefault="008435F1" w:rsidP="00FB6487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FB6487">
        <w:rPr>
          <w:rFonts w:ascii="Arial" w:hAnsi="Arial" w:cs="Arial"/>
          <w:noProof/>
          <w:sz w:val="20"/>
          <w:szCs w:val="20"/>
        </w:rPr>
        <w:drawing>
          <wp:inline distT="0" distB="0" distL="0" distR="0" wp14:anchorId="4FC3C748" wp14:editId="0CB5CAB3">
            <wp:extent cx="5400040" cy="603250"/>
            <wp:effectExtent l="0" t="0" r="0" b="6350"/>
            <wp:docPr id="59038797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0387977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603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12A77F" w14:textId="7E38FAC0" w:rsidR="008435F1" w:rsidRPr="00FB6487" w:rsidRDefault="008435F1" w:rsidP="00FB6487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FB6487">
        <w:rPr>
          <w:rFonts w:ascii="Arial" w:hAnsi="Arial" w:cs="Arial"/>
          <w:sz w:val="20"/>
          <w:szCs w:val="20"/>
        </w:rPr>
        <w:t>parámetros por argumentos del main.</w:t>
      </w:r>
    </w:p>
    <w:p w14:paraId="443BDDE7" w14:textId="293A9390" w:rsidR="008435F1" w:rsidRPr="00FB6487" w:rsidRDefault="008435F1" w:rsidP="00FB6487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FB6487">
        <w:rPr>
          <w:rFonts w:ascii="Arial" w:hAnsi="Arial" w:cs="Arial"/>
          <w:noProof/>
          <w:sz w:val="20"/>
          <w:szCs w:val="20"/>
        </w:rPr>
        <w:lastRenderedPageBreak/>
        <w:drawing>
          <wp:inline distT="0" distB="0" distL="0" distR="0" wp14:anchorId="473BBE43" wp14:editId="24362DEC">
            <wp:extent cx="5400040" cy="2432685"/>
            <wp:effectExtent l="0" t="0" r="0" b="5715"/>
            <wp:docPr id="450482655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0482655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432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D59D1F" w14:textId="7DAE4E4A" w:rsidR="008435F1" w:rsidRPr="00FB6487" w:rsidRDefault="008435F1" w:rsidP="00FB6487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FB6487">
        <w:rPr>
          <w:rFonts w:ascii="Arial" w:hAnsi="Arial" w:cs="Arial"/>
          <w:sz w:val="20"/>
          <w:szCs w:val="20"/>
        </w:rPr>
        <w:t>Parametros pedidos por teclado .</w:t>
      </w:r>
    </w:p>
    <w:p w14:paraId="15191D43" w14:textId="4000C37C" w:rsidR="008435F1" w:rsidRPr="00FB6487" w:rsidRDefault="008435F1" w:rsidP="00FB6487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FB6487">
        <w:rPr>
          <w:rFonts w:ascii="Arial" w:hAnsi="Arial" w:cs="Arial"/>
          <w:noProof/>
          <w:sz w:val="20"/>
          <w:szCs w:val="20"/>
        </w:rPr>
        <w:drawing>
          <wp:inline distT="0" distB="0" distL="0" distR="0" wp14:anchorId="785833AD" wp14:editId="612D5768">
            <wp:extent cx="5400040" cy="3176270"/>
            <wp:effectExtent l="0" t="0" r="0" b="5080"/>
            <wp:docPr id="172788939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788939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1762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C69964" w14:textId="65998945" w:rsidR="008435F1" w:rsidRPr="00FB6487" w:rsidRDefault="008435F1" w:rsidP="00FB6487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FB6487">
        <w:rPr>
          <w:rFonts w:ascii="Arial" w:hAnsi="Arial" w:cs="Arial"/>
          <w:sz w:val="20"/>
          <w:szCs w:val="20"/>
        </w:rPr>
        <w:t>3)</w:t>
      </w:r>
      <w:r w:rsidR="00FB6487" w:rsidRPr="00FB6487">
        <w:rPr>
          <w:rFonts w:ascii="Arial" w:hAnsi="Arial" w:cs="Arial"/>
          <w:sz w:val="20"/>
          <w:szCs w:val="20"/>
        </w:rPr>
        <w:t>Conclusión:</w:t>
      </w:r>
      <w:r w:rsidRPr="00FB6487">
        <w:rPr>
          <w:rFonts w:ascii="Arial" w:hAnsi="Arial" w:cs="Arial"/>
          <w:sz w:val="20"/>
          <w:szCs w:val="20"/>
        </w:rPr>
        <w:t xml:space="preserve"> </w:t>
      </w:r>
      <w:r w:rsidR="00FB6487" w:rsidRPr="00FB6487">
        <w:rPr>
          <w:rFonts w:ascii="Arial" w:hAnsi="Arial" w:cs="Arial"/>
          <w:sz w:val="20"/>
          <w:szCs w:val="20"/>
        </w:rPr>
        <w:t>L</w:t>
      </w:r>
      <w:r w:rsidRPr="00FB6487">
        <w:rPr>
          <w:rFonts w:ascii="Arial" w:hAnsi="Arial" w:cs="Arial"/>
          <w:sz w:val="20"/>
          <w:szCs w:val="20"/>
        </w:rPr>
        <w:t xml:space="preserve">a resolución del TP2 </w:t>
      </w:r>
      <w:r w:rsidR="00FB6487" w:rsidRPr="00FB6487">
        <w:rPr>
          <w:rFonts w:ascii="Arial" w:hAnsi="Arial" w:cs="Arial"/>
          <w:sz w:val="20"/>
          <w:szCs w:val="20"/>
        </w:rPr>
        <w:t>permitió</w:t>
      </w:r>
      <w:r w:rsidRPr="00FB6487">
        <w:rPr>
          <w:rFonts w:ascii="Arial" w:hAnsi="Arial" w:cs="Arial"/>
          <w:sz w:val="20"/>
          <w:szCs w:val="20"/>
        </w:rPr>
        <w:t xml:space="preserve"> afianzar la correcta estructuración de código bajo el paradigma de objetos. La aplicación rigurosa de la abstracción y el doble encapsulamiento no solo garantiza la integridad de los </w:t>
      </w:r>
      <w:r w:rsidR="00FB6487" w:rsidRPr="00FB6487">
        <w:rPr>
          <w:rFonts w:ascii="Arial" w:hAnsi="Arial" w:cs="Arial"/>
          <w:sz w:val="20"/>
          <w:szCs w:val="20"/>
        </w:rPr>
        <w:t>datos,</w:t>
      </w:r>
      <w:r w:rsidRPr="00FB6487">
        <w:rPr>
          <w:rFonts w:ascii="Arial" w:hAnsi="Arial" w:cs="Arial"/>
          <w:sz w:val="20"/>
          <w:szCs w:val="20"/>
        </w:rPr>
        <w:t xml:space="preserve"> sino que </w:t>
      </w:r>
      <w:r w:rsidR="00FB6487" w:rsidRPr="00FB6487">
        <w:rPr>
          <w:rFonts w:ascii="Arial" w:hAnsi="Arial" w:cs="Arial"/>
          <w:sz w:val="20"/>
          <w:szCs w:val="20"/>
        </w:rPr>
        <w:t>facilita</w:t>
      </w:r>
      <w:r w:rsidRPr="00FB6487">
        <w:rPr>
          <w:rFonts w:ascii="Arial" w:hAnsi="Arial" w:cs="Arial"/>
          <w:sz w:val="20"/>
          <w:szCs w:val="20"/>
        </w:rPr>
        <w:t xml:space="preserve"> el </w:t>
      </w:r>
      <w:r w:rsidR="00FB6487" w:rsidRPr="00FB6487">
        <w:rPr>
          <w:rFonts w:ascii="Arial" w:hAnsi="Arial" w:cs="Arial"/>
          <w:sz w:val="20"/>
          <w:szCs w:val="20"/>
        </w:rPr>
        <w:t>mantenimiento</w:t>
      </w:r>
      <w:r w:rsidRPr="00FB6487">
        <w:rPr>
          <w:rFonts w:ascii="Arial" w:hAnsi="Arial" w:cs="Arial"/>
          <w:sz w:val="20"/>
          <w:szCs w:val="20"/>
        </w:rPr>
        <w:t xml:space="preserve"> futuro del software, permitiendo modificar las reglas de negocio internas sin impactar </w:t>
      </w:r>
      <w:r w:rsidR="00FB6487" w:rsidRPr="00FB6487">
        <w:rPr>
          <w:rFonts w:ascii="Arial" w:hAnsi="Arial" w:cs="Arial"/>
          <w:sz w:val="20"/>
          <w:szCs w:val="20"/>
        </w:rPr>
        <w:t>en las clases cliente o ejecutable.</w:t>
      </w:r>
    </w:p>
    <w:sectPr w:rsidR="008435F1" w:rsidRPr="00FB6487" w:rsidSect="00FB6487">
      <w:pgSz w:w="11906" w:h="16838"/>
      <w:pgMar w:top="1134" w:right="1134" w:bottom="1134" w:left="1134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30101BD"/>
    <w:multiLevelType w:val="multilevel"/>
    <w:tmpl w:val="B3C4F6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85723807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72356"/>
    <w:rsid w:val="00364EDC"/>
    <w:rsid w:val="00451768"/>
    <w:rsid w:val="005C600D"/>
    <w:rsid w:val="00772356"/>
    <w:rsid w:val="008435F1"/>
    <w:rsid w:val="008D40C3"/>
    <w:rsid w:val="009762D5"/>
    <w:rsid w:val="009C354A"/>
    <w:rsid w:val="00B00979"/>
    <w:rsid w:val="00C77BBA"/>
    <w:rsid w:val="00F403DC"/>
    <w:rsid w:val="00FB648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F31D8F7"/>
  <w15:chartTrackingRefBased/>
  <w15:docId w15:val="{9733F0FE-6C6E-49F3-813E-B083BD410E3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A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77235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77235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772356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77235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772356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77235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77235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77235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77235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772356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77235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772356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772356"/>
    <w:rPr>
      <w:rFonts w:eastAsiaTheme="majorEastAsia" w:cstheme="majorBidi"/>
      <w:i/>
      <w:iCs/>
      <w:color w:val="2F5496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772356"/>
    <w:rPr>
      <w:rFonts w:eastAsiaTheme="majorEastAsia" w:cstheme="majorBidi"/>
      <w:color w:val="2F5496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772356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772356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772356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772356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77235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77235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77235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77235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77235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772356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772356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772356"/>
    <w:rPr>
      <w:i/>
      <w:iCs/>
      <w:color w:val="2F5496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772356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772356"/>
    <w:rPr>
      <w:i/>
      <w:iCs/>
      <w:color w:val="2F5496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772356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fontTable" Target="fontTable.xml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52</TotalTime>
  <Pages>1</Pages>
  <Words>549</Words>
  <Characters>3023</Characters>
  <Application>Microsoft Office Word</Application>
  <DocSecurity>0</DocSecurity>
  <Lines>25</Lines>
  <Paragraphs>7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3565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User</cp:lastModifiedBy>
  <cp:revision>5</cp:revision>
  <cp:lastPrinted>2026-08-23T20:41:00Z</cp:lastPrinted>
  <dcterms:created xsi:type="dcterms:W3CDTF">2026-08-23T19:14:00Z</dcterms:created>
  <dcterms:modified xsi:type="dcterms:W3CDTF">2026-08-23T20:47:00Z</dcterms:modified>
</cp:coreProperties>
</file>