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B32" w:rsidRPr="00296C2C" w:rsidRDefault="00120634" w:rsidP="003371D0">
      <w:pPr>
        <w:pStyle w:val="a4"/>
        <w:ind w:firstLine="720"/>
        <w:jc w:val="center"/>
        <w:rPr>
          <w:rFonts w:ascii="SimSong" w:eastAsia="SimSong" w:hAnsi="SimSong" w:hint="default"/>
          <w:color w:val="33353C"/>
          <w:sz w:val="48"/>
          <w:szCs w:val="48"/>
        </w:rPr>
      </w:pPr>
      <w:r w:rsidRPr="00296C2C">
        <w:rPr>
          <w:rFonts w:ascii="SimSong" w:eastAsia="SimSong" w:hAnsi="SimSong"/>
          <w:color w:val="33353C"/>
          <w:sz w:val="48"/>
          <w:szCs w:val="48"/>
        </w:rPr>
        <w:t>【定投君说基金】</w:t>
      </w:r>
      <w:r w:rsidRPr="00296C2C">
        <w:rPr>
          <w:rFonts w:ascii="SimSong" w:eastAsia="SimSong" w:hAnsi="SimSong"/>
          <w:color w:val="33353C"/>
          <w:sz w:val="48"/>
          <w:szCs w:val="48"/>
          <w:lang w:val="en-US"/>
        </w:rPr>
        <w:t>2021</w:t>
      </w:r>
      <w:r w:rsidRPr="00296C2C">
        <w:rPr>
          <w:rFonts w:ascii="SimSong" w:eastAsia="SimSong" w:hAnsi="SimSong"/>
          <w:color w:val="33353C"/>
          <w:sz w:val="48"/>
          <w:szCs w:val="48"/>
        </w:rPr>
        <w:t>估值周报第20期</w:t>
      </w:r>
    </w:p>
    <w:p w:rsidR="0023453F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cs="冬青黑体简体中文 W6" w:hint="default"/>
          <w:b/>
          <w:bCs/>
          <w:color w:val="33353C"/>
          <w:sz w:val="48"/>
          <w:szCs w:val="4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本周需要注意的指标有 </w:t>
      </w:r>
    </w:p>
    <w:p w:rsidR="0023453F" w:rsidRPr="00296C2C" w:rsidRDefault="00120634" w:rsidP="00296C2C">
      <w:pPr>
        <w:spacing w:beforeLines="50" w:before="120" w:afterLines="50" w:after="120"/>
        <w:rPr>
          <w:rFonts w:ascii="SimSong" w:eastAsia="SimSong" w:hAnsi="SimSong" w:cs="冬青黑体简体中文 W3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1. 本周市场震荡，PE/PB变化不大 </w:t>
      </w:r>
    </w:p>
    <w:p w:rsidR="0023453F" w:rsidRPr="00296C2C" w:rsidRDefault="00120634" w:rsidP="00296C2C">
      <w:pPr>
        <w:spacing w:beforeLines="50" w:before="120" w:afterLines="50" w:after="120"/>
        <w:rPr>
          <w:rFonts w:ascii="SimSong" w:eastAsia="SimSong" w:hAnsi="SimSong" w:cs="冬青黑体简体中文 W3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2. 十年期国债利率下降，股市性感略微上升，现在2.38 </w:t>
      </w:r>
    </w:p>
    <w:p w:rsidR="00326B32" w:rsidRPr="00296C2C" w:rsidRDefault="00120634" w:rsidP="00296C2C">
      <w:pPr>
        <w:spacing w:beforeLines="50" w:before="120" w:afterLines="50" w:after="120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3. 北上资金连续6周净流入，但金额都非常小，基本横盘 </w:t>
      </w:r>
    </w:p>
    <w:p w:rsidR="00326B32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整体观点: </w:t>
      </w:r>
    </w:p>
    <w:p w:rsidR="0023453F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市场目前处于正常估值水平。 </w:t>
      </w:r>
    </w:p>
    <w:p w:rsidR="0023453F" w:rsidRPr="00296C2C" w:rsidRDefault="00120634" w:rsidP="00326B32">
      <w:pPr>
        <w:pStyle w:val="a4"/>
        <w:spacing w:after="240"/>
        <w:rPr>
          <w:rFonts w:ascii="SimSong" w:eastAsia="SimSong" w:hAnsi="SimSong" w:cs="冬青黑体简体中文 W3" w:hint="default"/>
          <w:color w:val="000000" w:themeColor="text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>随时股市震荡，投资者情绪转冷。但当前的估值水平，已经不怎么需要担心系统性的下跌</w:t>
      </w:r>
      <w:r w:rsidRPr="00296C2C">
        <w:rPr>
          <w:rFonts w:ascii="PingFang SC" w:eastAsia="PingFang SC" w:hAnsi="PingFang SC" w:cs="PingFang SC"/>
          <w:color w:val="000000" w:themeColor="text1"/>
          <w:shd w:val="clear" w:color="auto" w:fill="FFFFFF"/>
        </w:rPr>
        <w:t>⻛</w:t>
      </w: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 险了。如果再大跌，应该要转向乐观。 </w:t>
      </w:r>
    </w:p>
    <w:p w:rsidR="0023453F" w:rsidRPr="00296C2C" w:rsidRDefault="00120634" w:rsidP="00326B32">
      <w:pPr>
        <w:pStyle w:val="a4"/>
        <w:spacing w:after="240"/>
        <w:rPr>
          <w:rFonts w:ascii="SimSong" w:eastAsia="SimSong" w:hAnsi="SimSong" w:cs="冬青黑体简体中文 W3" w:hint="default"/>
          <w:color w:val="000000" w:themeColor="text1"/>
          <w:sz w:val="21"/>
          <w:szCs w:val="2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关于估值高低判断，建议先看我的历史文章《高估了吗?》 </w:t>
      </w:r>
    </w:p>
    <w:p w:rsidR="0023453F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01 | PE估值 </w:t>
      </w:r>
    </w:p>
    <w:p w:rsidR="0023453F" w:rsidRPr="00296C2C" w:rsidRDefault="00120634">
      <w:pPr>
        <w:pStyle w:val="a4"/>
        <w:spacing w:after="240"/>
        <w:rPr>
          <w:rFonts w:ascii="SimSong" w:eastAsia="SimSong" w:hAnsi="SimSong" w:cs="冬青黑体简体中文 W3" w:hint="default"/>
          <w:color w:val="000000" w:themeColor="text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>PE口径问题请看我的历史文章《【建议阅读】茴字的几种写法:哪里的估值比较准</w:t>
      </w:r>
      <w:r w:rsidRPr="00296C2C">
        <w:rPr>
          <w:rFonts w:ascii="SimSong" w:eastAsia="SimSong" w:hAnsi="SimSong"/>
          <w:color w:val="000000" w:themeColor="text1"/>
          <w:shd w:val="clear" w:color="auto" w:fill="FFFFFF"/>
          <w:lang w:val="zh-TW"/>
        </w:rPr>
        <w:t>?</w:t>
      </w: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》 </w:t>
      </w:r>
    </w:p>
    <w:tbl>
      <w:tblPr>
        <w:tblW w:w="9628" w:type="dxa"/>
        <w:jc w:val="center"/>
        <w:tblLook w:val="04A0" w:firstRow="1" w:lastRow="0" w:firstColumn="1" w:lastColumn="0" w:noHBand="0" w:noVBand="1"/>
      </w:tblPr>
      <w:tblGrid>
        <w:gridCol w:w="1271"/>
        <w:gridCol w:w="851"/>
        <w:gridCol w:w="1275"/>
        <w:gridCol w:w="1134"/>
        <w:gridCol w:w="1276"/>
        <w:gridCol w:w="1276"/>
        <w:gridCol w:w="1276"/>
        <w:gridCol w:w="1269"/>
      </w:tblGrid>
      <w:tr w:rsidR="00326B32" w:rsidRPr="00296C2C" w:rsidTr="00326B32">
        <w:trPr>
          <w:trHeight w:val="25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2009-8-4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2015/6/12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2018-1-26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2021-5-22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上证指数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6092.06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3471.44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5166.35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3558.13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3490.38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3486.56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50.68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27.11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21.4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16.31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13.17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13.15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86.46%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41.01%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43.31%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35.56%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24.79%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24.79%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5877.20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3786.62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5335.12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4381.30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5110.59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5134.15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50.41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27.50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18.26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15.61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13.61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13.63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96.77%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67.31%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70.73%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66.88%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59.28%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59.28%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中证500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4943.56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4069.35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11545.89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6383.63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6525.80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6527.86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47.71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68.94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28.45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20.44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20.49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99.02%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35.34%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12.72%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13.87%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创业板指数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3899.71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1816.80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3033.81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3113.26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133.84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41.33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52.36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53.94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98.36%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33.70%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64.39%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68.18%</w:t>
            </w:r>
          </w:p>
        </w:tc>
      </w:tr>
    </w:tbl>
    <w:p w:rsidR="0023453F" w:rsidRPr="00296C2C" w:rsidRDefault="0023453F">
      <w:pPr>
        <w:pStyle w:val="a4"/>
        <w:spacing w:after="240"/>
        <w:rPr>
          <w:rFonts w:ascii="SimSong" w:eastAsia="SimSong" w:hAnsi="SimSong" w:hint="default"/>
          <w:color w:val="000000" w:themeColor="text1"/>
          <w:shd w:val="clear" w:color="auto" w:fill="FFFFFF"/>
        </w:rPr>
      </w:pPr>
    </w:p>
    <w:p w:rsidR="0023453F" w:rsidRPr="00296C2C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沪深300点位5134点，PE13.63倍，PE百分位59.28%。中证500点位6527点，PE20.49， PE百分位13.87%。 </w:t>
      </w: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7C399C" wp14:editId="091DAB3C">
            <wp:extent cx="4463191" cy="3083668"/>
            <wp:effectExtent l="0" t="0" r="0" b="254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5208716-008A-2742-BB2E-A66E7E07B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5208716-008A-2742-BB2E-A66E7E07B9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44" cy="312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C2C" w:rsidRPr="00296C2C" w:rsidRDefault="003371D0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7" w:history="1">
        <w:r w:rsidR="00296C2C"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沪深300</w:t>
        </w:r>
      </w:hyperlink>
      <w:r w:rsidR="00296C2C"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历史PE走势图</w:t>
      </w:r>
    </w:p>
    <w:p w:rsidR="00296C2C" w:rsidRDefault="00296C2C" w:rsidP="00296C2C">
      <w:pPr>
        <w:rPr>
          <w:rFonts w:ascii="宋体" w:hAnsi="宋体" w:hint="default"/>
          <w:color w:val="auto"/>
          <w:sz w:val="24"/>
          <w:szCs w:val="24"/>
        </w:rPr>
      </w:pPr>
      <w:r>
        <w:rPr>
          <w:rFonts w:ascii="Helvetica Neue" w:hAnsi="Helvetica Neue"/>
          <w:color w:val="33353C"/>
          <w:sz w:val="27"/>
          <w:szCs w:val="27"/>
        </w:rPr>
        <w:br/>
      </w: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1F17B0" wp14:editId="7167702A">
            <wp:extent cx="4470446" cy="3151762"/>
            <wp:effectExtent l="0" t="0" r="0" b="0"/>
            <wp:docPr id="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09FF507-E8D8-AF43-AFC3-4D29DBE3A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09FF507-E8D8-AF43-AFC3-4D29DBE3A7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86" cy="3169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296C2C" w:rsidRDefault="00296C2C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9" w:history="1">
        <w:r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沪深300</w:t>
        </w:r>
      </w:hyperlink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从2015年至今PE走势图</w:t>
      </w:r>
    </w:p>
    <w:p w:rsidR="0023453F" w:rsidRPr="00296C2C" w:rsidRDefault="00120634" w:rsidP="00296C2C">
      <w:pPr>
        <w:spacing w:beforeLines="50" w:before="120" w:afterLines="50" w:after="120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随着年报一季报更新，沪深300PE大幅下降，目前处于合理水平，可上可下 </w:t>
      </w:r>
    </w:p>
    <w:p w:rsidR="0023453F" w:rsidRPr="00296C2C" w:rsidRDefault="0023453F">
      <w:pPr>
        <w:pStyle w:val="a4"/>
        <w:spacing w:after="240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311C81" wp14:editId="1C76E25D">
            <wp:extent cx="4453775" cy="2684834"/>
            <wp:effectExtent l="0" t="0" r="4445" b="0"/>
            <wp:docPr id="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A3120DE-0E0E-B94D-8B5B-65390450F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A3120DE-0E0E-B94D-8B5B-65390450F7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47" cy="2701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C2C" w:rsidRPr="00296C2C" w:rsidRDefault="003371D0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11" w:history="1">
        <w:r w:rsidR="00296C2C"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中证500</w:t>
        </w:r>
      </w:hyperlink>
      <w:r w:rsidR="00296C2C"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历史</w:t>
      </w:r>
      <w:r w:rsidR="00296C2C"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PE</w:t>
      </w:r>
      <w:r w:rsidR="00296C2C"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走势图</w:t>
      </w:r>
    </w:p>
    <w:p w:rsidR="0023453F" w:rsidRPr="00296C2C" w:rsidRDefault="0023453F">
      <w:pPr>
        <w:pStyle w:val="a4"/>
        <w:spacing w:after="240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3E1DE8" wp14:editId="4C709A70">
            <wp:extent cx="4464996" cy="2699474"/>
            <wp:effectExtent l="0" t="0" r="5715" b="5715"/>
            <wp:docPr id="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7C6035C-BACA-7F4F-8DE5-D815E8EDB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7C6035C-BACA-7F4F-8DE5-D815E8EDB7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24" cy="2718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296C2C" w:rsidRDefault="003371D0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13" w:history="1">
        <w:r w:rsidR="00296C2C"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中证500</w:t>
        </w:r>
      </w:hyperlink>
      <w:r w:rsidR="00296C2C"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从</w:t>
      </w:r>
      <w:r w:rsidR="00296C2C"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2015</w:t>
      </w:r>
      <w:r w:rsidR="00296C2C"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年至今</w:t>
      </w:r>
      <w:r w:rsidR="00296C2C"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PE</w:t>
      </w:r>
      <w:r w:rsidR="00296C2C"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走势图</w:t>
      </w:r>
    </w:p>
    <w:p w:rsidR="0023453F" w:rsidRPr="00296C2C" w:rsidRDefault="00120634" w:rsidP="00296C2C">
      <w:pPr>
        <w:pStyle w:val="a4"/>
        <w:spacing w:beforeLines="50" w:before="120" w:after="100" w:afterAutospacing="1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</w:rPr>
        <w:t xml:space="preserve">中证500PE同样大幅下降，目前已经接近绿色低估区间 </w:t>
      </w:r>
    </w:p>
    <w:p w:rsidR="0023453F" w:rsidRPr="00296C2C" w:rsidRDefault="00120634" w:rsidP="00296C2C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02 | PB估值 </w:t>
      </w:r>
    </w:p>
    <w:tbl>
      <w:tblPr>
        <w:tblW w:w="9276" w:type="dxa"/>
        <w:jc w:val="center"/>
        <w:tblLook w:val="04A0" w:firstRow="1" w:lastRow="0" w:firstColumn="1" w:lastColumn="0" w:noHBand="0" w:noVBand="1"/>
      </w:tblPr>
      <w:tblGrid>
        <w:gridCol w:w="1362"/>
        <w:gridCol w:w="986"/>
        <w:gridCol w:w="1245"/>
        <w:gridCol w:w="1090"/>
        <w:gridCol w:w="1090"/>
        <w:gridCol w:w="1026"/>
        <w:gridCol w:w="1276"/>
        <w:gridCol w:w="1201"/>
      </w:tblGrid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2009-8-4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2015-6-12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2018-1-26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2021-5-22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上证指数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6092.06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3471.44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5166.35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3558.13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3490.38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3486.56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</w:t>
            </w:r>
            <w:r w:rsidR="00EC65FD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6.80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3.64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2.77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1.37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1.37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96.88%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62.21%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48.24%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23.49%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12.71%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12.43%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5877.20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3786.62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5335.12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4381.30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5110.59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5134.15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</w:t>
            </w:r>
            <w:r w:rsidR="00EC65FD"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7.08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3.75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2.47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1.50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1.51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96.77%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69.23%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68.29%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46.10%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37.31%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37.31%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中证500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4943.56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4069.35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11545.89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6383.63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6525.80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6527.86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</w:t>
            </w:r>
            <w:r w:rsidR="00EC65FD"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3.76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5.89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2.01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2.01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58.06%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99.02%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28.57%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19.19%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19.19%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创业板指数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3899.71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1816.80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3033.81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3113.26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6D7CC0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</w:t>
            </w:r>
            <w:r w:rsidR="00EC65FD"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B</w:t>
            </w:r>
            <w:bookmarkStart w:id="0" w:name="_GoBack"/>
            <w:bookmarkEnd w:id="0"/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14.61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4.36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7,70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7.92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99.03%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28.36%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89.02%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89.60%</w:t>
            </w:r>
          </w:p>
        </w:tc>
      </w:tr>
    </w:tbl>
    <w:p w:rsidR="0023453F" w:rsidRPr="00296C2C" w:rsidRDefault="00120634" w:rsidP="00296C2C">
      <w:pPr>
        <w:pStyle w:val="a4"/>
        <w:spacing w:beforeLines="50" w:before="120" w:after="100" w:afterAutospacing="1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沪深300PB1.51倍，高于历史上37.31%的时间中证500PB2.01倍，高于历史上19.19%的时 间PE和PB小结:因为年报季报更新，沪深300和中证500的估值大幅下降 </w:t>
      </w:r>
    </w:p>
    <w:p w:rsidR="0023453F" w:rsidRPr="00296C2C" w:rsidRDefault="00120634" w:rsidP="00296C2C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03 | 破净资产股票 </w:t>
      </w:r>
    </w:p>
    <w:p w:rsidR="0023453F" w:rsidRPr="00296C2C" w:rsidRDefault="00120634" w:rsidP="00296C2C">
      <w:pPr>
        <w:pStyle w:val="a4"/>
        <w:spacing w:beforeLines="50" w:before="120" w:after="100" w:afterAutospacing="1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通常我们用破净资产的股票数量来反应熊市的恐慌程度，以及牛市的泡沫程度。 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1520"/>
        <w:gridCol w:w="1920"/>
        <w:gridCol w:w="1680"/>
        <w:gridCol w:w="1680"/>
        <w:gridCol w:w="1440"/>
      </w:tblGrid>
      <w:tr w:rsidR="00296C2C" w:rsidRPr="00120634" w:rsidTr="00120634">
        <w:trPr>
          <w:trHeight w:val="280"/>
          <w:jc w:val="center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120634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日</w:t>
            </w:r>
            <w:r w:rsidR="00296C2C"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期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上证点位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破净个股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上市公司数量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占比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3487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8.08%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3490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7.61%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2020-2-51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2818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427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11.31%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2019-1-4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9.67%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2016-1-27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2638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1.80%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2013-6-25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1849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6.63%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2008-10-28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1664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179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10.91%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2005-6-6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13.44%</w:t>
            </w:r>
          </w:p>
        </w:tc>
      </w:tr>
    </w:tbl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目前，破净个股329家相比上周略有上升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04 | 牛熊市间隔时间 </w:t>
      </w:r>
    </w:p>
    <w:tbl>
      <w:tblPr>
        <w:tblW w:w="9063" w:type="dxa"/>
        <w:jc w:val="center"/>
        <w:tblLook w:val="04A0" w:firstRow="1" w:lastRow="0" w:firstColumn="1" w:lastColumn="0" w:noHBand="0" w:noVBand="1"/>
      </w:tblPr>
      <w:tblGrid>
        <w:gridCol w:w="1688"/>
        <w:gridCol w:w="1359"/>
        <w:gridCol w:w="1688"/>
        <w:gridCol w:w="1542"/>
        <w:gridCol w:w="1243"/>
        <w:gridCol w:w="1543"/>
      </w:tblGrid>
      <w:tr w:rsidR="00120634" w:rsidRPr="00120634" w:rsidTr="00120634">
        <w:trPr>
          <w:trHeight w:val="291"/>
          <w:jc w:val="center"/>
        </w:trPr>
        <w:tc>
          <w:tcPr>
            <w:tcW w:w="4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熊市低点</w:t>
            </w:r>
          </w:p>
        </w:tc>
        <w:tc>
          <w:tcPr>
            <w:tcW w:w="43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牛市高点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间隔（年）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间隔（年）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1998-8-18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1043. 02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2001-6-14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2245. 44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2005-6-6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998. 23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6. 81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6124. 04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6. 34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2008-10-28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1664. 93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3. 40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2015-6-15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5176. 79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7. 67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2013-6-25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1849. 65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4. 66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3518.38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5. 94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2019-1-4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2440. 91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5. 53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</w:tbl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目前看，2440大概率将是本轮熊市最低点，距离2013年的1849点间隔5.53年，处于合理的 间隔区间。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如果看未来的牛市，现在距离上一次牛市高点过去了5.92年，现在是不是已经处于牛市周期 中了呢?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也许</w:t>
      </w:r>
      <w:r w:rsidRPr="00120634">
        <w:rPr>
          <w:rFonts w:ascii="SimSong" w:eastAsia="SimSong" w:hAnsi="SimSong" w:hint="default"/>
          <w:color w:val="000000" w:themeColor="text1"/>
        </w:rPr>
        <w:t>“</w:t>
      </w:r>
      <w:r w:rsidRPr="00120634">
        <w:rPr>
          <w:rFonts w:ascii="SimSong" w:eastAsia="SimSong" w:hAnsi="SimSong"/>
          <w:color w:val="000000" w:themeColor="text1"/>
        </w:rPr>
        <w:t>不识庐山真面目，只缘身在此山中</w:t>
      </w:r>
      <w:r w:rsidRPr="00120634">
        <w:rPr>
          <w:rFonts w:ascii="SimSong" w:eastAsia="SimSong" w:hAnsi="SimSong" w:hint="default"/>
          <w:color w:val="000000" w:themeColor="text1"/>
        </w:rPr>
        <w:t xml:space="preserve">”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05 | 融资余额 </w:t>
      </w:r>
    </w:p>
    <w:p w:rsidR="0023453F" w:rsidRPr="00296C2C" w:rsidRDefault="00120634" w:rsidP="00120634">
      <w:pPr>
        <w:pStyle w:val="a4"/>
        <w:spacing w:beforeLines="50" w:before="120" w:after="240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 w:rsidRPr="00120634">
        <w:rPr>
          <w:rFonts w:ascii="SimSong" w:eastAsia="SimSong" w:hAnsi="SimSong"/>
          <w:color w:val="000000" w:themeColor="text1"/>
        </w:rPr>
        <w:t>融资融券开通较晚，无法与历史熊市低点对比。这个指标用于对市场情绪的观察。</w:t>
      </w:r>
      <w:r w:rsidRPr="00296C2C">
        <w:rPr>
          <w:rFonts w:ascii="SimSong" w:eastAsia="SimSong" w:hAnsi="SimSong"/>
          <w:color w:val="33353C"/>
          <w:sz w:val="26"/>
          <w:szCs w:val="26"/>
          <w:shd w:val="clear" w:color="auto" w:fill="FFFFFF"/>
        </w:rPr>
        <w:t xml:space="preserve">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当余额上涨时，说明市场趋于乐观，借钱炒股的人变多。融资余额下降时，说明市场趋于悲 观，都在还钱。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6DEB6E" wp14:editId="0A0FE44F">
            <wp:extent cx="4513634" cy="1578695"/>
            <wp:effectExtent l="0" t="0" r="0" b="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054D15C-8BDC-5948-AC4C-601C04C512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054D15C-8BDC-5948-AC4C-601C04C512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59" cy="1594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1月28日余额15552亿2月25日余额15376亿3月25日余额15078亿4月29日15155亿5月6日 15111亿5月13日15220亿5月20日15398亿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本周两融余额略变化不大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06 | 股市性感指数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这个指标看这篇《一个指标，判断市场估值水平》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盈利收益率:比如一个公司盈利是10亿，公司的市值是100亿，那盈利收益率就是10/100, 也就是10%。换句话说，10%的盈利收益率代表如果用100亿买下一家公司，每年赚的净利 润为10亿。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如果换算到指数上，则为指数相对价格的投资回报率。 10年期国债到期收益率:相当于无</w:t>
      </w:r>
      <w:r w:rsidRPr="00120634">
        <w:rPr>
          <w:rFonts w:ascii="PingFang SC" w:eastAsia="PingFang SC" w:hAnsi="PingFang SC" w:cs="PingFang SC"/>
          <w:color w:val="000000" w:themeColor="text1"/>
        </w:rPr>
        <w:t>⻛</w:t>
      </w:r>
      <w:r w:rsidRPr="00120634">
        <w:rPr>
          <w:rFonts w:ascii="SimSong" w:eastAsia="SimSong" w:hAnsi="SimSong"/>
          <w:color w:val="000000" w:themeColor="text1"/>
        </w:rPr>
        <w:t xml:space="preserve">险收益率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股市性感指数:沪深300盈利收益率除10年期国债收益率，可以理解为权益投资相对低</w:t>
      </w:r>
      <w:r w:rsidRPr="00120634">
        <w:rPr>
          <w:rFonts w:ascii="PingFang SC" w:eastAsia="PingFang SC" w:hAnsi="PingFang SC" w:cs="PingFang SC"/>
          <w:color w:val="000000" w:themeColor="text1"/>
        </w:rPr>
        <w:t>⻛</w:t>
      </w:r>
      <w:r w:rsidRPr="00120634">
        <w:rPr>
          <w:rFonts w:ascii="SimSong" w:eastAsia="SimSong" w:hAnsi="SimSong"/>
          <w:color w:val="000000" w:themeColor="text1"/>
        </w:rPr>
        <w:t xml:space="preserve">险 收益的性感吸引力 </w:t>
      </w:r>
    </w:p>
    <w:tbl>
      <w:tblPr>
        <w:tblW w:w="8829" w:type="dxa"/>
        <w:jc w:val="center"/>
        <w:tblLook w:val="04A0" w:firstRow="1" w:lastRow="0" w:firstColumn="1" w:lastColumn="0" w:noHBand="0" w:noVBand="1"/>
      </w:tblPr>
      <w:tblGrid>
        <w:gridCol w:w="782"/>
        <w:gridCol w:w="1340"/>
        <w:gridCol w:w="1275"/>
        <w:gridCol w:w="1701"/>
        <w:gridCol w:w="1843"/>
        <w:gridCol w:w="851"/>
        <w:gridCol w:w="1037"/>
      </w:tblGrid>
      <w:tr w:rsidR="00120634" w:rsidRPr="00120634" w:rsidTr="00DA36CA">
        <w:trPr>
          <w:trHeight w:val="580"/>
          <w:jc w:val="center"/>
        </w:trPr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时间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10年期国债收益率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沪深300盈利收益率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差距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倍数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高点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2007-8-23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5032.49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4.21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2.20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-2.00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0.52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6092.06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4.37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2.00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-2.37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0.46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2015-4-10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4034.31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3.69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6.51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2.81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1.76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2015-6-12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5166.35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3.62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5.48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1.85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1.51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2018-1-26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3558.13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3.94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6.40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2.47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1.63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低点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2005-6-3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1013.64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3.78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8.36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4.58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2.21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2008-10-28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1771.82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7.83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4.73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2.52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2013-6-25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1959.51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3.60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11.70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8.10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3.25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2016-2-1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2688.85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2.84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9.84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7.00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3.47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2019-1-4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2514.87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9.85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6.70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3.13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现在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2020-12-31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3473.07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6.38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3.24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2.03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2021-2-10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3501.99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3.24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5.88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2.64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1.81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3359.29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7.35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4.21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2.34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3486.56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3.09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7.34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4.25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2.38 </w:t>
            </w:r>
          </w:p>
        </w:tc>
      </w:tr>
    </w:tbl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10年期国债收益率3.09%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沪深300盈利收益率暴涨到7.34%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沪深300盈利收益率和10年期国债收益率的比值2.38，本周略有上升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43E68C" wp14:editId="75C611E7">
            <wp:extent cx="4951379" cy="2755161"/>
            <wp:effectExtent l="0" t="0" r="1905" b="1270"/>
            <wp:docPr id="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FD89DF51-E88F-364F-86AF-A62D3A1C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D89DF51-E88F-364F-86AF-A62D3A1CFE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30" cy="27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但从上图可</w:t>
      </w:r>
      <w:r w:rsidRPr="00120634">
        <w:rPr>
          <w:rFonts w:ascii="PingFang SC" w:eastAsia="PingFang SC" w:hAnsi="PingFang SC" w:cs="PingFang SC"/>
          <w:color w:val="000000" w:themeColor="text1"/>
        </w:rPr>
        <w:t>⻅</w:t>
      </w:r>
      <w:r w:rsidRPr="00120634">
        <w:rPr>
          <w:rFonts w:ascii="SimSong" w:eastAsia="SimSong" w:hAnsi="SimSong"/>
          <w:color w:val="000000" w:themeColor="text1"/>
        </w:rPr>
        <w:t xml:space="preserve">，不管什么原因，当该数值大于3时，无一例外都是绝对低位!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而在熊市低位震荡时，该数值的上下区间大约在2.5-3.5之间。 </w:t>
      </w:r>
    </w:p>
    <w:p w:rsidR="0023453F" w:rsidRPr="00296C2C" w:rsidRDefault="00120634" w:rsidP="00120634">
      <w:pPr>
        <w:pStyle w:val="a4"/>
        <w:spacing w:after="240"/>
        <w:rPr>
          <w:rFonts w:ascii="SimSong" w:eastAsia="SimSong" w:hAnsi="SimSong" w:cs="冬青黑体简体中文 W3" w:hint="default"/>
          <w:color w:val="33353C"/>
          <w:sz w:val="26"/>
          <w:szCs w:val="26"/>
          <w:shd w:val="clear" w:color="auto" w:fill="FFFFFF"/>
        </w:rPr>
      </w:pPr>
      <w:r w:rsidRPr="00120634">
        <w:rPr>
          <w:rFonts w:ascii="SimSong" w:eastAsia="SimSong" w:hAnsi="SimSong"/>
          <w:color w:val="000000" w:themeColor="text1"/>
        </w:rPr>
        <w:t>而在1.5倍之下时，毫无疑问就是高估了。低于1倍，就是进入泡沫区间。</w:t>
      </w:r>
      <w:r w:rsidRPr="00296C2C">
        <w:rPr>
          <w:rFonts w:ascii="SimSong" w:eastAsia="SimSong" w:hAnsi="SimSong"/>
          <w:color w:val="33353C"/>
          <w:sz w:val="26"/>
          <w:szCs w:val="26"/>
          <w:shd w:val="clear" w:color="auto" w:fill="FFFFFF"/>
        </w:rPr>
        <w:t xml:space="preserve">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目前该值为2.38倍，已经接近低估位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07 | 证券化率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证券化率，指的是一国各类证券总市值与该国国内生产总值的比率(各类金融证券总市值与 GDP总量的比值)，实际计算中证券总市值通常用股票总市值+债券总市值+共同基金总市值 等来代表。证券化率越高，意味着证券市场在国</w:t>
      </w:r>
      <w:r w:rsidRPr="00120634">
        <w:rPr>
          <w:rFonts w:ascii="PingFang SC" w:eastAsia="PingFang SC" w:hAnsi="PingFang SC" w:cs="PingFang SC"/>
          <w:color w:val="000000" w:themeColor="text1"/>
        </w:rPr>
        <w:t>⺠</w:t>
      </w:r>
      <w:r w:rsidRPr="00120634">
        <w:rPr>
          <w:rFonts w:ascii="SimSong" w:eastAsia="SimSong" w:hAnsi="SimSong"/>
          <w:color w:val="000000" w:themeColor="text1"/>
        </w:rPr>
        <w:t xml:space="preserve">经济中的地位越重要，因此它是衡量一国 证券市场发展程度的重要指标。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证券化率俗称巴菲特指标，巴菲特认为，若两者之间的比率处于70%至80%的区间之内， 这时买进股票就会有不错的收益。但如果在这个比例偏高时买进股票，就等于在</w:t>
      </w:r>
      <w:r w:rsidRPr="00120634">
        <w:rPr>
          <w:rFonts w:ascii="SimSong" w:eastAsia="SimSong" w:hAnsi="SimSong" w:hint="default"/>
          <w:color w:val="000000" w:themeColor="text1"/>
        </w:rPr>
        <w:t>“</w:t>
      </w:r>
      <w:r w:rsidRPr="00120634">
        <w:rPr>
          <w:rFonts w:ascii="SimSong" w:eastAsia="SimSong" w:hAnsi="SimSong"/>
          <w:color w:val="000000" w:themeColor="text1"/>
        </w:rPr>
        <w:t>玩火</w:t>
      </w:r>
      <w:r w:rsidRPr="00120634">
        <w:rPr>
          <w:rFonts w:ascii="SimSong" w:eastAsia="SimSong" w:hAnsi="SimSong" w:hint="default"/>
          <w:color w:val="000000" w:themeColor="text1"/>
        </w:rPr>
        <w:t>”</w:t>
      </w:r>
      <w:r w:rsidRPr="00120634">
        <w:rPr>
          <w:rFonts w:ascii="SimSong" w:eastAsia="SimSong" w:hAnsi="SimSong"/>
          <w:color w:val="000000" w:themeColor="text1"/>
        </w:rPr>
        <w:t xml:space="preserve">。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B6AFA56" wp14:editId="06C43BA7">
            <wp:extent cx="5136204" cy="2485501"/>
            <wp:effectExtent l="0" t="0" r="0" b="3810"/>
            <wp:docPr id="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D97077D-5C7C-0048-AEA9-2201D10B3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D97077D-5C7C-0048-AEA9-2201D10B34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44" cy="249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A股市场发展的时间不</w:t>
      </w:r>
      <w:r w:rsidRPr="00120634">
        <w:rPr>
          <w:rFonts w:ascii="PingFang SC" w:eastAsia="PingFang SC" w:hAnsi="PingFang SC" w:cs="PingFang SC"/>
          <w:color w:val="000000" w:themeColor="text1"/>
        </w:rPr>
        <w:t>⻓</w:t>
      </w:r>
      <w:r w:rsidRPr="00120634">
        <w:rPr>
          <w:rFonts w:ascii="SimSong" w:eastAsia="SimSong" w:hAnsi="SimSong"/>
          <w:color w:val="000000" w:themeColor="text1"/>
        </w:rPr>
        <w:t xml:space="preserve">，早期处于从无到有的阶段，近10年证券化率才有参考价值。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lastRenderedPageBreak/>
        <w:t xml:space="preserve">目前证券化率86.21%，现在已经不在低谷区了，但是也还没到高估。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这个指标终有一天会提高100%以上的，证券化率没站上100%，算什么牛市?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07 | 北上资金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6" w:hint="default"/>
          <w:color w:val="33353C"/>
          <w:sz w:val="48"/>
          <w:szCs w:val="48"/>
          <w:shd w:val="clear" w:color="auto" w:fill="FFFFFF"/>
        </w:rPr>
      </w:pPr>
      <w:r>
        <w:rPr>
          <w:noProof/>
        </w:rPr>
        <w:drawing>
          <wp:inline distT="0" distB="0" distL="0" distR="0" wp14:anchorId="178B53F1" wp14:editId="5E810B6C">
            <wp:extent cx="5145932" cy="2856478"/>
            <wp:effectExtent l="0" t="0" r="0" b="127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875A047-C336-514D-9C32-ADAF2B02D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875A047-C336-514D-9C32-ADAF2B02D1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487" cy="2868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从2019年以来，北上资金和上证指数有非常强的关联性。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本周北上资金净流入4.75亿，流入不多，从图中也可以看出，现在北上资金累计净流入已经变横线了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08 | 新增投资者数量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6" w:hint="default"/>
          <w:color w:val="33353C"/>
          <w:sz w:val="48"/>
          <w:szCs w:val="48"/>
          <w:shd w:val="clear" w:color="auto" w:fill="FFFFFF"/>
        </w:rPr>
      </w:pPr>
      <w:r>
        <w:rPr>
          <w:noProof/>
        </w:rPr>
        <w:drawing>
          <wp:inline distT="0" distB="0" distL="0" distR="0" wp14:anchorId="5590EA12" wp14:editId="2515EF68">
            <wp:extent cx="5631788" cy="1159314"/>
            <wp:effectExtent l="0" t="0" r="0" b="0"/>
            <wp:docPr id="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A10015D-1443-9747-8EF5-3931BBD09D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A10015D-1443-9747-8EF5-3931BBD09D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83" cy="1161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上图为中登公司每月公布的新增投资者数量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新增投资者数量很高的话，说明开户的人挤爆了证券公司，反映了市场情绪十分火热，散户集中入场。开户人数少的话，说明市场还没到狂热期。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2015年4-6月牛市高点时每月新增数量为497万，415万，464万。今年1月份，新增投资者 人数209万今年2月份，新增投资者人数160万，有所下降，不过2月是春节，目前看正常今 年3月份，新增投资者人数247万，相比1月份大幅提高今年4月份，新增投资者人数168万，下降明显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这是一个很值得观察的指标，开户越多，代表了居</w:t>
      </w:r>
      <w:r w:rsidRPr="00120634">
        <w:rPr>
          <w:rFonts w:ascii="PingFang SC" w:eastAsia="PingFang SC" w:hAnsi="PingFang SC" w:cs="PingFang SC"/>
          <w:color w:val="000000" w:themeColor="text1"/>
        </w:rPr>
        <w:t>⺠</w:t>
      </w:r>
      <w:r w:rsidRPr="00120634">
        <w:rPr>
          <w:rFonts w:ascii="SimSong" w:eastAsia="SimSong" w:hAnsi="SimSong"/>
          <w:color w:val="000000" w:themeColor="text1"/>
        </w:rPr>
        <w:t xml:space="preserve">存款搬家入市的节奏越快。开户减少，代表存款搬家速度下降 </w:t>
      </w:r>
    </w:p>
    <w:p w:rsidR="0023453F" w:rsidRPr="00296C2C" w:rsidRDefault="00120634">
      <w:pPr>
        <w:pStyle w:val="a4"/>
        <w:spacing w:after="240"/>
        <w:rPr>
          <w:rFonts w:ascii="SimSong" w:eastAsia="SimSong" w:hAnsi="SimSong" w:cs="冬青黑体简体中文 W6" w:hint="default"/>
          <w:color w:val="33353C"/>
          <w:sz w:val="36"/>
          <w:szCs w:val="36"/>
          <w:shd w:val="clear" w:color="auto" w:fill="FFFFFF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>09 | 新发行基金</w:t>
      </w:r>
      <w:r w:rsidRPr="00296C2C">
        <w:rPr>
          <w:rFonts w:ascii="SimSong" w:eastAsia="SimSong" w:hAnsi="SimSong"/>
          <w:color w:val="33353C"/>
          <w:sz w:val="36"/>
          <w:szCs w:val="36"/>
          <w:shd w:val="clear" w:color="auto" w:fill="FFFFFF"/>
        </w:rPr>
        <w:t xml:space="preserve">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65B375" wp14:editId="01ECE4E0">
            <wp:extent cx="4834647" cy="2560788"/>
            <wp:effectExtent l="0" t="0" r="4445" b="5080"/>
            <wp:docPr id="1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D21FC8D-7084-ED47-845D-C043152FB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D21FC8D-7084-ED47-845D-C043152FB1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48" cy="256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上图为2014年5月至今新发行的股票型+混合型基金的募集份额。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如果募集规模暴增，说明投资者踊跃入市买基，市场行情十分火热。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可以很明显的看出，今年新基金募集规模明显上了一个台阶，从去年每个月募集不到500亿， 猛增到1000-1500亿区间。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新基金募资金额是市场的纯增量资金，非常值得注意!居</w:t>
      </w:r>
      <w:r w:rsidRPr="00120634">
        <w:rPr>
          <w:rFonts w:ascii="PingFang SC" w:eastAsia="PingFang SC" w:hAnsi="PingFang SC" w:cs="PingFang SC"/>
          <w:color w:val="000000" w:themeColor="text1"/>
        </w:rPr>
        <w:t>⺠</w:t>
      </w:r>
      <w:r w:rsidRPr="00120634">
        <w:rPr>
          <w:rFonts w:ascii="SimSong" w:eastAsia="SimSong" w:hAnsi="SimSong"/>
          <w:color w:val="000000" w:themeColor="text1"/>
        </w:rPr>
        <w:t>存款搬家资金正在跑步入场。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 2021年4月，股票+混合基金募集规模904亿，相比3月份进一步下降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10 | 证券指数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 w:rsidRPr="00120634">
        <w:rPr>
          <w:rFonts w:ascii="SimSong" w:eastAsia="SimSong" w:hAnsi="SimSong" w:cs="冬青黑体简体中文 W3"/>
          <w:noProof/>
          <w:sz w:val="24"/>
          <w:szCs w:val="24"/>
          <w:shd w:val="clear" w:color="auto" w:fill="FFFFFF"/>
        </w:rPr>
        <w:drawing>
          <wp:inline distT="0" distB="0" distL="0" distR="0" wp14:anchorId="61BB6487" wp14:editId="10851340">
            <wp:extent cx="5291278" cy="2013625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341" cy="20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券商是牛市</w:t>
      </w:r>
      <w:r w:rsidRPr="00120634">
        <w:rPr>
          <w:rFonts w:ascii="PingFang SC" w:eastAsia="PingFang SC" w:hAnsi="PingFang SC" w:cs="PingFang SC"/>
          <w:color w:val="000000" w:themeColor="text1"/>
        </w:rPr>
        <w:t>⻛</w:t>
      </w:r>
      <w:r w:rsidRPr="00120634">
        <w:rPr>
          <w:rFonts w:ascii="SimSong" w:eastAsia="SimSong" w:hAnsi="SimSong"/>
          <w:color w:val="000000" w:themeColor="text1"/>
        </w:rPr>
        <w:t xml:space="preserve">向标，从去年最低点466起算，到前期最高点1054，已经翻倍不止。 </w:t>
      </w:r>
    </w:p>
    <w:p w:rsidR="0023453F" w:rsidRPr="00296C2C" w:rsidRDefault="00120634">
      <w:pPr>
        <w:pStyle w:val="a4"/>
        <w:spacing w:after="240"/>
        <w:rPr>
          <w:rFonts w:ascii="SimSong" w:eastAsia="SimSong" w:hAnsi="SimSong" w:cs="冬青黑体简体中文 W3" w:hint="default"/>
          <w:color w:val="33353C"/>
          <w:sz w:val="26"/>
          <w:szCs w:val="26"/>
          <w:shd w:val="clear" w:color="auto" w:fill="FFFFFF"/>
        </w:rPr>
      </w:pPr>
      <w:r w:rsidRPr="00120634">
        <w:rPr>
          <w:rFonts w:ascii="SimSong" w:eastAsia="SimSong" w:hAnsi="SimSong"/>
          <w:color w:val="000000" w:themeColor="text1"/>
        </w:rPr>
        <w:t>昨天的指数收盘点位是795，看图说话，现在是远未到上一轮牛市的水平。</w:t>
      </w:r>
      <w:r w:rsidRPr="00296C2C">
        <w:rPr>
          <w:rFonts w:ascii="SimSong" w:eastAsia="SimSong" w:hAnsi="SimSong"/>
          <w:color w:val="33353C"/>
          <w:sz w:val="26"/>
          <w:szCs w:val="26"/>
          <w:shd w:val="clear" w:color="auto" w:fill="FFFFFF"/>
        </w:rPr>
        <w:t xml:space="preserve">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b/>
          <w:bCs/>
          <w:color w:val="000000" w:themeColor="text1"/>
        </w:rPr>
      </w:pPr>
      <w:r w:rsidRPr="00120634">
        <w:rPr>
          <w:rFonts w:ascii="SimSong" w:eastAsia="SimSong" w:hAnsi="SimSong"/>
          <w:b/>
          <w:bCs/>
          <w:color w:val="000000" w:themeColor="text1"/>
        </w:rPr>
        <w:t>注意:投资有</w:t>
      </w:r>
      <w:r w:rsidRPr="00120634">
        <w:rPr>
          <w:rFonts w:ascii="PingFang SC" w:eastAsia="PingFang SC" w:hAnsi="PingFang SC" w:cs="PingFang SC"/>
          <w:b/>
          <w:bCs/>
          <w:color w:val="000000" w:themeColor="text1"/>
        </w:rPr>
        <w:t>⻛</w:t>
      </w:r>
      <w:r w:rsidRPr="00120634">
        <w:rPr>
          <w:rFonts w:ascii="SimSong" w:eastAsia="SimSong" w:hAnsi="SimSong"/>
          <w:b/>
          <w:bCs/>
          <w:color w:val="000000" w:themeColor="text1"/>
        </w:rPr>
        <w:t>险，入市有</w:t>
      </w:r>
      <w:r w:rsidRPr="00120634">
        <w:rPr>
          <w:rFonts w:ascii="PingFang SC" w:eastAsia="PingFang SC" w:hAnsi="PingFang SC" w:cs="PingFang SC"/>
          <w:b/>
          <w:bCs/>
          <w:color w:val="000000" w:themeColor="text1"/>
        </w:rPr>
        <w:t>⻛</w:t>
      </w:r>
      <w:r w:rsidRPr="00120634">
        <w:rPr>
          <w:rFonts w:ascii="SimSong" w:eastAsia="SimSong" w:hAnsi="SimSong"/>
          <w:b/>
          <w:bCs/>
          <w:color w:val="000000" w:themeColor="text1"/>
        </w:rPr>
        <w:t xml:space="preserve">险! </w:t>
      </w:r>
    </w:p>
    <w:p w:rsidR="0023453F" w:rsidRPr="00296C2C" w:rsidRDefault="0023453F">
      <w:pPr>
        <w:pStyle w:val="a4"/>
        <w:spacing w:after="240"/>
        <w:rPr>
          <w:rFonts w:ascii="SimSong" w:eastAsia="SimSong" w:hAnsi="SimSong" w:hint="default"/>
        </w:rPr>
      </w:pPr>
    </w:p>
    <w:sectPr w:rsidR="0023453F" w:rsidRPr="00296C2C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020D" w:rsidRDefault="005B020D">
      <w:pPr>
        <w:rPr>
          <w:rFonts w:hint="default"/>
        </w:rPr>
      </w:pPr>
      <w:r>
        <w:separator/>
      </w:r>
    </w:p>
  </w:endnote>
  <w:endnote w:type="continuationSeparator" w:id="0">
    <w:p w:rsidR="005B020D" w:rsidRDefault="005B020D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ong">
    <w:panose1 w:val="02020300000000000000"/>
    <w:charset w:val="86"/>
    <w:family w:val="roman"/>
    <w:pitch w:val="variable"/>
    <w:sig w:usb0="800002BF" w:usb1="38CF7CFA" w:usb2="00000016" w:usb3="00000000" w:csb0="0004000D" w:csb1="00000000"/>
  </w:font>
  <w:font w:name="冬青黑体简体中文 W6">
    <w:panose1 w:val="020B0600000000000000"/>
    <w:charset w:val="80"/>
    <w:family w:val="swiss"/>
    <w:pitch w:val="variable"/>
    <w:sig w:usb0="A00002BF" w:usb1="1ACF7CFA" w:usb2="00000016" w:usb3="00000000" w:csb0="00060007" w:csb1="00000000"/>
  </w:font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71D0" w:rsidRDefault="003371D0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020D" w:rsidRDefault="005B020D">
      <w:pPr>
        <w:rPr>
          <w:rFonts w:hint="default"/>
        </w:rPr>
      </w:pPr>
      <w:r>
        <w:separator/>
      </w:r>
    </w:p>
  </w:footnote>
  <w:footnote w:type="continuationSeparator" w:id="0">
    <w:p w:rsidR="005B020D" w:rsidRDefault="005B020D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71D0" w:rsidRDefault="003371D0">
    <w:pPr>
      <w:rPr>
        <w:rFonts w:hint="default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53F"/>
    <w:rsid w:val="000D25D8"/>
    <w:rsid w:val="00120634"/>
    <w:rsid w:val="00221517"/>
    <w:rsid w:val="0023453F"/>
    <w:rsid w:val="00296C2C"/>
    <w:rsid w:val="00326B32"/>
    <w:rsid w:val="003371D0"/>
    <w:rsid w:val="005B020D"/>
    <w:rsid w:val="006D7CC0"/>
    <w:rsid w:val="00B92482"/>
    <w:rsid w:val="00DA36CA"/>
    <w:rsid w:val="00EC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933F42"/>
  <w15:docId w15:val="{E493D0B2-E9EA-D642-8ED0-EF28563D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小标题 2"/>
    <w:next w:val="a"/>
    <w:pPr>
      <w:keepNext/>
      <w:outlineLvl w:val="0"/>
    </w:pPr>
    <w:rPr>
      <w:rFonts w:ascii="Arial Unicode MS" w:eastAsia="Helvetica Neue" w:hAnsi="Arial Unicode MS" w:cs="Arial Unicode MS" w:hint="eastAsia"/>
      <w:b/>
      <w:bCs/>
      <w:color w:val="000000"/>
      <w:sz w:val="32"/>
      <w:szCs w:val="32"/>
      <w:lang w:val="zh-CN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Normal (Web)"/>
    <w:basedOn w:val="a"/>
    <w:uiPriority w:val="99"/>
    <w:unhideWhenUsed/>
    <w:rsid w:val="00296C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 w:hint="default"/>
      <w:color w:val="auto"/>
      <w:sz w:val="24"/>
      <w:szCs w:val="24"/>
      <w:bdr w:val="none" w:sz="0" w:space="0" w:color="auto"/>
      <w:lang w:val="en-US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xueqiu.com/S/SH000905?from=status_stock_match" TargetMode="External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https://xueqiu.com/S/SH000300?from=status_stock_match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tif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xueqiu.com/S/SH000905?from=status_stock_match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yperlink" Target="https://xueqiu.com/S/SH000300?from=status_stock_match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773</Words>
  <Characters>4408</Characters>
  <Application>Microsoft Office Word</Application>
  <DocSecurity>0</DocSecurity>
  <Lines>36</Lines>
  <Paragraphs>10</Paragraphs>
  <ScaleCrop>false</ScaleCrop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MB372</cp:lastModifiedBy>
  <cp:revision>4</cp:revision>
  <dcterms:created xsi:type="dcterms:W3CDTF">2021-05-25T08:06:00Z</dcterms:created>
  <dcterms:modified xsi:type="dcterms:W3CDTF">2021-05-27T10:35:00Z</dcterms:modified>
</cp:coreProperties>
</file>