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38A" w:rsidRPr="00A6338A" w:rsidRDefault="00A6338A" w:rsidP="00A6338A">
      <w:pPr>
        <w:widowControl/>
        <w:jc w:val="center"/>
        <w:rPr>
          <w:rFonts w:ascii="宋体" w:eastAsia="宋体" w:hAnsi="宋体" w:cs="宋体"/>
          <w:kern w:val="0"/>
          <w:sz w:val="32"/>
          <w:szCs w:val="32"/>
        </w:rPr>
      </w:pPr>
      <w:r w:rsidRPr="00A6338A">
        <w:rPr>
          <w:rFonts w:ascii="宋体" w:eastAsia="宋体" w:hAnsi="宋体" w:cs="宋体" w:hint="eastAsia"/>
          <w:b/>
          <w:bCs/>
          <w:color w:val="C00000"/>
          <w:spacing w:val="8"/>
          <w:kern w:val="0"/>
          <w:sz w:val="32"/>
          <w:szCs w:val="32"/>
        </w:rPr>
        <w:t>关于加快推进上海全球资产管理中心建设的若干意见</w:t>
      </w:r>
    </w:p>
    <w:p w:rsidR="00A6338A" w:rsidRPr="00A6338A" w:rsidRDefault="00A6338A" w:rsidP="00836363">
      <w:pPr>
        <w:widowControl/>
        <w:jc w:val="left"/>
        <w:rPr>
          <w:rFonts w:ascii="Helvetica Neue" w:eastAsia="宋体" w:hAnsi="Helvetica Neue" w:cs="宋体"/>
          <w:color w:val="333333"/>
          <w:spacing w:val="8"/>
          <w:kern w:val="0"/>
          <w:sz w:val="26"/>
          <w:szCs w:val="26"/>
        </w:rPr>
      </w:pPr>
      <w:r w:rsidRPr="00A6338A">
        <w:rPr>
          <w:rFonts w:ascii="宋体" w:eastAsia="宋体" w:hAnsi="宋体" w:cs="宋体" w:hint="eastAsia"/>
          <w:b/>
          <w:bCs/>
          <w:color w:val="333333"/>
          <w:spacing w:val="8"/>
          <w:kern w:val="0"/>
          <w:sz w:val="26"/>
          <w:szCs w:val="26"/>
        </w:rPr>
        <w:t>（一）完善多元化机构体系，丰富资产管理行业主体</w:t>
      </w:r>
    </w:p>
    <w:p w:rsidR="00A6338A" w:rsidRPr="00A6338A" w:rsidRDefault="00A6338A" w:rsidP="00836363">
      <w:pPr>
        <w:pStyle w:val="a5"/>
        <w:widowControl/>
        <w:numPr>
          <w:ilvl w:val="0"/>
          <w:numId w:val="1"/>
        </w:numPr>
        <w:spacing w:beforeLines="50" w:before="156" w:afterLines="50" w:after="156"/>
        <w:ind w:firstLineChars="0"/>
        <w:jc w:val="left"/>
        <w:rPr>
          <w:rFonts w:ascii="宋体" w:eastAsia="宋体" w:hAnsi="宋体" w:cs="宋体"/>
          <w:color w:val="333333"/>
          <w:spacing w:val="8"/>
          <w:kern w:val="0"/>
          <w:sz w:val="26"/>
          <w:szCs w:val="26"/>
        </w:rPr>
      </w:pPr>
      <w:r w:rsidRPr="00A6338A">
        <w:rPr>
          <w:rFonts w:ascii="宋体" w:eastAsia="宋体" w:hAnsi="宋体" w:cs="宋体" w:hint="eastAsia"/>
          <w:color w:val="333333"/>
          <w:spacing w:val="8"/>
          <w:kern w:val="0"/>
          <w:sz w:val="24"/>
        </w:rPr>
        <w:t>集聚和培育资产管理机构</w:t>
      </w:r>
      <w:r w:rsidRPr="00A6338A">
        <w:rPr>
          <w:rFonts w:ascii="宋体" w:eastAsia="宋体" w:hAnsi="宋体" w:cs="宋体" w:hint="eastAsia"/>
          <w:color w:val="333333"/>
          <w:spacing w:val="8"/>
          <w:kern w:val="0"/>
          <w:sz w:val="26"/>
          <w:szCs w:val="26"/>
        </w:rPr>
        <w:t>。</w:t>
      </w:r>
    </w:p>
    <w:p w:rsidR="00A6338A" w:rsidRPr="0032366E" w:rsidRDefault="00A6338A" w:rsidP="0032366E">
      <w:pPr>
        <w:pStyle w:val="a5"/>
        <w:widowControl/>
        <w:numPr>
          <w:ilvl w:val="1"/>
          <w:numId w:val="1"/>
        </w:numPr>
        <w:spacing w:line="240" w:lineRule="exact"/>
        <w:ind w:firstLineChars="0"/>
        <w:jc w:val="left"/>
        <w:rPr>
          <w:rFonts w:ascii="宋体" w:eastAsia="宋体" w:hAnsi="宋体" w:cs="宋体"/>
          <w:color w:val="333333"/>
          <w:spacing w:val="8"/>
          <w:kern w:val="0"/>
          <w:szCs w:val="21"/>
        </w:rPr>
      </w:pPr>
      <w:r w:rsidRPr="0032366E">
        <w:rPr>
          <w:rFonts w:ascii="宋体" w:eastAsia="宋体" w:hAnsi="宋体" w:cs="宋体" w:hint="eastAsia"/>
          <w:color w:val="333333"/>
          <w:spacing w:val="8"/>
          <w:kern w:val="0"/>
          <w:szCs w:val="21"/>
        </w:rPr>
        <w:t>积极引入银行理财、保险资产管理、金融资产投资等机构及其专业子公司，支持证券、基金、信托、期货等机构及其专业子公司落户，吸引私人银行、家族信托、基金销售等资产管理机构。</w:t>
      </w:r>
    </w:p>
    <w:p w:rsidR="00C840A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836363">
        <w:rPr>
          <w:rFonts w:ascii="宋体" w:eastAsia="宋体" w:hAnsi="宋体" w:cs="宋体" w:hint="eastAsia"/>
          <w:color w:val="333333"/>
          <w:spacing w:val="8"/>
          <w:kern w:val="0"/>
          <w:szCs w:val="21"/>
        </w:rPr>
        <w:t>支持符合条件的外资率先在上海独资、合资设立证券、基金、养老金管理等机构，合资设立理财公司，设立投资研究、销售运营、合规风控等平台。</w:t>
      </w:r>
    </w:p>
    <w:p w:rsidR="00A6338A" w:rsidRPr="00836363"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836363">
        <w:rPr>
          <w:rFonts w:ascii="宋体" w:eastAsia="宋体" w:hAnsi="宋体" w:cs="宋体" w:hint="eastAsia"/>
          <w:color w:val="333333"/>
          <w:spacing w:val="8"/>
          <w:kern w:val="0"/>
          <w:szCs w:val="21"/>
        </w:rPr>
        <w:t>集聚各类私募证券投资基金和私募股权投资基金（创业投资基金）。</w:t>
      </w:r>
    </w:p>
    <w:p w:rsidR="00C840A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836363">
        <w:rPr>
          <w:rFonts w:ascii="宋体" w:eastAsia="宋体" w:hAnsi="宋体" w:cs="宋体" w:hint="eastAsia"/>
          <w:color w:val="333333"/>
          <w:spacing w:val="8"/>
          <w:kern w:val="0"/>
          <w:szCs w:val="21"/>
        </w:rPr>
        <w:t>探索设立支持中小资产管理机构发展的种子基金，鼓励成立股权转让受让基金。</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836363">
        <w:rPr>
          <w:rFonts w:ascii="宋体" w:eastAsia="宋体" w:hAnsi="宋体" w:cs="宋体" w:hint="eastAsia"/>
          <w:color w:val="333333"/>
          <w:spacing w:val="8"/>
          <w:kern w:val="0"/>
          <w:szCs w:val="21"/>
        </w:rPr>
        <w:t>加强资产管理机构培育，支持符合条件的基金管理等资产管理机构在多层次资本市场挂牌上市，拓展境内外业务布局。</w:t>
      </w:r>
    </w:p>
    <w:p w:rsidR="00A6338A" w:rsidRPr="00A6338A" w:rsidRDefault="00A6338A" w:rsidP="00836363">
      <w:pPr>
        <w:pStyle w:val="a5"/>
        <w:widowControl/>
        <w:numPr>
          <w:ilvl w:val="0"/>
          <w:numId w:val="1"/>
        </w:numPr>
        <w:spacing w:beforeLines="50" w:before="156" w:afterLines="50" w:after="156"/>
        <w:ind w:firstLineChars="0"/>
        <w:jc w:val="left"/>
        <w:rPr>
          <w:rFonts w:ascii="宋体" w:eastAsia="宋体" w:hAnsi="宋体" w:cs="宋体"/>
          <w:color w:val="333333"/>
          <w:spacing w:val="8"/>
          <w:kern w:val="0"/>
          <w:sz w:val="24"/>
        </w:rPr>
      </w:pPr>
      <w:r w:rsidRPr="00A6338A">
        <w:rPr>
          <w:rFonts w:ascii="宋体" w:eastAsia="宋体" w:hAnsi="宋体" w:cs="宋体" w:hint="eastAsia"/>
          <w:color w:val="333333"/>
          <w:spacing w:val="8"/>
          <w:kern w:val="0"/>
          <w:sz w:val="24"/>
        </w:rPr>
        <w:t>提升专业机构服务能力。</w:t>
      </w:r>
    </w:p>
    <w:p w:rsidR="00A6338A" w:rsidRPr="00A6338A"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重点发展基金登记、估值核算、基金评价、货币经纪、咨询资讯等服务机构，引进会计审计、法律服务、信用评级、资产评估等中介机构。</w:t>
      </w:r>
    </w:p>
    <w:p w:rsidR="00A6338A" w:rsidRPr="00A6338A"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研究设立专业托管机构。</w:t>
      </w:r>
    </w:p>
    <w:p w:rsidR="00A6338A" w:rsidRPr="00A6338A"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推动专业机构提升专业能力，鼓励行业自律组织建立专业机构服务质量评价机制。</w:t>
      </w:r>
    </w:p>
    <w:p w:rsidR="00A6338A" w:rsidRPr="00A6338A" w:rsidRDefault="00A6338A" w:rsidP="00836363">
      <w:pPr>
        <w:pStyle w:val="a5"/>
        <w:widowControl/>
        <w:numPr>
          <w:ilvl w:val="0"/>
          <w:numId w:val="1"/>
        </w:numPr>
        <w:spacing w:beforeLines="50" w:before="156" w:afterLines="50" w:after="156"/>
        <w:ind w:firstLineChars="0"/>
        <w:jc w:val="left"/>
        <w:rPr>
          <w:rFonts w:ascii="宋体" w:eastAsia="宋体" w:hAnsi="宋体" w:cs="宋体"/>
          <w:color w:val="333333"/>
          <w:spacing w:val="8"/>
          <w:kern w:val="0"/>
          <w:sz w:val="24"/>
        </w:rPr>
      </w:pPr>
      <w:r w:rsidRPr="00A6338A">
        <w:rPr>
          <w:rFonts w:ascii="宋体" w:eastAsia="宋体" w:hAnsi="宋体" w:cs="宋体" w:hint="eastAsia"/>
          <w:color w:val="333333"/>
          <w:spacing w:val="8"/>
          <w:kern w:val="0"/>
          <w:sz w:val="24"/>
        </w:rPr>
        <w:t>强化资产管理机构合规经营。</w:t>
      </w:r>
    </w:p>
    <w:p w:rsidR="00A6338A" w:rsidRPr="00A6338A"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引导资产管理机构强化以投资者为中心的服务理念，健全内部控制和问责机制。</w:t>
      </w:r>
    </w:p>
    <w:p w:rsidR="00A6338A" w:rsidRPr="00A6338A"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推动资产管理机构准确开展资产管理产品风险评估，加强投资者适当性管理；遵循审慎经营原则，制定科学合理的投资策略和风险管理制度。</w:t>
      </w:r>
    </w:p>
    <w:p w:rsidR="00A6338A" w:rsidRPr="00A6338A"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推动资产管理机构加强投资者教育，提高其金融知识水平和风险意识；提高资产管理产品信息披露的主动性、真实性、准确性、完整性和及时性。</w:t>
      </w:r>
    </w:p>
    <w:p w:rsidR="00A6338A" w:rsidRPr="00A6338A" w:rsidRDefault="00A6338A" w:rsidP="00A6338A">
      <w:pPr>
        <w:widowControl/>
        <w:jc w:val="left"/>
        <w:rPr>
          <w:rFonts w:ascii="宋体" w:eastAsia="宋体" w:hAnsi="宋体" w:cs="宋体"/>
          <w:kern w:val="0"/>
          <w:sz w:val="24"/>
        </w:rPr>
      </w:pPr>
    </w:p>
    <w:p w:rsidR="00A6338A" w:rsidRPr="00836363" w:rsidRDefault="00A6338A" w:rsidP="00836363">
      <w:pPr>
        <w:pStyle w:val="a5"/>
        <w:widowControl/>
        <w:numPr>
          <w:ilvl w:val="0"/>
          <w:numId w:val="8"/>
        </w:numPr>
        <w:ind w:firstLineChars="0"/>
        <w:jc w:val="left"/>
        <w:rPr>
          <w:rFonts w:ascii="Helvetica Neue" w:eastAsia="宋体" w:hAnsi="Helvetica Neue" w:cs="宋体"/>
          <w:color w:val="333333"/>
          <w:spacing w:val="8"/>
          <w:kern w:val="0"/>
          <w:sz w:val="26"/>
          <w:szCs w:val="26"/>
        </w:rPr>
      </w:pPr>
      <w:r w:rsidRPr="00836363">
        <w:rPr>
          <w:rFonts w:ascii="宋体" w:eastAsia="宋体" w:hAnsi="宋体" w:cs="宋体" w:hint="eastAsia"/>
          <w:b/>
          <w:bCs/>
          <w:color w:val="333333"/>
          <w:spacing w:val="8"/>
          <w:kern w:val="0"/>
          <w:sz w:val="26"/>
          <w:szCs w:val="26"/>
        </w:rPr>
        <w:t>创新资产管理产品和服务，满足投资者多样化需求</w:t>
      </w:r>
    </w:p>
    <w:p w:rsidR="00A6338A" w:rsidRPr="00836363" w:rsidRDefault="00A6338A" w:rsidP="0032366E">
      <w:pPr>
        <w:pStyle w:val="a5"/>
        <w:widowControl/>
        <w:numPr>
          <w:ilvl w:val="0"/>
          <w:numId w:val="1"/>
        </w:numPr>
        <w:spacing w:afterLines="50" w:after="156"/>
        <w:ind w:firstLineChars="0"/>
        <w:jc w:val="left"/>
        <w:rPr>
          <w:rFonts w:ascii="宋体" w:eastAsia="宋体" w:hAnsi="宋体" w:cs="宋体"/>
          <w:color w:val="333333"/>
          <w:spacing w:val="8"/>
          <w:kern w:val="0"/>
          <w:sz w:val="24"/>
        </w:rPr>
      </w:pPr>
      <w:r w:rsidRPr="00836363">
        <w:rPr>
          <w:rFonts w:ascii="宋体" w:eastAsia="宋体" w:hAnsi="宋体" w:cs="宋体" w:hint="eastAsia"/>
          <w:color w:val="333333"/>
          <w:spacing w:val="8"/>
          <w:kern w:val="0"/>
          <w:sz w:val="24"/>
        </w:rPr>
        <w:t>提升资产管理产品创新力度。</w:t>
      </w:r>
    </w:p>
    <w:p w:rsidR="00A6338A" w:rsidRPr="00836363"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836363">
        <w:rPr>
          <w:rFonts w:ascii="宋体" w:eastAsia="宋体" w:hAnsi="宋体" w:cs="宋体" w:hint="eastAsia"/>
          <w:color w:val="333333"/>
          <w:spacing w:val="8"/>
          <w:kern w:val="0"/>
          <w:szCs w:val="21"/>
        </w:rPr>
        <w:t>丰富固定收益产品种类，加大权益类产品发行力度。</w:t>
      </w:r>
    </w:p>
    <w:p w:rsidR="00A6338A" w:rsidRPr="00A6338A"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在中证张江自主创新</w:t>
      </w:r>
      <w:r w:rsidRPr="0032366E">
        <w:rPr>
          <w:rFonts w:ascii="宋体" w:eastAsia="宋体" w:hAnsi="宋体" w:cs="宋体"/>
          <w:color w:val="333333"/>
          <w:spacing w:val="8"/>
          <w:kern w:val="0"/>
          <w:szCs w:val="21"/>
        </w:rPr>
        <w:t>50</w:t>
      </w:r>
      <w:r w:rsidRPr="00A6338A">
        <w:rPr>
          <w:rFonts w:ascii="宋体" w:eastAsia="宋体" w:hAnsi="宋体" w:cs="宋体" w:hint="eastAsia"/>
          <w:color w:val="333333"/>
          <w:spacing w:val="8"/>
          <w:kern w:val="0"/>
          <w:szCs w:val="21"/>
        </w:rPr>
        <w:t>指数基础上推出交易型开放式指数基金（</w:t>
      </w:r>
      <w:r w:rsidRPr="0032366E">
        <w:rPr>
          <w:rFonts w:ascii="宋体" w:eastAsia="宋体" w:hAnsi="宋体" w:cs="宋体"/>
          <w:color w:val="333333"/>
          <w:spacing w:val="8"/>
          <w:kern w:val="0"/>
          <w:szCs w:val="21"/>
        </w:rPr>
        <w:t>ETF</w:t>
      </w:r>
      <w:r w:rsidRPr="00A6338A">
        <w:rPr>
          <w:rFonts w:ascii="宋体" w:eastAsia="宋体" w:hAnsi="宋体" w:cs="宋体" w:hint="eastAsia"/>
          <w:color w:val="333333"/>
          <w:spacing w:val="8"/>
          <w:kern w:val="0"/>
          <w:szCs w:val="21"/>
        </w:rPr>
        <w:t>）产品，促进上海国际金融中心和科创中心建设联动。</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32366E">
        <w:rPr>
          <w:rFonts w:ascii="宋体" w:eastAsia="宋体" w:hAnsi="宋体" w:cs="宋体" w:hint="eastAsia"/>
          <w:color w:val="333333"/>
          <w:spacing w:val="8"/>
          <w:kern w:val="0"/>
          <w:szCs w:val="21"/>
        </w:rPr>
        <w:t>制定专项政策支持基础设施领域不动产投资信托基金（</w:t>
      </w:r>
      <w:r w:rsidRPr="0032366E">
        <w:rPr>
          <w:rFonts w:ascii="宋体" w:eastAsia="宋体" w:hAnsi="宋体" w:cs="宋体"/>
          <w:color w:val="333333"/>
          <w:spacing w:val="8"/>
          <w:kern w:val="0"/>
          <w:szCs w:val="21"/>
        </w:rPr>
        <w:t>REITs</w:t>
      </w:r>
      <w:r w:rsidRPr="0032366E">
        <w:rPr>
          <w:rFonts w:ascii="宋体" w:eastAsia="宋体" w:hAnsi="宋体" w:cs="宋体" w:hint="eastAsia"/>
          <w:color w:val="333333"/>
          <w:spacing w:val="8"/>
          <w:kern w:val="0"/>
          <w:szCs w:val="21"/>
        </w:rPr>
        <w:t>）试点，打造全国基础设施</w:t>
      </w:r>
      <w:r w:rsidRPr="0032366E">
        <w:rPr>
          <w:rFonts w:ascii="宋体" w:eastAsia="宋体" w:hAnsi="宋体" w:cs="宋体"/>
          <w:color w:val="333333"/>
          <w:spacing w:val="8"/>
          <w:kern w:val="0"/>
          <w:szCs w:val="21"/>
        </w:rPr>
        <w:t>REITs</w:t>
      </w:r>
      <w:r w:rsidRPr="0032366E">
        <w:rPr>
          <w:rFonts w:ascii="宋体" w:eastAsia="宋体" w:hAnsi="宋体" w:cs="宋体" w:hint="eastAsia"/>
          <w:color w:val="333333"/>
          <w:spacing w:val="8"/>
          <w:kern w:val="0"/>
          <w:szCs w:val="21"/>
        </w:rPr>
        <w:t>产品发行交易首选地。</w:t>
      </w:r>
    </w:p>
    <w:p w:rsidR="00A6338A" w:rsidRPr="00A6338A"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lastRenderedPageBreak/>
        <w:t>丰富商品类基金产品，提升重要大宗商品价格影响力。</w:t>
      </w:r>
    </w:p>
    <w:p w:rsidR="00A6338A" w:rsidRPr="00A6338A"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加强管理人中管理人（</w:t>
      </w:r>
      <w:r w:rsidRPr="0032366E">
        <w:rPr>
          <w:rFonts w:ascii="宋体" w:eastAsia="宋体" w:hAnsi="宋体" w:cs="宋体"/>
          <w:color w:val="333333"/>
          <w:spacing w:val="8"/>
          <w:kern w:val="0"/>
          <w:szCs w:val="21"/>
        </w:rPr>
        <w:t>MOM</w:t>
      </w:r>
      <w:r w:rsidRPr="00A6338A">
        <w:rPr>
          <w:rFonts w:ascii="宋体" w:eastAsia="宋体" w:hAnsi="宋体" w:cs="宋体" w:hint="eastAsia"/>
          <w:color w:val="333333"/>
          <w:spacing w:val="8"/>
          <w:kern w:val="0"/>
          <w:szCs w:val="21"/>
        </w:rPr>
        <w:t>）、基金中基金（</w:t>
      </w:r>
      <w:r w:rsidRPr="0032366E">
        <w:rPr>
          <w:rFonts w:ascii="宋体" w:eastAsia="宋体" w:hAnsi="宋体" w:cs="宋体"/>
          <w:color w:val="333333"/>
          <w:spacing w:val="8"/>
          <w:kern w:val="0"/>
          <w:szCs w:val="21"/>
        </w:rPr>
        <w:t>FOF</w:t>
      </w:r>
      <w:r w:rsidRPr="00A6338A">
        <w:rPr>
          <w:rFonts w:ascii="宋体" w:eastAsia="宋体" w:hAnsi="宋体" w:cs="宋体" w:hint="eastAsia"/>
          <w:color w:val="333333"/>
          <w:spacing w:val="8"/>
          <w:kern w:val="0"/>
          <w:szCs w:val="21"/>
        </w:rPr>
        <w:t>）等产品研发。</w:t>
      </w:r>
    </w:p>
    <w:p w:rsidR="00A6338A" w:rsidRPr="00A6338A"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完善家族信托产品服务标准。</w:t>
      </w:r>
    </w:p>
    <w:p w:rsidR="00A6338A" w:rsidRPr="00A6338A"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推动扩大个人税收递延型商业养老保险试点机构和产品范围，创新养老保险、养老信托等养老金融产品。</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支持资产管理机构申报上海金融创新奖。</w:t>
      </w:r>
    </w:p>
    <w:p w:rsidR="00A6338A" w:rsidRPr="00836363" w:rsidRDefault="00A6338A" w:rsidP="00836363">
      <w:pPr>
        <w:pStyle w:val="a5"/>
        <w:widowControl/>
        <w:numPr>
          <w:ilvl w:val="0"/>
          <w:numId w:val="1"/>
        </w:numPr>
        <w:spacing w:beforeLines="50" w:before="156" w:afterLines="50" w:after="156"/>
        <w:ind w:firstLineChars="0"/>
        <w:rPr>
          <w:rFonts w:ascii="宋体" w:eastAsia="宋体" w:hAnsi="宋体" w:cs="宋体"/>
          <w:color w:val="333333"/>
          <w:spacing w:val="8"/>
          <w:kern w:val="0"/>
          <w:sz w:val="24"/>
        </w:rPr>
      </w:pPr>
      <w:r w:rsidRPr="00836363">
        <w:rPr>
          <w:rFonts w:ascii="宋体" w:eastAsia="宋体" w:hAnsi="宋体" w:cs="宋体" w:hint="eastAsia"/>
          <w:color w:val="333333"/>
          <w:spacing w:val="8"/>
          <w:kern w:val="0"/>
          <w:sz w:val="24"/>
        </w:rPr>
        <w:t>拓展资产管理服务模式和领域。</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支持银行、基金、证券等机构申请证券基金投资顾问资格，鼓励设立投资咨询专业子公司。</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支持银行、银行理财子公司和保险机构与在沪资产管理机构开展合作。</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推动资产管理机构参与基本养老保险基金、企业年金、职业年金管理。</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支持资产管理机构加大对本市新型基础设施建设、新型城镇化建设和重大工程建设等投资力度。</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支持银行理财子公司、金融资产投资公司在沪专业子公司投资自贸试验区临港新片区及长三角重点建设项目股权和未上市企业股权。</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hint="eastAsia"/>
          <w:color w:val="333333"/>
          <w:spacing w:val="8"/>
          <w:kern w:val="0"/>
          <w:szCs w:val="21"/>
        </w:rPr>
      </w:pPr>
      <w:r w:rsidRPr="00A6338A">
        <w:rPr>
          <w:rFonts w:ascii="宋体" w:eastAsia="宋体" w:hAnsi="宋体" w:cs="宋体" w:hint="eastAsia"/>
          <w:color w:val="333333"/>
          <w:spacing w:val="8"/>
          <w:kern w:val="0"/>
          <w:szCs w:val="21"/>
        </w:rPr>
        <w:t>提升公益慈善基金会登记设立便利度，鼓励资产管理机构提供优质服务。</w:t>
      </w:r>
    </w:p>
    <w:p w:rsidR="00A6338A" w:rsidRPr="00836363" w:rsidRDefault="00A6338A" w:rsidP="00836363">
      <w:pPr>
        <w:pStyle w:val="a5"/>
        <w:widowControl/>
        <w:numPr>
          <w:ilvl w:val="0"/>
          <w:numId w:val="1"/>
        </w:numPr>
        <w:spacing w:beforeLines="50" w:before="156" w:afterLines="50" w:after="156"/>
        <w:ind w:firstLineChars="0"/>
        <w:rPr>
          <w:rFonts w:ascii="宋体" w:eastAsia="宋体" w:hAnsi="宋体" w:cs="宋体"/>
          <w:color w:val="333333"/>
          <w:spacing w:val="8"/>
          <w:kern w:val="0"/>
          <w:sz w:val="24"/>
        </w:rPr>
      </w:pPr>
      <w:r w:rsidRPr="00A6338A">
        <w:rPr>
          <w:rFonts w:ascii="宋体" w:eastAsia="宋体" w:hAnsi="宋体" w:cs="宋体" w:hint="eastAsia"/>
          <w:color w:val="333333"/>
          <w:spacing w:val="8"/>
          <w:kern w:val="0"/>
          <w:sz w:val="24"/>
        </w:rPr>
        <w:t>加</w:t>
      </w:r>
      <w:r w:rsidRPr="00836363">
        <w:rPr>
          <w:rFonts w:ascii="宋体" w:eastAsia="宋体" w:hAnsi="宋体" w:cs="宋体" w:hint="eastAsia"/>
          <w:color w:val="333333"/>
          <w:spacing w:val="8"/>
          <w:kern w:val="0"/>
          <w:sz w:val="24"/>
        </w:rPr>
        <w:t>大绿色领域投资力度。</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扩大绿色债券发行规模，</w:t>
      </w:r>
      <w:r w:rsidRPr="0032366E">
        <w:rPr>
          <w:rFonts w:ascii="宋体" w:eastAsia="宋体" w:hAnsi="宋体" w:cs="宋体" w:hint="eastAsia"/>
          <w:color w:val="333333"/>
          <w:spacing w:val="8"/>
          <w:kern w:val="0"/>
          <w:szCs w:val="21"/>
        </w:rPr>
        <w:t>推动绿色信贷资产、节能减排项目应收账款等证券化</w:t>
      </w:r>
      <w:r w:rsidRPr="00A6338A">
        <w:rPr>
          <w:rFonts w:ascii="宋体" w:eastAsia="宋体" w:hAnsi="宋体" w:cs="宋体" w:hint="eastAsia"/>
          <w:color w:val="333333"/>
          <w:spacing w:val="8"/>
          <w:kern w:val="0"/>
          <w:szCs w:val="21"/>
        </w:rPr>
        <w:t>，引导资产管理机构配置绿色资产。</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发展绿色股票指数、绿色债券指数以及相关投资产品，开展绿色基金、绿色信托等业务。</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鼓励资产管理机构开展环境、社会、治理（</w:t>
      </w:r>
      <w:r w:rsidRPr="0032366E">
        <w:rPr>
          <w:rFonts w:ascii="宋体" w:eastAsia="宋体" w:hAnsi="宋体" w:cs="宋体"/>
          <w:color w:val="333333"/>
          <w:spacing w:val="8"/>
          <w:kern w:val="0"/>
          <w:szCs w:val="21"/>
        </w:rPr>
        <w:t>ESG</w:t>
      </w:r>
      <w:r w:rsidRPr="00A6338A">
        <w:rPr>
          <w:rFonts w:ascii="宋体" w:eastAsia="宋体" w:hAnsi="宋体" w:cs="宋体" w:hint="eastAsia"/>
          <w:color w:val="333333"/>
          <w:spacing w:val="8"/>
          <w:kern w:val="0"/>
          <w:szCs w:val="21"/>
        </w:rPr>
        <w:t>）信息披露，加强</w:t>
      </w:r>
      <w:r w:rsidRPr="0032366E">
        <w:rPr>
          <w:rFonts w:ascii="宋体" w:eastAsia="宋体" w:hAnsi="宋体" w:cs="宋体"/>
          <w:color w:val="333333"/>
          <w:spacing w:val="8"/>
          <w:kern w:val="0"/>
          <w:szCs w:val="21"/>
        </w:rPr>
        <w:t>ESG</w:t>
      </w:r>
      <w:r w:rsidRPr="00A6338A">
        <w:rPr>
          <w:rFonts w:ascii="宋体" w:eastAsia="宋体" w:hAnsi="宋体" w:cs="宋体" w:hint="eastAsia"/>
          <w:color w:val="333333"/>
          <w:spacing w:val="8"/>
          <w:kern w:val="0"/>
          <w:szCs w:val="21"/>
        </w:rPr>
        <w:t>产品研发。</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培育碳资产管理机构和专业投资者，推动其积极参与碳市场交易。</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hint="eastAsia"/>
          <w:color w:val="333333"/>
          <w:spacing w:val="8"/>
          <w:kern w:val="0"/>
          <w:szCs w:val="21"/>
        </w:rPr>
      </w:pPr>
      <w:r w:rsidRPr="00A6338A">
        <w:rPr>
          <w:rFonts w:ascii="宋体" w:eastAsia="宋体" w:hAnsi="宋体" w:cs="宋体" w:hint="eastAsia"/>
          <w:color w:val="333333"/>
          <w:spacing w:val="8"/>
          <w:kern w:val="0"/>
          <w:szCs w:val="21"/>
        </w:rPr>
        <w:t>推动资产管理机构开展碳核算，开发碳基金、碳信托、碳指数、碳远期等碳金融产品，研究气候投融资产品，将上海打造成为联接国内国际的绿色金融枢纽，助力“碳达峰、碳中和”目标实现。</w:t>
      </w:r>
    </w:p>
    <w:p w:rsidR="00A6338A" w:rsidRPr="00836363" w:rsidRDefault="00A6338A" w:rsidP="00836363">
      <w:pPr>
        <w:pStyle w:val="a5"/>
        <w:widowControl/>
        <w:numPr>
          <w:ilvl w:val="0"/>
          <w:numId w:val="1"/>
        </w:numPr>
        <w:spacing w:beforeLines="50" w:before="156" w:afterLines="50" w:after="156"/>
        <w:ind w:firstLineChars="0"/>
        <w:rPr>
          <w:rFonts w:ascii="宋体" w:eastAsia="宋体" w:hAnsi="宋体" w:cs="宋体"/>
          <w:color w:val="333333"/>
          <w:spacing w:val="8"/>
          <w:kern w:val="0"/>
          <w:sz w:val="24"/>
        </w:rPr>
      </w:pPr>
      <w:r w:rsidRPr="00A6338A">
        <w:rPr>
          <w:rFonts w:ascii="宋体" w:eastAsia="宋体" w:hAnsi="宋体" w:cs="宋体" w:hint="eastAsia"/>
          <w:color w:val="333333"/>
          <w:spacing w:val="8"/>
          <w:kern w:val="0"/>
          <w:sz w:val="24"/>
        </w:rPr>
        <w:t>深化资产管理行业数字化应用。</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推进资产管理机构加大对下一代信息通信、人工智能、区块链、工业互联网、</w:t>
      </w:r>
      <w:r w:rsidRPr="0032366E">
        <w:rPr>
          <w:rFonts w:ascii="宋体" w:eastAsia="宋体" w:hAnsi="宋体" w:cs="宋体"/>
          <w:color w:val="333333"/>
          <w:spacing w:val="8"/>
          <w:kern w:val="0"/>
          <w:szCs w:val="21"/>
        </w:rPr>
        <w:t>5G</w:t>
      </w:r>
      <w:r w:rsidRPr="00A6338A">
        <w:rPr>
          <w:rFonts w:ascii="宋体" w:eastAsia="宋体" w:hAnsi="宋体" w:cs="宋体" w:hint="eastAsia"/>
          <w:color w:val="333333"/>
          <w:spacing w:val="8"/>
          <w:kern w:val="0"/>
          <w:szCs w:val="21"/>
        </w:rPr>
        <w:t>等数字技术的运用力度。</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鼓励大型资产管理机构在沪设立金融科技子公司、金融科技研发中心等。</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支持资产管理机构参与金融科技创新监管试点。</w:t>
      </w:r>
    </w:p>
    <w:p w:rsidR="00FC0DA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推动金融科技企业依法合规为资产管理机构提供销售渠道、投研交易、顾问咨询、合规风控、账管估值、客户服务等领域的服务，研发支持中小资产管理机构中后台运行的通用技术产品。</w:t>
      </w:r>
    </w:p>
    <w:p w:rsidR="00A6338A" w:rsidRPr="00836363" w:rsidRDefault="00A6338A" w:rsidP="00836363">
      <w:pPr>
        <w:widowControl/>
        <w:jc w:val="left"/>
        <w:rPr>
          <w:rFonts w:ascii="Helvetica Neue" w:eastAsia="宋体" w:hAnsi="Helvetica Neue" w:cs="宋体"/>
          <w:color w:val="333333"/>
          <w:spacing w:val="8"/>
          <w:kern w:val="0"/>
          <w:sz w:val="26"/>
          <w:szCs w:val="26"/>
        </w:rPr>
      </w:pPr>
      <w:r w:rsidRPr="00836363">
        <w:rPr>
          <w:rFonts w:ascii="宋体" w:eastAsia="宋体" w:hAnsi="宋体" w:cs="宋体" w:hint="eastAsia"/>
          <w:b/>
          <w:bCs/>
          <w:color w:val="333333"/>
          <w:spacing w:val="8"/>
          <w:kern w:val="0"/>
          <w:sz w:val="26"/>
          <w:szCs w:val="26"/>
        </w:rPr>
        <w:t>（三）发挥金融市场基础作用，增强全球资源配置能力</w:t>
      </w:r>
    </w:p>
    <w:p w:rsidR="00A6338A" w:rsidRPr="00836363" w:rsidRDefault="00A6338A" w:rsidP="0032366E">
      <w:pPr>
        <w:pStyle w:val="a5"/>
        <w:widowControl/>
        <w:numPr>
          <w:ilvl w:val="0"/>
          <w:numId w:val="1"/>
        </w:numPr>
        <w:spacing w:afterLines="50" w:after="156"/>
        <w:ind w:firstLineChars="0"/>
        <w:jc w:val="left"/>
        <w:rPr>
          <w:rFonts w:ascii="宋体" w:eastAsia="宋体" w:hAnsi="宋体" w:cs="宋体"/>
          <w:color w:val="333333"/>
          <w:spacing w:val="8"/>
          <w:kern w:val="0"/>
          <w:sz w:val="24"/>
        </w:rPr>
      </w:pPr>
      <w:r w:rsidRPr="00A6338A">
        <w:rPr>
          <w:rFonts w:ascii="宋体" w:eastAsia="宋体" w:hAnsi="宋体" w:cs="宋体" w:hint="eastAsia"/>
          <w:color w:val="333333"/>
          <w:spacing w:val="8"/>
          <w:kern w:val="0"/>
          <w:sz w:val="24"/>
        </w:rPr>
        <w:lastRenderedPageBreak/>
        <w:t>提升资产配置和风险管理功能。</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836363">
        <w:rPr>
          <w:rFonts w:ascii="宋体" w:eastAsia="宋体" w:hAnsi="宋体" w:cs="宋体" w:hint="eastAsia"/>
          <w:color w:val="333333"/>
          <w:spacing w:val="8"/>
          <w:kern w:val="0"/>
          <w:szCs w:val="21"/>
        </w:rPr>
        <w:t>增强上海金融市场全球资源配置能力，为资产管理行业提供多元化交易服务和风险对冲工具。</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扩大债券市场对外开放，丰富境外投资者类型和数量。</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发展人民币利率、外汇衍生产品市场，丰富人民币利率期权等产品类型。</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丰富证券市场股票、债券、基金等产品。</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优化期货市场投资者结构，推动建立场内全国性大宗商品仓单注册登记中心。</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推出更多具有国际影响力的重要大宗商品期货期权、国债期货期权、股指期货期权等衍生品。</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进一步完善黄金市场产品体系和服务功能，巩固上海在国际黄金市场中的地位。</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创设更多标准化票据产品，优化供应链票据平台功能。</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完善信托产品登记功能，探索建设全国集中的信托产品受益权交易流转平台。</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支持区域性股权市场建设股权投资和创业投资份额转让平台，拓宽私募股权和创业投资退出渠道。</w:t>
      </w:r>
    </w:p>
    <w:p w:rsidR="00A6338A" w:rsidRPr="00836363" w:rsidRDefault="00A6338A" w:rsidP="00836363">
      <w:pPr>
        <w:pStyle w:val="a5"/>
        <w:widowControl/>
        <w:numPr>
          <w:ilvl w:val="0"/>
          <w:numId w:val="1"/>
        </w:numPr>
        <w:spacing w:beforeLines="50" w:before="156" w:afterLines="50" w:after="156"/>
        <w:ind w:firstLineChars="0"/>
        <w:rPr>
          <w:rFonts w:ascii="宋体" w:eastAsia="宋体" w:hAnsi="宋体" w:cs="宋体"/>
          <w:color w:val="333333"/>
          <w:spacing w:val="8"/>
          <w:kern w:val="0"/>
          <w:sz w:val="24"/>
        </w:rPr>
      </w:pPr>
      <w:r w:rsidRPr="00A6338A">
        <w:rPr>
          <w:rFonts w:ascii="宋体" w:eastAsia="宋体" w:hAnsi="宋体" w:cs="宋体" w:hint="eastAsia"/>
          <w:color w:val="333333"/>
          <w:spacing w:val="8"/>
          <w:kern w:val="0"/>
          <w:sz w:val="24"/>
        </w:rPr>
        <w:t>畅通资产管理投资渠道。</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支持银行间债券市场与交易所债券市场合作。</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鼓励银行参与交易所债券投资，推动更多银行、保险机构和基金管理机构参与国债期货交易。</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研究银行进入商品期货市场，推进保险资金依托上海相关交易所投资黄金、石油等大宗商品。</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支持资产管理产品参与定增、网下申购等业务。</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hint="eastAsia"/>
          <w:color w:val="333333"/>
          <w:spacing w:val="8"/>
          <w:kern w:val="0"/>
          <w:szCs w:val="21"/>
        </w:rPr>
      </w:pPr>
      <w:r w:rsidRPr="00A6338A">
        <w:rPr>
          <w:rFonts w:ascii="宋体" w:eastAsia="宋体" w:hAnsi="宋体" w:cs="宋体" w:hint="eastAsia"/>
          <w:color w:val="333333"/>
          <w:spacing w:val="8"/>
          <w:kern w:val="0"/>
          <w:szCs w:val="21"/>
        </w:rPr>
        <w:t>鼓励跨国公司在沪设立全球或区域资金管理中心，经批准可进入银行间外汇市场交易。</w:t>
      </w:r>
    </w:p>
    <w:p w:rsidR="00A6338A" w:rsidRPr="00836363" w:rsidRDefault="00A6338A" w:rsidP="00836363">
      <w:pPr>
        <w:pStyle w:val="a5"/>
        <w:widowControl/>
        <w:numPr>
          <w:ilvl w:val="0"/>
          <w:numId w:val="1"/>
        </w:numPr>
        <w:spacing w:beforeLines="50" w:before="156" w:afterLines="50" w:after="156"/>
        <w:ind w:firstLineChars="0"/>
        <w:rPr>
          <w:rFonts w:ascii="宋体" w:eastAsia="宋体" w:hAnsi="宋体" w:cs="宋体"/>
          <w:color w:val="333333"/>
          <w:spacing w:val="8"/>
          <w:kern w:val="0"/>
          <w:sz w:val="24"/>
        </w:rPr>
      </w:pPr>
      <w:r w:rsidRPr="00A6338A">
        <w:rPr>
          <w:rFonts w:ascii="宋体" w:eastAsia="宋体" w:hAnsi="宋体" w:cs="宋体" w:hint="eastAsia"/>
          <w:color w:val="333333"/>
          <w:spacing w:val="8"/>
          <w:kern w:val="0"/>
          <w:sz w:val="24"/>
        </w:rPr>
        <w:t>推动金融市场加强国际合作。</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拓宽证券交易互通、基金互认的国家和地区范围，发展存托凭证业务。</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扩大能源化工、有色金属等商品期货国际化特定品种。</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探索符合条件的境外投资者参与国债期货交易。</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逐步推动境内结算代理行向托管行转型，为境外投资者进入银行间债券市场提供多元化服务。</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鼓励金融市场加强与境外主要金融市场之间的监管互认和业务合作。</w:t>
      </w:r>
    </w:p>
    <w:p w:rsidR="00A6338A" w:rsidRPr="00A6338A" w:rsidRDefault="00A6338A" w:rsidP="00A6338A">
      <w:pPr>
        <w:widowControl/>
        <w:rPr>
          <w:rFonts w:ascii="Helvetica Neue" w:eastAsia="宋体" w:hAnsi="Helvetica Neue" w:cs="宋体"/>
          <w:color w:val="333333"/>
          <w:spacing w:val="8"/>
          <w:kern w:val="0"/>
          <w:sz w:val="26"/>
          <w:szCs w:val="26"/>
        </w:rPr>
      </w:pPr>
      <w:r w:rsidRPr="00A6338A">
        <w:rPr>
          <w:rFonts w:ascii="宋体" w:eastAsia="宋体" w:hAnsi="宋体" w:cs="宋体" w:hint="eastAsia"/>
          <w:b/>
          <w:bCs/>
          <w:color w:val="333333"/>
          <w:spacing w:val="8"/>
          <w:kern w:val="0"/>
          <w:sz w:val="26"/>
          <w:szCs w:val="26"/>
        </w:rPr>
        <w:t>（四）扩大行业对外开放，提升资产管理国际化水平</w:t>
      </w:r>
    </w:p>
    <w:p w:rsidR="00A6338A" w:rsidRPr="00836363" w:rsidRDefault="00A6338A" w:rsidP="0032366E">
      <w:pPr>
        <w:pStyle w:val="a5"/>
        <w:widowControl/>
        <w:numPr>
          <w:ilvl w:val="0"/>
          <w:numId w:val="1"/>
        </w:numPr>
        <w:spacing w:afterLines="50" w:after="156"/>
        <w:ind w:firstLineChars="0"/>
        <w:jc w:val="left"/>
        <w:rPr>
          <w:rFonts w:ascii="宋体" w:eastAsia="宋体" w:hAnsi="宋体" w:cs="宋体"/>
          <w:color w:val="333333"/>
          <w:spacing w:val="8"/>
          <w:kern w:val="0"/>
          <w:sz w:val="24"/>
        </w:rPr>
      </w:pPr>
      <w:r w:rsidRPr="00836363">
        <w:rPr>
          <w:rFonts w:ascii="宋体" w:eastAsia="宋体" w:hAnsi="宋体" w:cs="宋体" w:hint="eastAsia"/>
          <w:color w:val="333333"/>
          <w:spacing w:val="8"/>
          <w:kern w:val="0"/>
          <w:sz w:val="24"/>
        </w:rPr>
        <w:t>推动开放创新率先试点。</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32366E">
        <w:rPr>
          <w:rFonts w:ascii="宋体" w:eastAsia="宋体" w:hAnsi="宋体" w:cs="宋体" w:hint="eastAsia"/>
          <w:color w:val="333333"/>
          <w:spacing w:val="8"/>
          <w:kern w:val="0"/>
          <w:szCs w:val="21"/>
        </w:rPr>
        <w:lastRenderedPageBreak/>
        <w:t>建设国际金融资产交易平台。</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32366E">
        <w:rPr>
          <w:rFonts w:ascii="宋体" w:eastAsia="宋体" w:hAnsi="宋体" w:cs="宋体" w:hint="eastAsia"/>
          <w:color w:val="333333"/>
          <w:spacing w:val="8"/>
          <w:kern w:val="0"/>
          <w:szCs w:val="21"/>
        </w:rPr>
        <w:t>依规推动社保基金、保险资金以及符合条件的主权基金、养老基金等境内外长期资金入市。</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32366E">
        <w:rPr>
          <w:rFonts w:ascii="宋体" w:eastAsia="宋体" w:hAnsi="宋体" w:cs="宋体" w:hint="eastAsia"/>
          <w:color w:val="333333"/>
          <w:spacing w:val="8"/>
          <w:kern w:val="0"/>
          <w:szCs w:val="21"/>
        </w:rPr>
        <w:t>支持在沪外资银行申请证券投资基金托管业务资格和银行间债券市场主承销商资格。</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32366E">
        <w:rPr>
          <w:rFonts w:ascii="宋体" w:eastAsia="宋体" w:hAnsi="宋体" w:cs="宋体" w:hint="eastAsia"/>
          <w:color w:val="333333"/>
          <w:spacing w:val="8"/>
          <w:kern w:val="0"/>
          <w:szCs w:val="21"/>
        </w:rPr>
        <w:t>深化“债券通”“沪港通”“沪伦通”等业务，探索建立居民跨境理财通道。</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32366E">
        <w:rPr>
          <w:rFonts w:ascii="宋体" w:eastAsia="宋体" w:hAnsi="宋体" w:cs="宋体" w:hint="eastAsia"/>
          <w:color w:val="333333"/>
          <w:spacing w:val="8"/>
          <w:kern w:val="0"/>
          <w:szCs w:val="21"/>
        </w:rPr>
        <w:t>支持符合条件的资产管理机构申请合格境内机构投资者（</w:t>
      </w:r>
      <w:r w:rsidRPr="0032366E">
        <w:rPr>
          <w:rFonts w:ascii="宋体" w:eastAsia="宋体" w:hAnsi="宋体" w:cs="宋体"/>
          <w:color w:val="333333"/>
          <w:spacing w:val="8"/>
          <w:kern w:val="0"/>
          <w:szCs w:val="21"/>
        </w:rPr>
        <w:t>QDII</w:t>
      </w:r>
      <w:r w:rsidRPr="0032366E">
        <w:rPr>
          <w:rFonts w:ascii="宋体" w:eastAsia="宋体" w:hAnsi="宋体" w:cs="宋体" w:hint="eastAsia"/>
          <w:color w:val="333333"/>
          <w:spacing w:val="8"/>
          <w:kern w:val="0"/>
          <w:szCs w:val="21"/>
        </w:rPr>
        <w:t>）业务资质。</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32366E">
        <w:rPr>
          <w:rFonts w:ascii="宋体" w:eastAsia="宋体" w:hAnsi="宋体" w:cs="宋体" w:hint="eastAsia"/>
          <w:color w:val="333333"/>
          <w:spacing w:val="8"/>
          <w:kern w:val="0"/>
          <w:szCs w:val="21"/>
        </w:rPr>
        <w:t>鼓励本市资产管理机构在境外设立、收购和参股资产管理机构。</w:t>
      </w:r>
    </w:p>
    <w:p w:rsidR="00A6338A" w:rsidRPr="00836363" w:rsidRDefault="00A6338A" w:rsidP="00836363">
      <w:pPr>
        <w:pStyle w:val="a5"/>
        <w:widowControl/>
        <w:numPr>
          <w:ilvl w:val="0"/>
          <w:numId w:val="1"/>
        </w:numPr>
        <w:spacing w:beforeLines="50" w:before="156" w:afterLines="50" w:after="156"/>
        <w:ind w:firstLineChars="0"/>
        <w:rPr>
          <w:rFonts w:ascii="宋体" w:eastAsia="宋体" w:hAnsi="宋体" w:cs="宋体"/>
          <w:color w:val="333333"/>
          <w:spacing w:val="8"/>
          <w:kern w:val="0"/>
          <w:sz w:val="24"/>
        </w:rPr>
      </w:pPr>
      <w:r w:rsidRPr="00A6338A">
        <w:rPr>
          <w:rFonts w:ascii="宋体" w:eastAsia="宋体" w:hAnsi="宋体" w:cs="宋体" w:hint="eastAsia"/>
          <w:color w:val="333333"/>
          <w:spacing w:val="8"/>
          <w:kern w:val="0"/>
          <w:sz w:val="24"/>
        </w:rPr>
        <w:t>深化</w:t>
      </w:r>
      <w:r w:rsidRPr="00836363">
        <w:rPr>
          <w:rFonts w:ascii="宋体" w:eastAsia="宋体" w:hAnsi="宋体" w:cs="宋体"/>
          <w:color w:val="333333"/>
          <w:spacing w:val="8"/>
          <w:kern w:val="0"/>
          <w:sz w:val="24"/>
        </w:rPr>
        <w:t>QFLP</w:t>
      </w:r>
      <w:r w:rsidRPr="00A6338A">
        <w:rPr>
          <w:rFonts w:ascii="宋体" w:eastAsia="宋体" w:hAnsi="宋体" w:cs="宋体" w:hint="eastAsia"/>
          <w:color w:val="333333"/>
          <w:spacing w:val="8"/>
          <w:kern w:val="0"/>
          <w:sz w:val="24"/>
        </w:rPr>
        <w:t>和</w:t>
      </w:r>
      <w:r w:rsidRPr="00836363">
        <w:rPr>
          <w:rFonts w:ascii="宋体" w:eastAsia="宋体" w:hAnsi="宋体" w:cs="宋体"/>
          <w:color w:val="333333"/>
          <w:spacing w:val="8"/>
          <w:kern w:val="0"/>
          <w:sz w:val="24"/>
        </w:rPr>
        <w:t>QDLP</w:t>
      </w:r>
      <w:r w:rsidRPr="00A6338A">
        <w:rPr>
          <w:rFonts w:ascii="宋体" w:eastAsia="宋体" w:hAnsi="宋体" w:cs="宋体" w:hint="eastAsia"/>
          <w:color w:val="333333"/>
          <w:spacing w:val="8"/>
          <w:kern w:val="0"/>
          <w:sz w:val="24"/>
        </w:rPr>
        <w:t>试点。</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推动参与合格境外有限合伙人（</w:t>
      </w:r>
      <w:r w:rsidRPr="0032366E">
        <w:rPr>
          <w:rFonts w:ascii="宋体" w:eastAsia="宋体" w:hAnsi="宋体" w:cs="宋体"/>
          <w:color w:val="333333"/>
          <w:spacing w:val="8"/>
          <w:kern w:val="0"/>
          <w:szCs w:val="21"/>
        </w:rPr>
        <w:t>QFLP</w:t>
      </w:r>
      <w:r w:rsidRPr="00A6338A">
        <w:rPr>
          <w:rFonts w:ascii="宋体" w:eastAsia="宋体" w:hAnsi="宋体" w:cs="宋体" w:hint="eastAsia"/>
          <w:color w:val="333333"/>
          <w:spacing w:val="8"/>
          <w:kern w:val="0"/>
          <w:szCs w:val="21"/>
        </w:rPr>
        <w:t>）试点的外资机构管理境内人民币基金，鼓励符合条件的内资机构参与</w:t>
      </w:r>
      <w:r w:rsidRPr="0032366E">
        <w:rPr>
          <w:rFonts w:ascii="宋体" w:eastAsia="宋体" w:hAnsi="宋体" w:cs="宋体"/>
          <w:color w:val="333333"/>
          <w:spacing w:val="8"/>
          <w:kern w:val="0"/>
          <w:szCs w:val="21"/>
        </w:rPr>
        <w:t>QFLP</w:t>
      </w:r>
      <w:r w:rsidRPr="00A6338A">
        <w:rPr>
          <w:rFonts w:ascii="宋体" w:eastAsia="宋体" w:hAnsi="宋体" w:cs="宋体" w:hint="eastAsia"/>
          <w:color w:val="333333"/>
          <w:spacing w:val="8"/>
          <w:kern w:val="0"/>
          <w:szCs w:val="21"/>
        </w:rPr>
        <w:t>试点。</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推进</w:t>
      </w:r>
      <w:r w:rsidRPr="0032366E">
        <w:rPr>
          <w:rFonts w:ascii="宋体" w:eastAsia="宋体" w:hAnsi="宋体" w:cs="宋体"/>
          <w:color w:val="333333"/>
          <w:spacing w:val="8"/>
          <w:kern w:val="0"/>
          <w:szCs w:val="21"/>
        </w:rPr>
        <w:t>QFLP</w:t>
      </w:r>
      <w:r w:rsidRPr="00A6338A">
        <w:rPr>
          <w:rFonts w:ascii="宋体" w:eastAsia="宋体" w:hAnsi="宋体" w:cs="宋体" w:hint="eastAsia"/>
          <w:color w:val="333333"/>
          <w:spacing w:val="8"/>
          <w:kern w:val="0"/>
          <w:szCs w:val="21"/>
        </w:rPr>
        <w:t>试点机构开展境内非上市公司股权、上市公司定向增发和夹层基金、特殊资产、私募股权、创业投资基金等投资。</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支持境外知名资产管理机构和符合条件的境内机构申请合格境内有限合伙人（</w:t>
      </w:r>
      <w:r w:rsidRPr="0032366E">
        <w:rPr>
          <w:rFonts w:ascii="宋体" w:eastAsia="宋体" w:hAnsi="宋体" w:cs="宋体"/>
          <w:color w:val="333333"/>
          <w:spacing w:val="8"/>
          <w:kern w:val="0"/>
          <w:szCs w:val="21"/>
        </w:rPr>
        <w:t>QDLP</w:t>
      </w:r>
      <w:r w:rsidRPr="00A6338A">
        <w:rPr>
          <w:rFonts w:ascii="宋体" w:eastAsia="宋体" w:hAnsi="宋体" w:cs="宋体" w:hint="eastAsia"/>
          <w:color w:val="333333"/>
          <w:spacing w:val="8"/>
          <w:kern w:val="0"/>
          <w:szCs w:val="21"/>
        </w:rPr>
        <w:t>）试点资质。</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支持</w:t>
      </w:r>
      <w:r w:rsidRPr="0032366E">
        <w:rPr>
          <w:rFonts w:ascii="宋体" w:eastAsia="宋体" w:hAnsi="宋体" w:cs="宋体"/>
          <w:color w:val="333333"/>
          <w:spacing w:val="8"/>
          <w:kern w:val="0"/>
          <w:szCs w:val="21"/>
        </w:rPr>
        <w:t>QDLP</w:t>
      </w:r>
      <w:r w:rsidRPr="00A6338A">
        <w:rPr>
          <w:rFonts w:ascii="宋体" w:eastAsia="宋体" w:hAnsi="宋体" w:cs="宋体" w:hint="eastAsia"/>
          <w:color w:val="333333"/>
          <w:spacing w:val="8"/>
          <w:kern w:val="0"/>
          <w:szCs w:val="21"/>
        </w:rPr>
        <w:t>试点机构投资境外私募基金和非上市企业股权及债权、证券市场、大宗商品、金融衍生品等领域。</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探索推动外资资产管理机构用一个主体开展</w:t>
      </w:r>
      <w:r w:rsidRPr="0032366E">
        <w:rPr>
          <w:rFonts w:ascii="宋体" w:eastAsia="宋体" w:hAnsi="宋体" w:cs="宋体"/>
          <w:color w:val="333333"/>
          <w:spacing w:val="8"/>
          <w:kern w:val="0"/>
          <w:szCs w:val="21"/>
        </w:rPr>
        <w:t>QDLP</w:t>
      </w:r>
      <w:r w:rsidRPr="00A6338A">
        <w:rPr>
          <w:rFonts w:ascii="宋体" w:eastAsia="宋体" w:hAnsi="宋体" w:cs="宋体" w:hint="eastAsia"/>
          <w:color w:val="333333"/>
          <w:spacing w:val="8"/>
          <w:kern w:val="0"/>
          <w:szCs w:val="21"/>
        </w:rPr>
        <w:t>、私募证券投资基金管理（</w:t>
      </w:r>
      <w:r w:rsidRPr="0032366E">
        <w:rPr>
          <w:rFonts w:ascii="宋体" w:eastAsia="宋体" w:hAnsi="宋体" w:cs="宋体"/>
          <w:color w:val="333333"/>
          <w:spacing w:val="8"/>
          <w:kern w:val="0"/>
          <w:szCs w:val="21"/>
        </w:rPr>
        <w:t>WFOEPFM</w:t>
      </w:r>
      <w:r w:rsidRPr="00A6338A">
        <w:rPr>
          <w:rFonts w:ascii="宋体" w:eastAsia="宋体" w:hAnsi="宋体" w:cs="宋体" w:hint="eastAsia"/>
          <w:color w:val="333333"/>
          <w:spacing w:val="8"/>
          <w:kern w:val="0"/>
          <w:szCs w:val="21"/>
        </w:rPr>
        <w:t>）等业务。</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鼓励试点机构在本市设立全球或区域管理中心，开展跨境双向投资管理。</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推动银行理财、保险资管等与试点机构开展合作。</w:t>
      </w:r>
    </w:p>
    <w:p w:rsidR="00A6338A" w:rsidRPr="00836363" w:rsidRDefault="00A6338A" w:rsidP="00836363">
      <w:pPr>
        <w:pStyle w:val="a5"/>
        <w:widowControl/>
        <w:numPr>
          <w:ilvl w:val="0"/>
          <w:numId w:val="1"/>
        </w:numPr>
        <w:spacing w:beforeLines="50" w:before="156" w:afterLines="50" w:after="156"/>
        <w:ind w:firstLineChars="0"/>
        <w:rPr>
          <w:rFonts w:ascii="宋体" w:eastAsia="宋体" w:hAnsi="宋体" w:cs="宋体"/>
          <w:color w:val="333333"/>
          <w:spacing w:val="8"/>
          <w:kern w:val="0"/>
          <w:sz w:val="24"/>
        </w:rPr>
      </w:pPr>
      <w:r w:rsidRPr="00A6338A">
        <w:rPr>
          <w:rFonts w:ascii="宋体" w:eastAsia="宋体" w:hAnsi="宋体" w:cs="宋体" w:hint="eastAsia"/>
          <w:color w:val="333333"/>
          <w:spacing w:val="8"/>
          <w:kern w:val="0"/>
          <w:sz w:val="24"/>
        </w:rPr>
        <w:t>推动重点领域更高水平开放。</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支持资产管理机构开展离岸证券投资、离岸基金管理等业务创新，探索发展人民币离岸交易。</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在自贸试验区临港新片区探索资产管理机构跨境资金管理有效途径，研究与更高水平开放相适应的离岸金融体系。</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探索资产管理机构金融数据跨境流动的安全评估和分类管理机制，支持符合条件的外资资产管理机构因集团化管理需要向境外报送有关数据，畅通资产管理机构向境外获取和提供金融信息的渠道。</w:t>
      </w:r>
    </w:p>
    <w:p w:rsidR="00A6338A" w:rsidRPr="00A6338A" w:rsidRDefault="00A6338A" w:rsidP="00A6338A">
      <w:pPr>
        <w:widowControl/>
        <w:rPr>
          <w:rFonts w:ascii="Helvetica Neue" w:eastAsia="宋体" w:hAnsi="Helvetica Neue" w:cs="宋体"/>
          <w:color w:val="333333"/>
          <w:spacing w:val="8"/>
          <w:kern w:val="0"/>
          <w:sz w:val="26"/>
          <w:szCs w:val="26"/>
        </w:rPr>
      </w:pPr>
      <w:r w:rsidRPr="00A6338A">
        <w:rPr>
          <w:rFonts w:ascii="宋体" w:eastAsia="宋体" w:hAnsi="宋体" w:cs="宋体" w:hint="eastAsia"/>
          <w:b/>
          <w:bCs/>
          <w:color w:val="333333"/>
          <w:spacing w:val="8"/>
          <w:kern w:val="0"/>
          <w:sz w:val="26"/>
          <w:szCs w:val="26"/>
        </w:rPr>
        <w:t>（五）加强高端人才引进培育，厚植资产管理人才沃土</w:t>
      </w:r>
    </w:p>
    <w:p w:rsidR="00A6338A" w:rsidRPr="00836363" w:rsidRDefault="00A6338A" w:rsidP="0032366E">
      <w:pPr>
        <w:pStyle w:val="a5"/>
        <w:widowControl/>
        <w:numPr>
          <w:ilvl w:val="0"/>
          <w:numId w:val="1"/>
        </w:numPr>
        <w:spacing w:afterLines="50" w:after="156"/>
        <w:ind w:firstLineChars="0"/>
        <w:jc w:val="left"/>
        <w:rPr>
          <w:rFonts w:ascii="宋体" w:eastAsia="宋体" w:hAnsi="宋体" w:cs="宋体"/>
          <w:color w:val="333333"/>
          <w:spacing w:val="8"/>
          <w:kern w:val="0"/>
          <w:sz w:val="24"/>
        </w:rPr>
      </w:pPr>
      <w:r w:rsidRPr="00A6338A">
        <w:rPr>
          <w:rFonts w:ascii="宋体" w:eastAsia="宋体" w:hAnsi="宋体" w:cs="宋体" w:hint="eastAsia"/>
          <w:color w:val="333333"/>
          <w:spacing w:val="8"/>
          <w:kern w:val="0"/>
          <w:sz w:val="24"/>
        </w:rPr>
        <w:t>大力引进一流资产管理人才。</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836363">
        <w:rPr>
          <w:rFonts w:ascii="宋体" w:eastAsia="宋体" w:hAnsi="宋体" w:cs="宋体" w:hint="eastAsia"/>
          <w:color w:val="333333"/>
          <w:spacing w:val="8"/>
          <w:kern w:val="0"/>
          <w:szCs w:val="21"/>
        </w:rPr>
        <w:t>积极争取国家金融管理部门支持上海在国际资产管理人才从业准入、跨境履职等方面率先试点。</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支持符合条件的资产管理人才经备案后，其境外从业经历视同国内从业经历。</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面向境外知名资产管理机构招募高端人才。</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lastRenderedPageBreak/>
        <w:t>按照国家和本市有关规定，对资产管理行业紧缺人才在落户、工作许可、永久居留以及人才公寓等方面提供便利。</w:t>
      </w:r>
    </w:p>
    <w:p w:rsidR="00A6338A" w:rsidRPr="00836363" w:rsidRDefault="00A6338A" w:rsidP="00836363">
      <w:pPr>
        <w:pStyle w:val="a5"/>
        <w:widowControl/>
        <w:numPr>
          <w:ilvl w:val="0"/>
          <w:numId w:val="1"/>
        </w:numPr>
        <w:spacing w:beforeLines="50" w:before="156" w:afterLines="50" w:after="156"/>
        <w:ind w:firstLineChars="0"/>
        <w:rPr>
          <w:rFonts w:ascii="宋体" w:eastAsia="宋体" w:hAnsi="宋体" w:cs="宋体"/>
          <w:color w:val="333333"/>
          <w:spacing w:val="8"/>
          <w:kern w:val="0"/>
          <w:sz w:val="24"/>
        </w:rPr>
      </w:pPr>
      <w:r w:rsidRPr="00A6338A">
        <w:rPr>
          <w:rFonts w:ascii="宋体" w:eastAsia="宋体" w:hAnsi="宋体" w:cs="宋体" w:hint="eastAsia"/>
          <w:color w:val="333333"/>
          <w:spacing w:val="8"/>
          <w:kern w:val="0"/>
          <w:sz w:val="24"/>
        </w:rPr>
        <w:t>积极培育各类资产管理人才。</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把资产管理人才列入上海海外金才、领军金才、青年金才重点支持范围。</w:t>
      </w:r>
    </w:p>
    <w:p w:rsidR="00C840A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发挥资产管理机构和行业自律组织作用，开展专业资格培训。</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依托上海金融人才实践基地和培训基地，加强核心资产管理骨干培育</w:t>
      </w:r>
      <w:bookmarkStart w:id="0" w:name="_GoBack"/>
      <w:r w:rsidRPr="00A6338A">
        <w:rPr>
          <w:rFonts w:ascii="宋体" w:eastAsia="宋体" w:hAnsi="宋体" w:cs="宋体" w:hint="eastAsia"/>
          <w:color w:val="333333"/>
          <w:spacing w:val="8"/>
          <w:kern w:val="0"/>
          <w:szCs w:val="21"/>
        </w:rPr>
        <w:t>。</w:t>
      </w:r>
      <w:bookmarkEnd w:id="0"/>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color w:val="333333"/>
          <w:spacing w:val="8"/>
          <w:kern w:val="0"/>
          <w:szCs w:val="21"/>
        </w:rPr>
      </w:pPr>
      <w:r w:rsidRPr="00A6338A">
        <w:rPr>
          <w:rFonts w:ascii="宋体" w:eastAsia="宋体" w:hAnsi="宋体" w:cs="宋体" w:hint="eastAsia"/>
          <w:color w:val="333333"/>
          <w:spacing w:val="8"/>
          <w:kern w:val="0"/>
          <w:szCs w:val="21"/>
        </w:rPr>
        <w:t>深化产教合作，鼓励高校开设相关课程，研究设立资产管理本科和研究生专业，培育资产管理行业基础性人才。</w:t>
      </w:r>
    </w:p>
    <w:p w:rsidR="00A6338A" w:rsidRPr="0032366E" w:rsidRDefault="00A6338A" w:rsidP="0032366E">
      <w:pPr>
        <w:pStyle w:val="a5"/>
        <w:widowControl/>
        <w:numPr>
          <w:ilvl w:val="1"/>
          <w:numId w:val="1"/>
        </w:numPr>
        <w:spacing w:beforeLines="50" w:before="156" w:line="240" w:lineRule="exact"/>
        <w:ind w:firstLineChars="0"/>
        <w:jc w:val="left"/>
        <w:rPr>
          <w:rFonts w:ascii="宋体" w:eastAsia="宋体" w:hAnsi="宋体" w:cs="宋体" w:hint="eastAsia"/>
          <w:color w:val="333333"/>
          <w:spacing w:val="8"/>
          <w:kern w:val="0"/>
          <w:szCs w:val="21"/>
        </w:rPr>
      </w:pPr>
      <w:r w:rsidRPr="00A6338A">
        <w:rPr>
          <w:rFonts w:ascii="宋体" w:eastAsia="宋体" w:hAnsi="宋体" w:cs="宋体" w:hint="eastAsia"/>
          <w:color w:val="333333"/>
          <w:spacing w:val="8"/>
          <w:kern w:val="0"/>
          <w:szCs w:val="21"/>
        </w:rPr>
        <w:t>建立资产管理行业人才数据库。</w:t>
      </w:r>
    </w:p>
    <w:sectPr w:rsidR="00A6338A" w:rsidRPr="0032366E" w:rsidSect="00E654C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ongti SC">
    <w:panose1 w:val="02010600040101010101"/>
    <w:charset w:val="86"/>
    <w:family w:val="auto"/>
    <w:pitch w:val="variable"/>
    <w:sig w:usb0="00000287" w:usb1="080F0000" w:usb2="00000010" w:usb3="00000000" w:csb0="0004009F" w:csb1="00000000"/>
  </w:font>
  <w:font w:name="Helvetica Neue">
    <w:panose1 w:val="02000503000000020004"/>
    <w:charset w:val="00"/>
    <w:family w:val="auto"/>
    <w:pitch w:val="variable"/>
    <w:sig w:usb0="E50002FF" w:usb1="500079DB" w:usb2="0000001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D5C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76527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78B5EE9"/>
    <w:multiLevelType w:val="multilevel"/>
    <w:tmpl w:val="7FE29DC4"/>
    <w:lvl w:ilvl="0">
      <w:start w:val="1"/>
      <w:numFmt w:val="decimal"/>
      <w:lvlText w:val="%1"/>
      <w:lvlJc w:val="left"/>
      <w:pPr>
        <w:ind w:left="425" w:hanging="425"/>
      </w:pPr>
      <w:rPr>
        <w:rFonts w:ascii="Songti SC" w:eastAsia="Songti SC" w:hAnsi="Songti SC"/>
      </w:rPr>
    </w:lvl>
    <w:lvl w:ilvl="1">
      <w:start w:val="1"/>
      <w:numFmt w:val="decimal"/>
      <w:lvlText w:val="%1.%2"/>
      <w:lvlJc w:val="left"/>
      <w:pPr>
        <w:ind w:left="992" w:hanging="567"/>
      </w:pPr>
      <w:rPr>
        <w:rFonts w:ascii="Songti SC" w:eastAsia="Songti SC" w:hAnsi="Songti SC"/>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CD07E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BDA7332"/>
    <w:multiLevelType w:val="hybridMultilevel"/>
    <w:tmpl w:val="F654A940"/>
    <w:lvl w:ilvl="0" w:tplc="78E45EDE">
      <w:start w:val="1"/>
      <w:numFmt w:val="decimal"/>
      <w:lvlText w:val="%1."/>
      <w:lvlJc w:val="left"/>
      <w:pPr>
        <w:ind w:left="360" w:hanging="360"/>
      </w:pPr>
      <w:rPr>
        <w:rFonts w:ascii="Helvetica Neue" w:hAnsi="Helvetica Neue"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734756"/>
    <w:multiLevelType w:val="hybridMultilevel"/>
    <w:tmpl w:val="6298D5C8"/>
    <w:lvl w:ilvl="0" w:tplc="162CD43A">
      <w:start w:val="2"/>
      <w:numFmt w:val="japaneseCounting"/>
      <w:lvlText w:val="（%1）"/>
      <w:lvlJc w:val="left"/>
      <w:pPr>
        <w:ind w:left="840" w:hanging="84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8B72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67619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E012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4"/>
  </w:num>
  <w:num w:numId="3">
    <w:abstractNumId w:val="8"/>
  </w:num>
  <w:num w:numId="4">
    <w:abstractNumId w:val="6"/>
  </w:num>
  <w:num w:numId="5">
    <w:abstractNumId w:val="1"/>
  </w:num>
  <w:num w:numId="6">
    <w:abstractNumId w:val="0"/>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8A"/>
    <w:rsid w:val="0032366E"/>
    <w:rsid w:val="00331AC9"/>
    <w:rsid w:val="00836363"/>
    <w:rsid w:val="00A6338A"/>
    <w:rsid w:val="00C840AE"/>
    <w:rsid w:val="00E654C7"/>
    <w:rsid w:val="00FC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61732A"/>
  <w15:chartTrackingRefBased/>
  <w15:docId w15:val="{CAB8D457-F33E-844B-BB46-E391573DF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6338A"/>
    <w:rPr>
      <w:b/>
      <w:bCs/>
    </w:rPr>
  </w:style>
  <w:style w:type="paragraph" w:styleId="a4">
    <w:name w:val="Normal (Web)"/>
    <w:basedOn w:val="a"/>
    <w:uiPriority w:val="99"/>
    <w:semiHidden/>
    <w:unhideWhenUsed/>
    <w:rsid w:val="00A6338A"/>
    <w:pPr>
      <w:widowControl/>
      <w:spacing w:before="100" w:beforeAutospacing="1" w:after="100" w:afterAutospacing="1"/>
      <w:jc w:val="left"/>
    </w:pPr>
    <w:rPr>
      <w:rFonts w:ascii="宋体" w:eastAsia="宋体" w:hAnsi="宋体" w:cs="宋体"/>
      <w:kern w:val="0"/>
      <w:sz w:val="24"/>
    </w:rPr>
  </w:style>
  <w:style w:type="paragraph" w:styleId="a5">
    <w:name w:val="List Paragraph"/>
    <w:basedOn w:val="a"/>
    <w:uiPriority w:val="34"/>
    <w:qFormat/>
    <w:rsid w:val="00A633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68972">
      <w:bodyDiv w:val="1"/>
      <w:marLeft w:val="0"/>
      <w:marRight w:val="0"/>
      <w:marTop w:val="0"/>
      <w:marBottom w:val="0"/>
      <w:divBdr>
        <w:top w:val="none" w:sz="0" w:space="0" w:color="auto"/>
        <w:left w:val="none" w:sz="0" w:space="0" w:color="auto"/>
        <w:bottom w:val="none" w:sz="0" w:space="0" w:color="auto"/>
        <w:right w:val="none" w:sz="0" w:space="0" w:color="auto"/>
      </w:divBdr>
    </w:div>
    <w:div w:id="116223797">
      <w:bodyDiv w:val="1"/>
      <w:marLeft w:val="0"/>
      <w:marRight w:val="0"/>
      <w:marTop w:val="0"/>
      <w:marBottom w:val="0"/>
      <w:divBdr>
        <w:top w:val="none" w:sz="0" w:space="0" w:color="auto"/>
        <w:left w:val="none" w:sz="0" w:space="0" w:color="auto"/>
        <w:bottom w:val="none" w:sz="0" w:space="0" w:color="auto"/>
        <w:right w:val="none" w:sz="0" w:space="0" w:color="auto"/>
      </w:divBdr>
    </w:div>
    <w:div w:id="139619704">
      <w:bodyDiv w:val="1"/>
      <w:marLeft w:val="0"/>
      <w:marRight w:val="0"/>
      <w:marTop w:val="0"/>
      <w:marBottom w:val="0"/>
      <w:divBdr>
        <w:top w:val="none" w:sz="0" w:space="0" w:color="auto"/>
        <w:left w:val="none" w:sz="0" w:space="0" w:color="auto"/>
        <w:bottom w:val="none" w:sz="0" w:space="0" w:color="auto"/>
        <w:right w:val="none" w:sz="0" w:space="0" w:color="auto"/>
      </w:divBdr>
    </w:div>
    <w:div w:id="309754005">
      <w:bodyDiv w:val="1"/>
      <w:marLeft w:val="0"/>
      <w:marRight w:val="0"/>
      <w:marTop w:val="0"/>
      <w:marBottom w:val="0"/>
      <w:divBdr>
        <w:top w:val="none" w:sz="0" w:space="0" w:color="auto"/>
        <w:left w:val="none" w:sz="0" w:space="0" w:color="auto"/>
        <w:bottom w:val="none" w:sz="0" w:space="0" w:color="auto"/>
        <w:right w:val="none" w:sz="0" w:space="0" w:color="auto"/>
      </w:divBdr>
    </w:div>
    <w:div w:id="529954664">
      <w:bodyDiv w:val="1"/>
      <w:marLeft w:val="0"/>
      <w:marRight w:val="0"/>
      <w:marTop w:val="0"/>
      <w:marBottom w:val="0"/>
      <w:divBdr>
        <w:top w:val="none" w:sz="0" w:space="0" w:color="auto"/>
        <w:left w:val="none" w:sz="0" w:space="0" w:color="auto"/>
        <w:bottom w:val="none" w:sz="0" w:space="0" w:color="auto"/>
        <w:right w:val="none" w:sz="0" w:space="0" w:color="auto"/>
      </w:divBdr>
    </w:div>
    <w:div w:id="546258980">
      <w:bodyDiv w:val="1"/>
      <w:marLeft w:val="0"/>
      <w:marRight w:val="0"/>
      <w:marTop w:val="0"/>
      <w:marBottom w:val="0"/>
      <w:divBdr>
        <w:top w:val="none" w:sz="0" w:space="0" w:color="auto"/>
        <w:left w:val="none" w:sz="0" w:space="0" w:color="auto"/>
        <w:bottom w:val="none" w:sz="0" w:space="0" w:color="auto"/>
        <w:right w:val="none" w:sz="0" w:space="0" w:color="auto"/>
      </w:divBdr>
    </w:div>
    <w:div w:id="577132944">
      <w:bodyDiv w:val="1"/>
      <w:marLeft w:val="0"/>
      <w:marRight w:val="0"/>
      <w:marTop w:val="0"/>
      <w:marBottom w:val="0"/>
      <w:divBdr>
        <w:top w:val="none" w:sz="0" w:space="0" w:color="auto"/>
        <w:left w:val="none" w:sz="0" w:space="0" w:color="auto"/>
        <w:bottom w:val="none" w:sz="0" w:space="0" w:color="auto"/>
        <w:right w:val="none" w:sz="0" w:space="0" w:color="auto"/>
      </w:divBdr>
    </w:div>
    <w:div w:id="705524408">
      <w:bodyDiv w:val="1"/>
      <w:marLeft w:val="0"/>
      <w:marRight w:val="0"/>
      <w:marTop w:val="0"/>
      <w:marBottom w:val="0"/>
      <w:divBdr>
        <w:top w:val="none" w:sz="0" w:space="0" w:color="auto"/>
        <w:left w:val="none" w:sz="0" w:space="0" w:color="auto"/>
        <w:bottom w:val="none" w:sz="0" w:space="0" w:color="auto"/>
        <w:right w:val="none" w:sz="0" w:space="0" w:color="auto"/>
      </w:divBdr>
    </w:div>
    <w:div w:id="766316207">
      <w:bodyDiv w:val="1"/>
      <w:marLeft w:val="0"/>
      <w:marRight w:val="0"/>
      <w:marTop w:val="0"/>
      <w:marBottom w:val="0"/>
      <w:divBdr>
        <w:top w:val="none" w:sz="0" w:space="0" w:color="auto"/>
        <w:left w:val="none" w:sz="0" w:space="0" w:color="auto"/>
        <w:bottom w:val="none" w:sz="0" w:space="0" w:color="auto"/>
        <w:right w:val="none" w:sz="0" w:space="0" w:color="auto"/>
      </w:divBdr>
    </w:div>
    <w:div w:id="920258672">
      <w:bodyDiv w:val="1"/>
      <w:marLeft w:val="0"/>
      <w:marRight w:val="0"/>
      <w:marTop w:val="0"/>
      <w:marBottom w:val="0"/>
      <w:divBdr>
        <w:top w:val="none" w:sz="0" w:space="0" w:color="auto"/>
        <w:left w:val="none" w:sz="0" w:space="0" w:color="auto"/>
        <w:bottom w:val="none" w:sz="0" w:space="0" w:color="auto"/>
        <w:right w:val="none" w:sz="0" w:space="0" w:color="auto"/>
      </w:divBdr>
    </w:div>
    <w:div w:id="934365241">
      <w:bodyDiv w:val="1"/>
      <w:marLeft w:val="0"/>
      <w:marRight w:val="0"/>
      <w:marTop w:val="0"/>
      <w:marBottom w:val="0"/>
      <w:divBdr>
        <w:top w:val="none" w:sz="0" w:space="0" w:color="auto"/>
        <w:left w:val="none" w:sz="0" w:space="0" w:color="auto"/>
        <w:bottom w:val="none" w:sz="0" w:space="0" w:color="auto"/>
        <w:right w:val="none" w:sz="0" w:space="0" w:color="auto"/>
      </w:divBdr>
    </w:div>
    <w:div w:id="979965580">
      <w:bodyDiv w:val="1"/>
      <w:marLeft w:val="0"/>
      <w:marRight w:val="0"/>
      <w:marTop w:val="0"/>
      <w:marBottom w:val="0"/>
      <w:divBdr>
        <w:top w:val="none" w:sz="0" w:space="0" w:color="auto"/>
        <w:left w:val="none" w:sz="0" w:space="0" w:color="auto"/>
        <w:bottom w:val="none" w:sz="0" w:space="0" w:color="auto"/>
        <w:right w:val="none" w:sz="0" w:space="0" w:color="auto"/>
      </w:divBdr>
    </w:div>
    <w:div w:id="1183280635">
      <w:bodyDiv w:val="1"/>
      <w:marLeft w:val="0"/>
      <w:marRight w:val="0"/>
      <w:marTop w:val="0"/>
      <w:marBottom w:val="0"/>
      <w:divBdr>
        <w:top w:val="none" w:sz="0" w:space="0" w:color="auto"/>
        <w:left w:val="none" w:sz="0" w:space="0" w:color="auto"/>
        <w:bottom w:val="none" w:sz="0" w:space="0" w:color="auto"/>
        <w:right w:val="none" w:sz="0" w:space="0" w:color="auto"/>
      </w:divBdr>
    </w:div>
    <w:div w:id="1258900275">
      <w:bodyDiv w:val="1"/>
      <w:marLeft w:val="0"/>
      <w:marRight w:val="0"/>
      <w:marTop w:val="0"/>
      <w:marBottom w:val="0"/>
      <w:divBdr>
        <w:top w:val="none" w:sz="0" w:space="0" w:color="auto"/>
        <w:left w:val="none" w:sz="0" w:space="0" w:color="auto"/>
        <w:bottom w:val="none" w:sz="0" w:space="0" w:color="auto"/>
        <w:right w:val="none" w:sz="0" w:space="0" w:color="auto"/>
      </w:divBdr>
    </w:div>
    <w:div w:id="1336686434">
      <w:bodyDiv w:val="1"/>
      <w:marLeft w:val="0"/>
      <w:marRight w:val="0"/>
      <w:marTop w:val="0"/>
      <w:marBottom w:val="0"/>
      <w:divBdr>
        <w:top w:val="none" w:sz="0" w:space="0" w:color="auto"/>
        <w:left w:val="none" w:sz="0" w:space="0" w:color="auto"/>
        <w:bottom w:val="none" w:sz="0" w:space="0" w:color="auto"/>
        <w:right w:val="none" w:sz="0" w:space="0" w:color="auto"/>
      </w:divBdr>
    </w:div>
    <w:div w:id="1422793412">
      <w:bodyDiv w:val="1"/>
      <w:marLeft w:val="0"/>
      <w:marRight w:val="0"/>
      <w:marTop w:val="0"/>
      <w:marBottom w:val="0"/>
      <w:divBdr>
        <w:top w:val="none" w:sz="0" w:space="0" w:color="auto"/>
        <w:left w:val="none" w:sz="0" w:space="0" w:color="auto"/>
        <w:bottom w:val="none" w:sz="0" w:space="0" w:color="auto"/>
        <w:right w:val="none" w:sz="0" w:space="0" w:color="auto"/>
      </w:divBdr>
    </w:div>
    <w:div w:id="1476724344">
      <w:bodyDiv w:val="1"/>
      <w:marLeft w:val="0"/>
      <w:marRight w:val="0"/>
      <w:marTop w:val="0"/>
      <w:marBottom w:val="0"/>
      <w:divBdr>
        <w:top w:val="none" w:sz="0" w:space="0" w:color="auto"/>
        <w:left w:val="none" w:sz="0" w:space="0" w:color="auto"/>
        <w:bottom w:val="none" w:sz="0" w:space="0" w:color="auto"/>
        <w:right w:val="none" w:sz="0" w:space="0" w:color="auto"/>
      </w:divBdr>
    </w:div>
    <w:div w:id="1504474394">
      <w:bodyDiv w:val="1"/>
      <w:marLeft w:val="0"/>
      <w:marRight w:val="0"/>
      <w:marTop w:val="0"/>
      <w:marBottom w:val="0"/>
      <w:divBdr>
        <w:top w:val="none" w:sz="0" w:space="0" w:color="auto"/>
        <w:left w:val="none" w:sz="0" w:space="0" w:color="auto"/>
        <w:bottom w:val="none" w:sz="0" w:space="0" w:color="auto"/>
        <w:right w:val="none" w:sz="0" w:space="0" w:color="auto"/>
      </w:divBdr>
    </w:div>
    <w:div w:id="1556695585">
      <w:bodyDiv w:val="1"/>
      <w:marLeft w:val="0"/>
      <w:marRight w:val="0"/>
      <w:marTop w:val="0"/>
      <w:marBottom w:val="0"/>
      <w:divBdr>
        <w:top w:val="none" w:sz="0" w:space="0" w:color="auto"/>
        <w:left w:val="none" w:sz="0" w:space="0" w:color="auto"/>
        <w:bottom w:val="none" w:sz="0" w:space="0" w:color="auto"/>
        <w:right w:val="none" w:sz="0" w:space="0" w:color="auto"/>
      </w:divBdr>
    </w:div>
    <w:div w:id="1627422653">
      <w:bodyDiv w:val="1"/>
      <w:marLeft w:val="0"/>
      <w:marRight w:val="0"/>
      <w:marTop w:val="0"/>
      <w:marBottom w:val="0"/>
      <w:divBdr>
        <w:top w:val="none" w:sz="0" w:space="0" w:color="auto"/>
        <w:left w:val="none" w:sz="0" w:space="0" w:color="auto"/>
        <w:bottom w:val="none" w:sz="0" w:space="0" w:color="auto"/>
        <w:right w:val="none" w:sz="0" w:space="0" w:color="auto"/>
      </w:divBdr>
    </w:div>
    <w:div w:id="1762993083">
      <w:bodyDiv w:val="1"/>
      <w:marLeft w:val="0"/>
      <w:marRight w:val="0"/>
      <w:marTop w:val="0"/>
      <w:marBottom w:val="0"/>
      <w:divBdr>
        <w:top w:val="none" w:sz="0" w:space="0" w:color="auto"/>
        <w:left w:val="none" w:sz="0" w:space="0" w:color="auto"/>
        <w:bottom w:val="none" w:sz="0" w:space="0" w:color="auto"/>
        <w:right w:val="none" w:sz="0" w:space="0" w:color="auto"/>
      </w:divBdr>
    </w:div>
    <w:div w:id="1827283669">
      <w:bodyDiv w:val="1"/>
      <w:marLeft w:val="0"/>
      <w:marRight w:val="0"/>
      <w:marTop w:val="0"/>
      <w:marBottom w:val="0"/>
      <w:divBdr>
        <w:top w:val="none" w:sz="0" w:space="0" w:color="auto"/>
        <w:left w:val="none" w:sz="0" w:space="0" w:color="auto"/>
        <w:bottom w:val="none" w:sz="0" w:space="0" w:color="auto"/>
        <w:right w:val="none" w:sz="0" w:space="0" w:color="auto"/>
      </w:divBdr>
    </w:div>
    <w:div w:id="202350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MB372</dc:creator>
  <cp:keywords/>
  <dc:description/>
  <cp:lastModifiedBy>MB372</cp:lastModifiedBy>
  <cp:revision>2</cp:revision>
  <dcterms:created xsi:type="dcterms:W3CDTF">2021-06-01T05:49:00Z</dcterms:created>
  <dcterms:modified xsi:type="dcterms:W3CDTF">2021-06-01T10:36:00Z</dcterms:modified>
</cp:coreProperties>
</file>