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Acesso de desenvolvedor e chat de suporte</w:t>
      </w:r>
    </w:p>
    <w:p>
      <w:pPr>
        <w:spacing w:after="360"/>
      </w:pPr>
      <w:r>
        <w:rPr>
          <w:color w:val="1E827A"/>
          <w:sz w:val="26"/>
        </w:rPr>
        <w:t>Guia detalhado da implementação no IdeiaTech</w:t>
      </w:r>
    </w:p>
    <w:p>
      <w:r>
        <w:t>Este documento explica a implementação do perfil de desenvolvedor e da conversa em tempo real entre a equipe técnica e o responsável de cada empresa. Ele descreve o propósito dos arquivos, o fluxo completo e o papel das linhas adicionadas ou alteradas. A explicação está somente neste documento; ela não foi inserida nos arquivos do aplicativo.</w:t>
      </w:r>
    </w:p>
    <w:p>
      <w:pPr>
        <w:pStyle w:val="Heading1"/>
      </w:pPr>
      <w:r>
        <w:t>1. O que foi construído</w:t>
      </w:r>
    </w:p>
    <w:p>
      <w:r>
        <w:t>A empresa ganha uma aba “Suporte técnico” que abre uma conversa persistente com a equipe. A equipe entra com uma conta marcada como desenvolvedor e recebe uma caixa de entrada com as conversas das empresas. As mensagens são gravadas no SQLite e distribuídas imediatamente pelo Flask-SocketIO.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244B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Parte</w:t>
            </w:r>
          </w:p>
        </w:tc>
        <w:tc>
          <w:tcPr>
            <w:tcW w:type="dxa" w:w="4997"/>
            <w:shd w:fill="244B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Acesso</w:t>
            </w:r>
          </w:p>
        </w:tc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O perfil desenvolvedor entra pelo login existente. Não existe cadastro público para esse perfil.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8"/>
              </w:rPr>
              <w:t>Empresa</w:t>
            </w:r>
          </w:p>
        </w:tc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8"/>
              </w:rPr>
              <w:t>A tela de suporte cria a conversa da empresa quando necessário e mostra o histórico.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Equipe técnica</w:t>
            </w:r>
          </w:p>
        </w:tc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A caixa lista as conversas, permite selecionar uma, responder e encerrá-la.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8"/>
              </w:rPr>
              <w:t>Tempo real</w:t>
            </w:r>
          </w:p>
        </w:tc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8"/>
              </w:rPr>
              <w:t>Socket.IO transmite novas mensagens para os participantes conectados na sala da conversa.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Persistência</w:t>
            </w:r>
          </w:p>
        </w:tc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O banco guarda conversas, estado, autoria, texto e horário; recarregar a página não apaga o histórico.</w:t>
            </w:r>
          </w:p>
        </w:tc>
      </w:tr>
    </w:tbl>
    <w:p>
      <w:pPr>
        <w:spacing w:after="40"/>
      </w:pPr>
    </w:p>
    <w:p>
      <w:pPr>
        <w:pStyle w:val="Heading1"/>
      </w:pPr>
      <w:r>
        <w:t>2. Fluxo de uma conversa</w:t>
      </w:r>
    </w:p>
    <w:p>
      <w:pPr>
        <w:pStyle w:val="ListNumber"/>
      </w:pPr>
      <w:r>
        <w:t>O responsável autenticado abre a aba Suporte técnico. O servidor localiza a empresa vinculada à conta e obtém ou cria uma conversa.</w:t>
      </w:r>
    </w:p>
    <w:p>
      <w:pPr>
        <w:pStyle w:val="ListNumber"/>
      </w:pPr>
      <w:r>
        <w:t>A tela recebe o identificador da conversa e um token CSRF associado à sessão. O navegador abre o namespace Socket.IO /suporte.</w:t>
      </w:r>
    </w:p>
    <w:p>
      <w:pPr>
        <w:pStyle w:val="ListNumber"/>
      </w:pPr>
      <w:r>
        <w:t>O servidor valida a sessão, o tipo da conta e o token antes de aceitar a conexão em tempo real.</w:t>
      </w:r>
    </w:p>
    <w:p>
      <w:pPr>
        <w:pStyle w:val="ListNumber"/>
      </w:pPr>
      <w:r>
        <w:t>Ao entrar na conversa, o servidor verifica novamente se a empresa é dona daquela conversa ou se o usuário é desenvolvedor. Só então o socket entra na sala correspondente.</w:t>
      </w:r>
    </w:p>
    <w:p>
      <w:pPr>
        <w:pStyle w:val="ListNumber"/>
      </w:pPr>
      <w:r>
        <w:t>Quando uma mensagem é enviada, o servidor valida tamanho, conteúdo, status da conversa e permissão; grava no SQLite e emite nova_mensagem para a sala.</w:t>
      </w:r>
    </w:p>
    <w:p>
      <w:pPr>
        <w:pStyle w:val="ListNumber"/>
      </w:pPr>
      <w:r>
        <w:t>O outro participante recebe o evento e a interface cria o balão de mensagem sem recarregar a página. A empresa pode reabrir uma conversa encerrada ao voltar à aba.</w:t>
      </w:r>
    </w:p>
    <w:p>
      <w:pPr>
        <w:pStyle w:val="Heading1"/>
      </w:pPr>
      <w:r>
        <w:t>3. Arquivos e responsabilidades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244B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Arquivo</w:t>
            </w:r>
          </w:p>
        </w:tc>
        <w:tc>
          <w:tcPr>
            <w:tcW w:type="dxa" w:w="4997"/>
            <w:shd w:fill="244B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Responsabilidade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BackEnd/app.py</w:t>
            </w:r>
          </w:p>
        </w:tc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Inicializa Socket.IO, decide a página inicial por tipo, filtra destinos e registra as rotas de suporte.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8"/>
              </w:rPr>
              <w:t>BackEnd/schema.sql</w:t>
            </w:r>
          </w:p>
        </w:tc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8"/>
              </w:rPr>
              <w:t>Permite o valor desenvolvedor na coluna usuarios.tipo em bancos novos.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BackEnd/banco.py</w:t>
            </w:r>
          </w:p>
        </w:tc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Migra o CHECK de bancos existentes e cria conversas_suporte, mensagens_suporte e índices.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8"/>
              </w:rPr>
              <w:t>BackEnd/criar_desenvolvedor.py</w:t>
            </w:r>
          </w:p>
        </w:tc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8"/>
              </w:rPr>
              <w:t>Cria uma conta interna com senha digitada sem eco no terminal e hash de senha.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BackEnd/suporte.py</w:t>
            </w:r>
          </w:p>
        </w:tc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Implementa páginas, endpoint do histórico, checagens de propriedade e eventos de tempo real.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8"/>
              </w:rPr>
              <w:t>Pages/Empresa/suporte.html</w:t>
            </w:r>
          </w:p>
        </w:tc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8"/>
              </w:rPr>
              <w:t>Interface de conversa vista pelo responsável da empresa.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Pages/Desenvolvedor/suporte.html</w:t>
            </w:r>
          </w:p>
        </w:tc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Caixa de entrada e painel de conversa visto pela equipe.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8"/>
              </w:rPr>
              <w:t>Script/suporte.js</w:t>
            </w:r>
          </w:p>
        </w:tc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8"/>
              </w:rPr>
              <w:t>Carrega o histórico, conecta ao socket, desenha mensagens e controla envio e encerramento.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Style/Empresa/suporte.css</w:t>
            </w:r>
          </w:p>
        </w:tc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Estilos da caixa de entrada e do chat, incluindo adaptação para telas estreitas.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8"/>
              </w:rPr>
              <w:t>Pages/Empresa/*.html</w:t>
            </w:r>
          </w:p>
        </w:tc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8"/>
              </w:rPr>
              <w:t>Recebem o link Suporte técnico no menu lateral empresarial.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requirements.txt e COMO_RODAR.md</w:t>
            </w:r>
          </w:p>
        </w:tc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Declaram a dependência e registram como instalar, migrar o banco e criar a conta.</w:t>
            </w:r>
          </w:p>
        </w:tc>
      </w:tr>
    </w:tbl>
    <w:p>
      <w:pPr>
        <w:spacing w:after="40"/>
      </w:pPr>
    </w:p>
    <w:p>
      <w:pPr>
        <w:pStyle w:val="Heading1"/>
      </w:pPr>
      <w:r>
        <w:t>4. Banco de dados</w:t>
      </w:r>
    </w:p>
    <w:p>
      <w:pPr>
        <w:pStyle w:val="Heading2"/>
      </w:pPr>
      <w:r>
        <w:t>Perfil de usuário</w:t>
      </w:r>
    </w:p>
    <w:p>
      <w:r>
        <w:t>A tabela usuarios continua sendo a identidade de login. O tipo desenvolvedor foi incluído ao CHECK do campo tipo. Em banco existente, SQLite não permite trocar diretamente esse CHECK: banco.py constrói uma tabela temporária com a definição nova, copia as colunas e os registros, substitui a tabela e restaura o índice único do e-mail. As contas anteriores conservam seus ids, senhas e tipos.</w:t>
      </w:r>
    </w:p>
    <w:p>
      <w:pPr>
        <w:pStyle w:val="Heading2"/>
      </w:pPr>
      <w:r>
        <w:t>Conversas e mensagens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244B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Tabela/campo</w:t>
            </w:r>
          </w:p>
        </w:tc>
        <w:tc>
          <w:tcPr>
            <w:tcW w:type="dxa" w:w="4997"/>
            <w:shd w:fill="244B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Papel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conversas_suporte.id</w:t>
            </w:r>
          </w:p>
        </w:tc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Identificador usado nas URLs, salas Socket.IO e consultas.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8"/>
              </w:rPr>
              <w:t>conversas_suporte.empresa_id</w:t>
            </w:r>
          </w:p>
        </w:tc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8"/>
              </w:rPr>
              <w:t>Associa uma conversa à empresa; UNIQUE define no desenho atual uma conversa por empresa.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conversas_suporte.status</w:t>
            </w:r>
          </w:p>
        </w:tc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Aceita aberta ou encerrada. Mensagens são recusadas quando encerrada.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8"/>
              </w:rPr>
              <w:t>conversas_suporte.criada_em / atualizada_em</w:t>
            </w:r>
          </w:p>
        </w:tc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8"/>
              </w:rPr>
              <w:t>Ordena a caixa e mostra a atividade mais recente.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mensagens_suporte.conversa_id</w:t>
            </w:r>
          </w:p>
        </w:tc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Liga cada mensagem à conversa; exclusão da conversa remove mensagens dependentes.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8"/>
              </w:rPr>
              <w:t>mensagens_suporte.usuario_id</w:t>
            </w:r>
          </w:p>
        </w:tc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8"/>
              </w:rPr>
              <w:t>Identifica o autor através da tabela usuarios.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mensagens_suporte.texto</w:t>
            </w:r>
          </w:p>
        </w:tc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8"/>
              </w:rPr>
              <w:t>Texto entre 1 e 4.000 caracteres, limitado também no servidor.</w:t>
            </w:r>
          </w:p>
        </w:tc>
      </w:tr>
      <w:tr>
        <w:trPr>
          <w:cantSplit/>
        </w:trPr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8"/>
              </w:rPr>
              <w:t>mensagens_suporte.criada_em</w:t>
            </w:r>
          </w:p>
        </w:tc>
        <w:tc>
          <w:tcPr>
            <w:tcW w:type="dxa" w:w="49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8"/>
              </w:rPr>
              <w:t>Registra quando a mensagem foi gravada.</w:t>
            </w:r>
          </w:p>
        </w:tc>
      </w:tr>
    </w:tbl>
    <w:p>
      <w:pPr>
        <w:spacing w:after="40"/>
      </w:pPr>
    </w:p>
    <w:p>
      <w:pPr>
        <w:pStyle w:val="Heading1"/>
      </w:pPr>
      <w:r>
        <w:t>5. Acesso e proteção</w:t>
      </w:r>
    </w:p>
    <w:p>
      <w:pPr>
        <w:pStyle w:val="ListBullet"/>
      </w:pPr>
      <w:r>
        <w:t>A conta desenvolvedor não pode ser criada pelo cadastro público. O comando é executado localmente e grava um hash da senha com Werkzeug.</w:t>
      </w:r>
    </w:p>
    <w:p>
      <w:pPr>
        <w:pStyle w:val="ListBullet"/>
      </w:pPr>
      <w:r>
        <w:t>A tela empresarial só aceita uma sessão cujo tipo seja empresa. A caixa interna só aceita desenvolvedor.</w:t>
      </w:r>
    </w:p>
    <w:p>
      <w:pPr>
        <w:pStyle w:val="ListBullet"/>
      </w:pPr>
      <w:r>
        <w:t>A consulta do histórico e os eventos de Socket.IO chamam a mesma verificação de propriedade: empresa só acessa sua conversa; desenvolvedor pode atender as conversas da caixa.</w:t>
      </w:r>
    </w:p>
    <w:p>
      <w:pPr>
        <w:pStyle w:val="ListBullet"/>
      </w:pPr>
      <w:r>
        <w:t>O token CSRF da sessão é entregue à página e enviado na autenticação Socket.IO. O servidor compara tokens em tempo constante.</w:t>
      </w:r>
    </w:p>
    <w:p>
      <w:pPr>
        <w:pStyle w:val="ListBullet"/>
      </w:pPr>
      <w:r>
        <w:t>Mensagens são inseridas como texto no DOM via textContent, então conteúdo digitado não vira HTML executável.</w:t>
      </w:r>
    </w:p>
    <w:p>
      <w:pPr>
        <w:pStyle w:val="ListBullet"/>
      </w:pPr>
      <w:r>
        <w:t>Limite atual: a permissão global do perfil não foi ampliada para todos os cadastros, pedidos e ordens. Muitas rotas existentes dependem de uma conta empresa/cliente específica; esta entrega concede acesso global às conversas de suporte, não um painel administrativo universal.</w:t>
      </w:r>
    </w:p>
    <w:p>
      <w:pPr>
        <w:pStyle w:val="Heading1"/>
      </w:pPr>
      <w:r>
        <w:t>6. Leitura linha por linha</w:t>
      </w:r>
    </w:p>
    <w:p>
      <w:r>
        <w:t>Os intervalos abaixo cobrem as linhas de código adicionadas ou alteradas. Linhas vazias apenas separam blocos. Em HTML, algumas linhas reúnem várias tags para manter a tela compacta; a descrição inclui cada elemento daquela linha. A numeração se refere ao estado atual dos arquivos.</w:t>
      </w:r>
    </w:p>
    <w:p>
      <w:pPr>
        <w:pStyle w:val="Heading2"/>
      </w:pPr>
      <w:r>
        <w:t>6.1 BackEnd/app.py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440"/>
            <w:shd w:fill="244B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Linhas</w:t>
            </w:r>
          </w:p>
        </w:tc>
        <w:tc>
          <w:tcPr>
            <w:tcW w:type="dxa" w:w="8352"/>
            <w:shd w:fill="244B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O que cada linha faz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15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Importa SocketIO para acoplar o transporte de eventos ao aplicativo Flask.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44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Cria a instância SocketIO ligada a app. CORS não abre origens externas; a página usa o mesmo domínio.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679–685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pagina_inicial_usuario direciona empresa ao painel empresarial, desenvolvedor à caixa de suporte e demais tipos ao perfil cliente.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687–708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destino_permitido_para_usuario valida o parâmetro next: só permite área empresarial a empresa/desenvolvedor e restringe /Pages/Desenvolvedor/ a desenvolvedor; preserva o filtro das páginas de cliente.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710–722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proteger_area_empresarial exige login ao entrar em /Pages/Empresa/ e aceita empresa ou desenvolvedor na barreira geral. Rotas com regras próprias continuam a validar o tipo e o contexto da empresa.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2434–2435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Importa a função que registra as rotas tradicionais de orçamento e a nova função que registra o suporte.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2437–2439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Registra as rotas de orçamento com os conectores de banco e usuário já usados no app.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2441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Registra rotas HTTP e eventos do suporte, injetando as dependências Flask/SQLite.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2443–2444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Ao iniciar diretamente app.py, executa o servidor por socketio.run para suportar Socket.IO em vez do app.run simples.</w:t>
            </w:r>
          </w:p>
        </w:tc>
      </w:tr>
    </w:tbl>
    <w:p>
      <w:pPr>
        <w:spacing w:after="40"/>
      </w:pPr>
    </w:p>
    <w:p>
      <w:pPr>
        <w:pStyle w:val="Heading2"/>
      </w:pPr>
      <w:r>
        <w:t>6.2 BackEnd/banco.py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440"/>
            <w:shd w:fill="244B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Linhas</w:t>
            </w:r>
          </w:p>
        </w:tc>
        <w:tc>
          <w:tcPr>
            <w:tcW w:type="dxa" w:w="8352"/>
            <w:shd w:fill="244B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O que cada linha faz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178–181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Consulta sqlite_master para ler a definição real da tabela usuarios criada neste banco.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182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Executa a migração só se a definição ainda não contém desenvolvedor; isso torna a alteração repetível.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183–185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Confirma migrações anteriores, desativa FKs apenas nesta conexão e abre uma transação de escrita para reconstruir a tabela com segurança.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186–205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Cria usuarios_novo com os campos atuais e inclui o terceiro tipo permitido no CHECK.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206–213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Copia explicitamente todos os campos e todos os registros existentes, mantendo identificadores e dados.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214–215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Remove a tabela antiga e renomeia a substituta para usuarios.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216–218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Recria o índice único de e-mail que pertencia à tabela removida.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219–220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Confirma a substituição e reativa verificação de chaves estrangeiras para operações posteriores.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222–229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Cria conversas_suporte: id, empresa exclusiva, status com CHECK e timestamps.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230–236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Cria mensagens_suporte, ligada à conversa e ao usuário autor, com limite de texto e horário automático.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237–240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Cria índices para obter mensagens em ordem dentro de uma conversa e ordenar conversas pela atividade.</w:t>
            </w:r>
          </w:p>
        </w:tc>
      </w:tr>
    </w:tbl>
    <w:p>
      <w:pPr>
        <w:spacing w:after="40"/>
      </w:pPr>
    </w:p>
    <w:p>
      <w:pPr>
        <w:pStyle w:val="Heading2"/>
      </w:pPr>
      <w:r>
        <w:t>6.3 BackEnd/schema.sql e requirements.txt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440"/>
            <w:shd w:fill="244B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Linhas</w:t>
            </w:r>
          </w:p>
        </w:tc>
        <w:tc>
          <w:tcPr>
            <w:tcW w:type="dxa" w:w="8352"/>
            <w:shd w:fill="244B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O que cada linha faz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schema.sql 24–26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A coluna tipo mantém cliente como padrão e agora aceita cliente, empresa ou desenvolvedor. O CHECK protege valores inválidos no próprio banco.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requirements.txt 1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Mantém Flask como dependência do servidor web.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requirements.txt 2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Adiciona Flask-SocketIO, a integração Flask para salas e eventos em tempo real.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requirements.txt 3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Mantém a dependência Groq já usada por outra parte do projeto.</w:t>
            </w:r>
          </w:p>
        </w:tc>
      </w:tr>
    </w:tbl>
    <w:p>
      <w:pPr>
        <w:spacing w:after="40"/>
      </w:pPr>
    </w:p>
    <w:p>
      <w:pPr>
        <w:pStyle w:val="Heading2"/>
      </w:pPr>
      <w:r>
        <w:t>6.4 BackEnd/criar_desenvolvedor.py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440"/>
            <w:shd w:fill="244B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Linhas</w:t>
            </w:r>
          </w:p>
        </w:tc>
        <w:tc>
          <w:tcPr>
            <w:tcW w:type="dxa" w:w="8352"/>
            <w:shd w:fill="244B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O que cada linha faz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1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Docstring explica que este script cria uma conta interna, sem rota de cadastro público.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2–5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Importa ocultação de senha no terminal, validação básica, SQLite e Path para resolver caminhos.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7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Importa o gerador seguro de hash de senha do Werkzeug.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10–12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Garante execução apenas como script e resolve o caminho BackEnd/dados/ideia_tech.db.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13–17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Solicita nome, e-mail, telefone e senha. getpass não mostra a senha durante a digitação.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18–19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Valida tamanho do nome e formato básico do e-mail; termina com uma mensagem clara se inválidos.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20–21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Exige senha repetida, com 12 a 128 caracteres.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22–24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Abre SQLite e liga as chaves estrangeiras nesta conexão.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25–28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Insere o perfil desenvolvedor. A senha gravada é um hash; o SQL usa parâmetros para os dados digitados.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29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Confirma a transação para persistir a conta.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30–32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Se o e-mail já existir ou violar unicidade, desfaz e apresenta erro sem expor detalhes internos.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33–34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Fecha a conexão mesmo se houver erro.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35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Confirma sucesso e lembra que a entrada é pelo login existente.</w:t>
            </w:r>
          </w:p>
        </w:tc>
      </w:tr>
    </w:tbl>
    <w:p>
      <w:pPr>
        <w:spacing w:after="40"/>
      </w:pPr>
    </w:p>
    <w:p>
      <w:pPr>
        <w:pStyle w:val="Heading2"/>
      </w:pPr>
      <w:r>
        <w:t>6.5 BackEnd/suporte.py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440"/>
            <w:shd w:fill="244B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Linhas</w:t>
            </w:r>
          </w:p>
        </w:tc>
        <w:tc>
          <w:tcPr>
            <w:tcW w:type="dxa" w:w="8352"/>
            <w:shd w:fill="244B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O que cada linha faz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1–3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Docstring e imports: erros/JSON/redirecionamento/templates/requests/sessão do Flask e emit/join_room do Socket.IO.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6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Define o teto de mensagem em 4.000 caracteres.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9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Função de registro recebe app, SocketIO e funções já existentes para banco e sessão; as funções internas ficam encapsuladas.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10–14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empresa_do_usuario busca a empresa vinculada ao id de usuário autenticado.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16–25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conversa_acessivel carrega conversa, empresa e nome do responsável com joins parametrizados.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26–31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Recusa ids inexistentes; permite a qualquer desenvolvedor acessar conversas de suporte e limita empresa à própria conversa.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33–45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buscar_ou_criar_conversa insere uma conversa se ainda não houver. Se já existir encerrada, reabre e atualiza o horário; depois retorna id/status.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47–53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Rota GET da empresa: exige conta empresa; usuário sem sessão é enviado ao login com next; empresa inválida recebe 404.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54–61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Abre e sempre fecha conexão SQLite; obtém empresa e conversa da conta autenticada.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62–70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Cria token CSRF se faltar, renderiza template com dados mínimos e impede cache da tela personalizada.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72–78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Rota da equipe: exige usuário logado do tipo desenvolvedor.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79–93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Consulta conversas e última mensagem, junta nomes da empresa/responsável e fecha o banco mesmo se ocorrer erro.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94–99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Garante token CSRF e valida o id selecionado; se o parâmetro for inválido, escolhe primeira conversa ou nenhuma.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100–106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Renderiza a caixa de entrada e impede cache da página com dados de suporte.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108–112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Endpoint GET do histórico; pede login e devolve 401 se a sessão acabou.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113–117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Abre o banco, aplica controle de acesso e nega com 403 quando o usuário não pode ler a conversa.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118–126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Busca até 100 mensagens recentes com autor/tipo e devolve JSON em ordem cronológica, junto do resumo da conversa.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127–128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Fecha o banco ao fim da resposta ou em caso de erro.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130–139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Handshake Socket.IO no namespace /suporte: exige sessão válida, token CSRF correspondente e tipo empresa/desenvolvedor; False recusa conexão.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141–155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Evento entrar_conversa valida id e permissão, fecha o banco, adiciona o socket à sala suporte-ID e responde com confirmação.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157–168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Evento enviar_mensagem valida sessão, id, tipo do texto, remove espaços externos e limita o conteúdo.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169–175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Abre conexão e verifica novamente propriedade e status aberta antes de aceitar o envio.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176–184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Insere mensagem e atualiza a atividade da conversa; commit persiste ambos como uma operação.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185–198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Lê a linha recém-criada, transforma em dicionário, faz rollback se houver erro, sempre fecha o banco e emite nova_mensagem à sala.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200–205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Evento encerrar_conversa só aceita desenvolvedor e exige id inteiro.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206–214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Atualiza status e horário, confirma a alteração e fecha SQLite.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215–217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Notifica a sala de que a conversa encerrou e retorna confirmação ao navegador.</w:t>
            </w:r>
          </w:p>
        </w:tc>
      </w:tr>
    </w:tbl>
    <w:p>
      <w:pPr>
        <w:spacing w:after="40"/>
      </w:pPr>
    </w:p>
    <w:p>
      <w:pPr>
        <w:pStyle w:val="Heading2"/>
      </w:pPr>
      <w:r>
        <w:t>6.6 Páginas HTML</w:t>
      </w:r>
    </w:p>
    <w:p>
      <w:pPr>
        <w:pStyle w:val="Heading3"/>
      </w:pPr>
      <w:r>
        <w:t>Pages/Empresa/suporte.html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440"/>
            <w:shd w:fill="244B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Linhas</w:t>
            </w:r>
          </w:p>
        </w:tc>
        <w:tc>
          <w:tcPr>
            <w:tcW w:type="dxa" w:w="8352"/>
            <w:shd w:fill="244B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O que cada linha faz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1–3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Declara documento HTML em português e inicia o cabeçalho.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4–9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Define codificação e viewport móvel, título, CSS, cliente Socket.IO e script do chat.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10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Entrega ao JS o id da conversa, token CSRF, tipo empresa e nome da empresa através de data attributes escapados pelo Jinja.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11–19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Monta a coluna lateral com marca, empresa atual, retorno ao painel, conversa única de suporte e texto de orientação.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20–22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Cria painel central, cabeçalho do contato técnico e aviso de boas-vindas.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23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Contêiner onde JavaScript desenha histórico e mensagens novas; aria-live anuncia alterações.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24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Formulário acessível: textarea com limite, botão de envio e instrução Enter/Shift+Enter.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25–28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Fecha seção, main, body e html.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29–30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Linhas vazias finais sem efeito funcional.</w:t>
            </w:r>
          </w:p>
        </w:tc>
      </w:tr>
    </w:tbl>
    <w:p>
      <w:pPr>
        <w:spacing w:after="40"/>
      </w:pPr>
    </w:p>
    <w:p>
      <w:pPr>
        <w:pStyle w:val="Heading3"/>
      </w:pPr>
      <w:r>
        <w:t>Pages/Desenvolvedor/suporte.html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440"/>
            <w:shd w:fill="244B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Linhas</w:t>
            </w:r>
          </w:p>
        </w:tc>
        <w:tc>
          <w:tcPr>
            <w:tcW w:type="dxa" w:w="8352"/>
            <w:shd w:fill="244B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O que cada linha faz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1–3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Declara documento HTML em português e inicia o cabeçalho.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4–9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Configura viewport, título, estilos e scripts Socket.IO/chat.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10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Fornece id selecionado, token CSRF, papel desenvolvedor e nome para o JS.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11–16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Monta a navegação lateral da equipe, dados do usuário, título da caixa e rótulos de filtragem visual.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17–23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Percorre as conversas; cada link indica selecionada, exibe iniciais da empresa, última mensagem, hora e status.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24–26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Bloco Jinja else mostra estado vazio se a lista não tiver conversa.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27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Fecha a navegação lateral das conversas.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28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Formulário de logout com token CSRF requerido pelo middleware POST.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29–30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Fecha a lateral e inicia painel da conversa.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31–32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Jinja procura na lista a conversa selecionada e guarda os seus dados.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33–34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Se houver conversa, cria cabeçalho com empresa/responsável, botão de encerramento e indicador encerrada condicional.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35–36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Cria lista acessível de mensagens e formulário de resposta com limite e instruções.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37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Sem conversa ativa, mostra o estado inicial; fecha a condição Jinja.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38–41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Fecha painel, main, body e documento.</w:t>
            </w:r>
          </w:p>
        </w:tc>
      </w:tr>
    </w:tbl>
    <w:p>
      <w:pPr>
        <w:spacing w:after="40"/>
      </w:pPr>
    </w:p>
    <w:p>
      <w:pPr>
        <w:pStyle w:val="Heading2"/>
      </w:pPr>
      <w:r>
        <w:t>6.7 Script/suporte.js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440"/>
            <w:shd w:fill="244B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Linhas</w:t>
            </w:r>
          </w:p>
        </w:tc>
        <w:tc>
          <w:tcPr>
            <w:tcW w:type="dxa" w:w="8352"/>
            <w:shd w:fill="244B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O que cada linha faz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1–6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IIFE cria escopo isolado; lê id/form/list e para se página ou biblioteca Socket.IO estiver ausente.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8–11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Obtém controles, conecta ao namespace /suporte usando token CSRF e cria conjunto de ids para impedir duplicatas.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13–15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appendMessage ignora id já desenhado e registra mensagem nova.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16–22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Cria elementos e classes de alinhamento, bolha e autor; texto do autor é inserido como texto.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23–27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Cria parágrafo e horário; textContent impede interpretar mensagem como HTML.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28–31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Anexa elementos ao DOM e rola o histórico até a mensagem mais recente.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34–42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setClosed desativa entrada/envio, troca placeholder, esconde botão e revela estado encerrado.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44–58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Busca histórico via endpoint HTTP; trata respostas não-2xx, desenha mensagens e status, apresenta erro legível.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60–62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Ao conectar entra na sala, escuta mensagem nova e recebe encerramento.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63–69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Apresenta aviso de reconexão sem duplicá-lo e remove o aviso ao restabelecer conexão.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71–87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No submit evita recarga, valida texto e conexão, envia evento com acknowledgement, limpa o campo no sucesso ou mostra erro.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88–92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Enter envia; Shift+Enter permite nova linha.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94–97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Ajusta altura do textarea ao conteúdo, limitado a 140 px.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99–104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Ao clicar em encerrar pede confirmação, emite o evento e atualiza UI se o servidor confirmar.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105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Fecha a função autoexecutável.</w:t>
            </w:r>
          </w:p>
        </w:tc>
      </w:tr>
    </w:tbl>
    <w:p>
      <w:pPr>
        <w:spacing w:after="40"/>
      </w:pPr>
    </w:p>
    <w:p>
      <w:pPr>
        <w:pStyle w:val="Heading2"/>
      </w:pPr>
      <w:r>
        <w:t>6.8 Style/Empresa/suporte.css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440"/>
            <w:shd w:fill="244B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Linhas</w:t>
            </w:r>
          </w:p>
        </w:tc>
        <w:tc>
          <w:tcPr>
            <w:tcW w:type="dxa" w:w="8352"/>
            <w:shd w:fill="244B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O que cada linha faz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1 — base e layout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A linha contém regras compactadas para tipografia e cores, reset box-sizing, grade lateral/painel, marca, avatar, cabeçalho, lista e balões. Também define estados, área de composição, foco, botões, badges, caixa vazia e mensagens de erro. As classes mine/theirs alinham mensagens locais e remotas.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2 — responsividade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Media query até 760 px estreita a navegação lateral, esconde texto secundário da lista, reduz margens/padding e ajusta o painel para telas pequenas. [hidden] mantém os estados condicionais fora do layout.</w:t>
            </w:r>
          </w:p>
        </w:tc>
      </w:tr>
    </w:tbl>
    <w:p>
      <w:pPr>
        <w:spacing w:after="40"/>
      </w:pPr>
    </w:p>
    <w:p>
      <w:pPr>
        <w:pStyle w:val="Heading2"/>
      </w:pPr>
      <w:r>
        <w:t>6.9 Menu da empresa e instruções de execução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440"/>
            <w:shd w:fill="244B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Linhas</w:t>
            </w:r>
          </w:p>
        </w:tc>
        <w:tc>
          <w:tcPr>
            <w:tcW w:type="dxa" w:w="8352"/>
            <w:shd w:fill="244B5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O que cada linha faz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Pages/Empresa/aparelhosCadastrados.html: novo link antes de &lt;/nav&gt;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/>
            </w:pPr>
            <w:r>
              <w:rPr>
                <w:sz w:val="17"/>
              </w:rPr>
              <w:t>O href abre a página de suporte e o ícone Lucide messages-square identifica a função. A mesma entrada foi adicionada a aparelhosCadastrados.html, dadosEmpresa.html, orcamentos.html, ordensServico.html, painelEmpresa.html, pedidos.html, produtos.html e solicitacoes.html.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COMO_RODAR.md 60–75</w:t>
            </w:r>
          </w:p>
        </w:tc>
        <w:tc>
          <w:tcPr>
            <w:tcW w:type="dxa" w:w="83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2F6F7"/>
          </w:tcPr>
          <w:p>
            <w:pPr>
              <w:spacing w:after="40"/>
            </w:pPr>
            <w:r>
              <w:rPr>
                <w:sz w:val="17"/>
              </w:rPr>
              <w:t>Documenta instalação atualizada, efeito da migração, criação protegida do perfil, acesso via login e comportamento do histórico/reabertura. Não altera comportamento em runtime.</w:t>
            </w:r>
          </w:p>
        </w:tc>
      </w:tr>
    </w:tbl>
    <w:p>
      <w:pPr>
        <w:spacing w:after="40"/>
      </w:pPr>
    </w:p>
    <w:p>
      <w:pPr>
        <w:pStyle w:val="Heading1"/>
      </w:pPr>
      <w:r>
        <w:t>7. Como preparar e usar</w:t>
      </w:r>
    </w:p>
    <w:p>
      <w:r>
        <w:t>Na raiz do projeto, o ambiente precisa receber a nova dependência antes da execução:</w:t>
      </w:r>
    </w:p>
    <w:p>
      <w:pPr>
        <w:ind w:left="317"/>
      </w:pPr>
      <w:r>
        <w:rPr>
          <w:rFonts w:ascii="Consolas" w:hAnsi="Consolas"/>
          <w:color w:val="1A5960"/>
          <w:sz w:val="18"/>
        </w:rPr>
        <w:t>.\.venv\Scripts\python.exe -m pip install -r requirements.txt</w:t>
      </w:r>
    </w:p>
    <w:p>
      <w:pPr>
        <w:ind w:left="317"/>
      </w:pPr>
      <w:r>
        <w:rPr>
          <w:rFonts w:ascii="Consolas" w:hAnsi="Consolas"/>
          <w:color w:val="1A5960"/>
          <w:sz w:val="18"/>
        </w:rPr>
        <w:t>.\.venv\Scripts\python.exe BackEnd\banco.py</w:t>
      </w:r>
    </w:p>
    <w:p>
      <w:pPr>
        <w:ind w:left="317"/>
      </w:pPr>
      <w:r>
        <w:rPr>
          <w:rFonts w:ascii="Consolas" w:hAnsi="Consolas"/>
          <w:color w:val="1A5960"/>
          <w:sz w:val="18"/>
        </w:rPr>
        <w:t>.\.venv\Scripts\python.exe BackEnd\criar_desenvolvedor.py</w:t>
      </w:r>
    </w:p>
    <w:p>
      <w:r>
        <w:t>O comando de conta solicita nome, e-mail, telefone e senha duas vezes. Depois, iniciar BackEnd/app.py e entrar com essa conta leva à caixa do desenvolvedor. Uma conta empresa acessa Suporte técnico no menu lateral.</w:t>
      </w:r>
    </w:p>
    <w:p>
      <w:pPr>
        <w:pStyle w:val="Heading1"/>
      </w:pPr>
      <w:r>
        <w:t>8. O que esta versão ainda não faz</w:t>
      </w:r>
    </w:p>
    <w:p>
      <w:pPr>
        <w:pStyle w:val="ListBullet"/>
      </w:pPr>
      <w:r>
        <w:t>A conta desenvolvedor não ganha uma visão administrativa universal de clientes, pedidos, ordens ou dados empresariais. A implementação libera a caixa de suporte e todas as conversas, mas as demais rotas mantêm as regras antigas e várias exigem uma empresa ou cliente associado ao usuário logado.</w:t>
      </w:r>
    </w:p>
    <w:p>
      <w:pPr>
        <w:pStyle w:val="ListBullet"/>
      </w:pPr>
      <w:r>
        <w:t>A conversa é única por empresa. O esquema atual não tem anexos, indicador de leitura, notificações fora da página, transferência de conversa, presença real nem busca/filtro funcional; “Recentes” é apenas texto de interface e a lista muda ao recarregar.</w:t>
      </w:r>
    </w:p>
    <w:p>
      <w:pPr>
        <w:pStyle w:val="ListBullet"/>
      </w:pPr>
      <w:r>
        <w:t>A integração está pronta para um processo do servidor e banco SQLite local. Para escalar entre várias instâncias, será necessário compartilhar o banco e configurar um message queue compatível com Socket.IO.</w:t>
      </w:r>
    </w:p>
    <w:p>
      <w:pPr>
        <w:pStyle w:val="ListBullet"/>
      </w:pPr>
      <w:r>
        <w:t>O documento explica o código revisado, mas não declara que foi executado nem testado. A dependência Flask-SocketIO precisa ser instalada no ambiente antes de iniciar o servidor.</w:t>
      </w:r>
    </w:p>
    <w:p>
      <w:pPr>
        <w:pStyle w:val="Heading1"/>
      </w:pPr>
      <w:r>
        <w:t>9. Resumo do desenho</w:t>
      </w:r>
    </w:p>
    <w:p>
      <w:r>
        <w:t>O Flask continua responsável por login, páginas e consultas históricas. O SQLite persiste o estado e as mensagens. O Flask-SocketIO mantém a entrega ao vivo. A validação de acesso permanece no servidor em cada rota/evento; o navegador cuida da apresentação e da interação.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color w:val="5A7077"/>
      </w:rPr>
      <w:t>Acesso de desenvolvedor e suporte em tempo real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b/>
        <w:color w:val="5A7077"/>
      </w:rPr>
      <w:t>IDEIATECH  /  GUIA TÉCNICO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330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Acesso de desenvolvedor e chat de suporte no IdeiaTech</dc:title>
  <dc:subject>Explicação linha a linha da implementação empresarial de suporte</dc:subject>
  <dc:creator>IdeiaTech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