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Auditoria do sistema IdeiaTech</w:t>
      </w:r>
    </w:p>
    <w:p>
      <w:pPr>
        <w:spacing w:after="180"/>
      </w:pPr>
      <w:r>
        <w:rPr>
          <w:b/>
          <w:color w:val="167D9A"/>
          <w:sz w:val="26"/>
        </w:rPr>
        <w:t>Relatório de prontidão para apresentação do MVP</w:t>
      </w:r>
    </w:p>
    <w:p>
      <w:r>
        <w:t>Avaliação funcional, técnica, estrutural e visual para apoiar a preparação da demonstração prevista para 23 de outubro de 2026 à tarde.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952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3384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EVIDÊNCIA</w:t>
            </w:r>
          </w:p>
        </w:tc>
        <w:tc>
          <w:tcPr>
            <w:tcW w:type="dxa" w:w="3816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DECISÃO PARA A DEMO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Adequado para demonstração local guiada, com ressalvas.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20 testes automatizados passaram; 25 páginas HTML e recursos locais percorridos via HTTP.</w:t>
            </w:r>
          </w:p>
        </w:tc>
        <w:tc>
          <w:tcPr>
            <w:tcW w:type="dxa" w:w="381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Alinhar a narrativa da IdeiaAI ao comportamento atual e ensaiar com contas/dados preparados.</w:t>
            </w:r>
          </w:p>
        </w:tc>
      </w:tr>
    </w:tbl>
    <w:p>
      <w:pPr>
        <w:spacing w:after="0"/>
      </w:pPr>
    </w:p>
    <w:p>
      <w:pPr>
        <w:pStyle w:val="Heading1"/>
      </w:pPr>
      <w:r>
        <w:t>Conclusão executiva</w:t>
      </w:r>
    </w:p>
    <w:p>
      <w:r>
        <w:t>Não foi encontrada falha crítica reproduzível nesta rodada. Os fluxos de pedidos/estoque e edição de dados empresariais têm testes automatizados úteis. A principal exposição na apresentação é a discrepância entre a promessa de análise por IA e a implementação atual, que devolve conteúdo e valores fixos por categoria. A cobertura automatizada não representa todos os fluxos do produto, e não houve ensaio visual em navegadores/tamanhos variados nem validação de produção.</w:t>
      </w:r>
    </w:p>
    <w:p>
      <w:pPr>
        <w:pStyle w:val="Heading2"/>
      </w:pPr>
      <w:r>
        <w:t>Legenda de gravidade</w:t>
      </w:r>
    </w:p>
    <w:p>
      <w:r>
        <w:t>Alta: pode comprometer credibilidade ou resultado central da demonstração. Média: risco relevante de falha/regressão ou dependência que requer preparação. Baixa: melhoria de qualidade com impacto limitado no roteiro de amanhã.</w:t>
      </w:r>
    </w:p>
    <w:p>
      <w:pPr>
        <w:pStyle w:val="Heading1"/>
      </w:pPr>
      <w:r>
        <w:t>1. Escopo e método</w:t>
      </w:r>
    </w:p>
    <w:p>
      <w:pPr>
        <w:pStyle w:val="ListBullet"/>
        <w:spacing w:after="40"/>
      </w:pPr>
      <w:r>
        <w:t>Inspeção das rotas Flask, páginas HTML, scripts JavaScript, estilos CSS, configuração e estrutura SQLite.</w:t>
      </w:r>
    </w:p>
    <w:p>
      <w:pPr>
        <w:pStyle w:val="ListBullet"/>
        <w:spacing w:after="40"/>
      </w:pPr>
      <w:r>
        <w:t>Execução da suíte existente de BackEnd/tests: unittest discover -s BackEnd/tests.</w:t>
      </w:r>
    </w:p>
    <w:p>
      <w:pPr>
        <w:pStyle w:val="ListBullet"/>
        <w:spacing w:after="40"/>
      </w:pPr>
      <w:r>
        <w:t>Smoke test HTTP das 25 páginas; páginas públicas retornaram 200 e páginas protegidas redirecionaram usuários anônimos (302). Recursos locais em Style, Script e Assets retornaram 200.</w:t>
      </w:r>
    </w:p>
    <w:p>
      <w:pPr>
        <w:pStyle w:val="ListBullet"/>
        <w:spacing w:after="40"/>
      </w:pPr>
      <w:r>
        <w:t>Revisão estática de autenticação/sessão, CSRF, recuperação de senha, carrinho/pedidos, orçamento e serviços externos citados no código.</w:t>
      </w:r>
    </w:p>
    <w:p>
      <w:pPr>
        <w:pStyle w:val="ListBullet"/>
        <w:spacing w:after="40"/>
      </w:pPr>
      <w:r>
        <w:t>Leitura da documentação de execução local e requisitos declarados para configuração de produção.</w:t>
      </w:r>
    </w:p>
    <w:p>
      <w:pPr>
        <w:pStyle w:val="Heading2"/>
      </w:pPr>
      <w:r>
        <w:t>Como interpretar o resultado</w:t>
      </w:r>
    </w:p>
    <w:p>
      <w:r>
        <w:t>O smoke test confirma resposta HTTP e controle básico de acesso anônimo; não equivale à navegação completa de cada formulário. A análise estática identifica comportamento provável pelo código, mas não substitui teste de uso. Os achados abaixo diferenciam evidência observada, inferência de risco e ação recomendada.</w:t>
      </w:r>
    </w:p>
    <w:p>
      <w:pPr>
        <w:pStyle w:val="Heading1"/>
      </w:pPr>
      <w:r>
        <w:t>2. Fluxos do sistema e cobertura observada</w:t>
      </w:r>
    </w:p>
    <w:p>
      <w:r>
        <w:t>As rotas e páginas encontradas mostram dois percursos principais, cliente e empresa. “Não exercitado de ponta a ponta” significa que o fluxo foi mapeado no código, mas não validado integralmente por automação nesta rodada.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ÁREA / FLUXO</w:t>
            </w:r>
          </w:p>
        </w:tc>
        <w:tc>
          <w:tcPr>
            <w:tcW w:type="dxa" w:w="3528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 QUE FOI IDENTIFICADO</w:t>
            </w:r>
          </w:p>
        </w:tc>
        <w:tc>
          <w:tcPr>
            <w:tcW w:type="dxa" w:w="4968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COBERTURA NESTA AUDITORIA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Acesso e conta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Cadastro cliente/empresa, login, sessão, logout, recuperação e redefinição de senha.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Páginas públicas no smoke; estrutura/CSRF inspecionados. Sem suíte ampla de cadastro/login/recuperação.</w:t>
            </w:r>
          </w:p>
        </w:tc>
      </w:tr>
      <w:tr>
        <w:tc>
          <w:tcPr>
            <w:tcW w:type="dxa" w:w="165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Perfil e endereço</w:t>
            </w:r>
          </w:p>
        </w:tc>
        <w:tc>
          <w:tcPr>
            <w:tcW w:type="dxa" w:w="352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Visualização/edição de perfil, endereço e consulta de frete.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Rotas identificadas e controle de acesso inspecionado; percurso completo não exercitado.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Vitrine e compra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Catálogo, carrinho, consulta/uso de endereço, frete, criação e acompanhamento de pedidos.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Testes cobrem criação, estoque, agrupamento por empresa, status e cancelamento; fluxo de tela completo não exercitado.</w:t>
            </w:r>
          </w:p>
        </w:tc>
      </w:tr>
      <w:tr>
        <w:tc>
          <w:tcPr>
            <w:tcW w:type="dxa" w:w="165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Assistência e coleta</w:t>
            </w:r>
          </w:p>
        </w:tc>
        <w:tc>
          <w:tcPr>
            <w:tcW w:type="dxa" w:w="352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Solicitação de atendimento, descrição do problema, modalidade loja/coleta e consulta de CEP.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Rotas/scripts inspecionados; dependência ViaCEP identificada; sem teste ponta a ponta.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Análise e orçamento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Análise preliminar, geração/apresentação de faixa e prazo, envio da solicitação e decisão do cliente.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Endpoint estático examinado; caminho completo cliente-empresa-cliente sem testes automatizados identificados.</w:t>
            </w:r>
          </w:p>
        </w:tc>
      </w:tr>
      <w:tr>
        <w:tc>
          <w:tcPr>
            <w:tcW w:type="dxa" w:w="165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Acompanhamento técnico</w:t>
            </w:r>
          </w:p>
        </w:tc>
        <w:tc>
          <w:tcPr>
            <w:tcW w:type="dxa" w:w="352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Acompanhamento de ordens, preferências de entrega e mudança de etapas.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Rotas e páginas identificadas; sem suíte automatizada ampla de transições nesta rodada.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Operação empresarial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Painel, dados da empresa, aparelhos, solicitações, orçamentos, produtos, pedidos e ordens de serviço.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Testes específicos de dados empresariais e gestão de pedidos; demais páginas privadas redirecionaram anonimamente.</w:t>
            </w:r>
          </w:p>
        </w:tc>
      </w:tr>
      <w:tr>
        <w:tc>
          <w:tcPr>
            <w:tcW w:type="dxa" w:w="165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Interface e responsividade</w:t>
            </w:r>
          </w:p>
        </w:tc>
        <w:tc>
          <w:tcPr>
            <w:tcW w:type="dxa" w:w="352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HTML, CSS, recursos e composição de páginas.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Recursos locais retornaram 200. Não foi feito ensaio visual em viewport/navegadores variados nem auditoria de acessibilidade.</w:t>
            </w:r>
          </w:p>
        </w:tc>
      </w:tr>
    </w:tbl>
    <w:p>
      <w:pPr>
        <w:spacing w:after="0"/>
      </w:pPr>
    </w:p>
    <w:p>
      <w:pPr>
        <w:pStyle w:val="Heading1"/>
      </w:pPr>
      <w:r>
        <w:t>3. Achados e gravidade</w:t>
      </w:r>
    </w:p>
    <w:p>
      <w:pPr>
        <w:pStyle w:val="Heading2"/>
      </w:pPr>
      <w:r>
        <w:t>Alta | IdeiaAI é apresentada como análise por IA, mas a resposta é fixa</w:t>
      </w:r>
    </w:p>
    <w:p>
      <w:r>
        <w:t>Evidência: POST /api/orcamento/analisar em BackEnd/app.py escolhe mensagens, faixas de preço e prazos a partir de dicionários indexados pela categoria. A rota não consulta BackEnd/ia_prompt.py nem um provedor de modelo. A tela/script descreve o processo como análise IdeiaAI. As faixas são atribuídas genericamente a referências brasileiras de 2026, sem referências verificáveis apresentadas ao usuário.</w:t>
      </w:r>
    </w:p>
    <w:p>
      <w:r>
        <w:t>Risco: um público técnico pode perguntar qual modelo é usado, como se controla a resposta e quais fontes sustentam os valores. O comportamento do produto não sustenta a afirmação de inferência por IA, e a precisão aparente dos valores pode ser interpretada como dado validado.</w:t>
      </w:r>
    </w:p>
    <w:p>
      <w:r>
        <w:t>Ação para amanhã: apresentar como “triagem preliminar” ou “estimativa orientativa por categoria”, explicando que preço e prazo são referências ilustrativas a confirmar pela assistência. Se a narrativa exigir IA real, a integração e validação precisam ocorrer antes de manter essa afirmação.</w:t>
      </w:r>
    </w:p>
    <w:p>
      <w:pPr>
        <w:pStyle w:val="Heading2"/>
      </w:pPr>
      <w:r>
        <w:t>Média | Cobertura automatizada é estreita para a quantidade de percursos</w:t>
      </w:r>
    </w:p>
    <w:p>
      <w:r>
        <w:t>Evidência: os 20 testes concentram-se em pedidos/estoque e dados empresariais. Não foi localizada cobertura automatizada equivalente para cadastro, login, recuperação, perfil/endereço, frete, atendimento/coleta, orçamento e decisão do cliente, ordens e transições de status, responsividade ou acessibilidade.</w:t>
      </w:r>
    </w:p>
    <w:p>
      <w:r>
        <w:t>Risco: áreas sem testes podem regredir sem que a suíte atual indique problema. Ação: para a demo, percorrer manualmente o roteiro escolhido e conferir as contas; depois, ampliar testes de integração nos fluxos de orçamento, atendimento e autenticação.</w:t>
      </w:r>
    </w:p>
    <w:p>
      <w:pPr>
        <w:pStyle w:val="Heading2"/>
      </w:pPr>
      <w:r>
        <w:t>Média | Serviços externos podem degradar a experiência da demo</w:t>
      </w:r>
    </w:p>
    <w:p>
      <w:r>
        <w:t>Evidência: a busca de CEP de coleta chama o ViaCEP no navegador e algumas páginas carregam Google Fonts. A inspeção confirmou apenas os recursos locais, não a disponibilidade dessas dependências externas.</w:t>
      </w:r>
    </w:p>
    <w:p>
      <w:r>
        <w:t>Risco e ação: rede instável pode impedir a consulta do CEP ou mudar a tipografia. Ensaiar no local/rede do evento, testar preenchimento manual e deixar dados de demonstração prontos.</w:t>
      </w:r>
    </w:p>
    <w:p>
      <w:pPr>
        <w:pStyle w:val="Heading2"/>
      </w:pPr>
      <w:r>
        <w:t>Baixa | Validação de e-mail é permissiva em partes do cadastro</w:t>
      </w:r>
    </w:p>
    <w:p>
      <w:r>
        <w:t>Evidência: validações de servidor usam presença de “@” como verificação básica em alguns caminhos. Risco: endereços malformados podem persistir e falhar em recuperação ou comunicação. Melhorar com validação de formato consistente e confirmação por e-mail quando o serviço estiver ativo.</w:t>
      </w:r>
    </w:p>
    <w:p>
      <w:pPr>
        <w:pStyle w:val="Heading2"/>
      </w:pPr>
      <w:r>
        <w:t>Baixa | Ambiente de produção não comprovado</w:t>
      </w:r>
    </w:p>
    <w:p>
      <w:r>
        <w:t>Evidência: COMO_RODAR.md descreve a execução local como desenvolvimento e lista requisitos de produção como HTTPS, chave persistente, SMTP e APP_ENV=production. Não foram fornecidos ambiente de deploy ou ensaio de produção. Isso não bloqueia uma demo local preparada; não permite afirmar prontidão para operação pública.</w:t>
      </w:r>
    </w:p>
    <w:p>
      <w:pPr>
        <w:pStyle w:val="Heading1"/>
      </w:pPr>
      <w:r>
        <w:t>4. Segurança, dados e estrutura</w:t>
      </w:r>
    </w:p>
    <w:p>
      <w:pPr>
        <w:pStyle w:val="ListBullet"/>
        <w:spacing w:after="40"/>
      </w:pPr>
      <w:r>
        <w:t>Observado no código: token CSRF obrigatório em métodos de escrita, comparação segura, cookies de sessão HttpOnly e SameSite=Lax, duração de sessão definida, proteção de áreas empresariais e controle de acesso associado à conta.</w:t>
      </w:r>
    </w:p>
    <w:p>
      <w:pPr>
        <w:pStyle w:val="ListBullet"/>
        <w:spacing w:after="40"/>
      </w:pPr>
      <w:r>
        <w:t>A configuração define cookie Secure quando APP_ENV=production e impede recuperação local nesse modo; a operação em produção ainda depende de variáveis e HTTPS conforme a documentação.</w:t>
      </w:r>
    </w:p>
    <w:p>
      <w:pPr>
        <w:pStyle w:val="ListBullet"/>
        <w:spacing w:after="40"/>
      </w:pPr>
      <w:r>
        <w:t>O schema SQLite organiza usuários, empresas, produtos, pedidos/itens, solicitações, orçamentos, ordens e histórico, com chaves estrangeiras e restrições de status/valores.</w:t>
      </w:r>
    </w:p>
    <w:p>
      <w:pPr>
        <w:pStyle w:val="ListBullet"/>
        <w:spacing w:after="40"/>
      </w:pPr>
      <w:r>
        <w:t>Testes de pedidos verificam controle de acesso/CSRF, rejeição de carrinho inválido, baixa e reversão de estoque, sequência de status e atomicidade em falha SQL.</w:t>
      </w:r>
    </w:p>
    <w:p>
      <w:pPr>
        <w:pStyle w:val="ListBullet"/>
        <w:spacing w:after="40"/>
      </w:pPr>
      <w:r>
        <w:t>Testes de dados empresariais verificam acesso restrito, isolamento por empresa autenticada, CSRF, dados inválidos e duplicidade de CNPJ.</w:t>
      </w:r>
    </w:p>
    <w:p>
      <w:r>
        <w:t>Limite: esta é uma revisão direcionada, não um pentest. Não foi executado teste de carga, revisão completa de acessibilidade, validação SMTP nem avaliação de implantação.</w:t>
      </w:r>
    </w:p>
    <w:p>
      <w:pPr>
        <w:pStyle w:val="Heading1"/>
      </w:pPr>
      <w:r>
        <w:t>5. Execução dos testes e inspeção de páginas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2448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256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Suíte automatizada existente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20 aprovados</w:t>
            </w:r>
          </w:p>
        </w:tc>
        <w:tc>
          <w:tcPr>
            <w:tcW w:type="dxa" w:w="52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unittest discover -s BackEnd/tests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Primeira tentativa no sandbox</w:t>
            </w:r>
          </w:p>
        </w:tc>
        <w:tc>
          <w:tcPr>
            <w:tcW w:type="dxa" w:w="244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Falha ao criar banco temporário</w:t>
            </w:r>
          </w:p>
        </w:tc>
        <w:tc>
          <w:tcPr>
            <w:tcW w:type="dxa" w:w="525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O %TEMP% do sandbox não permitiu escrita; não foi erro funcional dos testes.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Reexecução com TEMP/TMP em .test-tmp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20 aprovados</w:t>
            </w:r>
          </w:p>
        </w:tc>
        <w:tc>
          <w:tcPr>
            <w:tcW w:type="dxa" w:w="52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Mesma suíte concluída com sucesso.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Páginas HTML</w:t>
            </w:r>
          </w:p>
        </w:tc>
        <w:tc>
          <w:tcPr>
            <w:tcW w:type="dxa" w:w="244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25 percorridas</w:t>
            </w:r>
          </w:p>
        </w:tc>
        <w:tc>
          <w:tcPr>
            <w:tcW w:type="dxa" w:w="525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Páginas públicas 200; páginas protegidas retornaram 302 sem sessão.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CSS, JS e Assets locais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Sem erros HTTP encontrados</w:t>
            </w:r>
          </w:p>
        </w:tc>
        <w:tc>
          <w:tcPr>
            <w:tcW w:type="dxa" w:w="52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Todos os recursos locais percorridos retornaram 200.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UI em múltiplos viewports</w:t>
            </w:r>
          </w:p>
        </w:tc>
        <w:tc>
          <w:tcPr>
            <w:tcW w:type="dxa" w:w="244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Não executada</w:t>
            </w:r>
          </w:p>
        </w:tc>
        <w:tc>
          <w:tcPr>
            <w:tcW w:type="dxa" w:w="5256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Exige inspeção visual real em navegadores/tamanhos variados.</w:t>
            </w:r>
          </w:p>
        </w:tc>
      </w:tr>
    </w:tbl>
    <w:p>
      <w:pPr>
        <w:spacing w:after="0"/>
      </w:pPr>
    </w:p>
    <w:p>
      <w:pPr>
        <w:pStyle w:val="Heading1"/>
      </w:pPr>
      <w:r>
        <w:t>6. Melhorias pontuais priorizadas para 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4464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3888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VALOR PARA A APRESENTAÇÃO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Antes de apresentar</w:t>
            </w:r>
          </w:p>
        </w:tc>
        <w:tc>
          <w:tcPr>
            <w:tcW w:type="dxa" w:w="446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Ajustar a fala/rótulo da IdeiaAI e deixar explícito que preço/prazo são indicativos.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Evita prometer uma integração ou precisão que o sistema não oferece.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Antes de apresentar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Ensaiar o percurso com conta cliente e conta empresa preparadas; validar solicitação, orçamento, decisão e acompanhamento.</w:t>
            </w:r>
          </w:p>
        </w:tc>
        <w:tc>
          <w:tcPr>
            <w:tcW w:type="dxa" w:w="388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Reduz risco de bloqueio por cadastro, sessão ou ausência de dados.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Antes de apresentar</w:t>
            </w:r>
          </w:p>
        </w:tc>
        <w:tc>
          <w:tcPr>
            <w:tcW w:type="dxa" w:w="446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Ensaiar na rede/local do evento; testar CEP manual e tipografia carregada.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Diminui dependência de serviço externo durante a demonstração.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Se houver tempo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Conferir estoque, produtos ativos, imagens e pedidos de demonstração; usar dados fictícios.</w:t>
            </w:r>
          </w:p>
        </w:tc>
        <w:tc>
          <w:tcPr>
            <w:tcW w:type="dxa" w:w="388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Ajuda a evitar telas vazias e dados pessoais expostos.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Após a apresentação</w:t>
            </w:r>
          </w:p>
        </w:tc>
        <w:tc>
          <w:tcPr>
            <w:tcW w:type="dxa" w:w="446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Adicionar testes de integração para atendimento, orçamento, recuperação, endereço/frete e ordens de serviço.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Dá confiança aos fluxos ainda descobertos pela suíte atual.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Antes de uso público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Validar implantação com HTTPS, chave persistente, SMTP, recuperação e estratégia de backup.</w:t>
            </w:r>
          </w:p>
        </w:tc>
        <w:tc>
          <w:tcPr>
            <w:tcW w:type="dxa" w:w="3888"/>
            <w:vAlign w:val="center"/>
            <w:shd w:fill="F3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Fecha lacunas entre demo local e serviço operacional.</w:t>
            </w:r>
          </w:p>
        </w:tc>
      </w:tr>
    </w:tbl>
    <w:p>
      <w:pPr>
        <w:spacing w:after="0"/>
      </w:pPr>
    </w:p>
    <w:p>
      <w:pPr>
        <w:pStyle w:val="Heading1"/>
      </w:pPr>
      <w:r>
        <w:t>7. Roteiro sugerido para a demonstração</w:t>
      </w:r>
    </w:p>
    <w:p>
      <w:pPr>
        <w:pStyle w:val="ListBullet"/>
        <w:spacing w:after="40"/>
      </w:pPr>
      <w:r>
        <w:t>Entrar com conta empresarial preparada e mostrar painel e indicadores.</w:t>
      </w:r>
    </w:p>
    <w:p>
      <w:pPr>
        <w:pStyle w:val="ListBullet"/>
        <w:spacing w:after="40"/>
      </w:pPr>
      <w:r>
        <w:t>Como cliente, abrir solicitação de assistência, preencher problema e obter a triagem preliminar.</w:t>
      </w:r>
    </w:p>
    <w:p>
      <w:pPr>
        <w:pStyle w:val="ListBullet"/>
        <w:spacing w:after="40"/>
      </w:pPr>
      <w:r>
        <w:t>Alternar para a empresa, apresentar a solicitação e registrar/propor o orçamento disponível no sistema.</w:t>
      </w:r>
    </w:p>
    <w:p>
      <w:pPr>
        <w:pStyle w:val="ListBullet"/>
        <w:spacing w:after="40"/>
      </w:pPr>
      <w:r>
        <w:t>Voltar ao cliente para demonstrar decisão e acompanhamento, usando registros previamente preparados.</w:t>
      </w:r>
    </w:p>
    <w:p>
      <w:pPr>
        <w:pStyle w:val="ListBullet"/>
        <w:spacing w:after="40"/>
      </w:pPr>
      <w:r>
        <w:t>Mostrar vitrine, carrinho e pedido se o estoque e as contas estiverem conferidos.</w:t>
      </w:r>
    </w:p>
    <w:p>
      <w:pPr>
        <w:pStyle w:val="ListBullet"/>
        <w:spacing w:after="40"/>
      </w:pPr>
      <w:r>
        <w:t>Manter servidor local iniciado, navegador na página inicial e plano simples de retorno caso a rede externa falhe.</w:t>
      </w:r>
    </w:p>
    <w:p>
      <w:pPr>
        <w:pStyle w:val="Heading1"/>
      </w:pPr>
      <w:r>
        <w:t>8. Limites e parecer final</w:t>
      </w:r>
    </w:p>
    <w:p>
      <w:r>
        <w:t>A auditoria não exercitou cada formulário/transição pela interface, nem realizou teste visual multiplataforma, carga, pentest, auditoria completa de acessibilidade, teste SMTP ou deploy. O resultado é uma avaliação de prontidão baseada nos testes existentes, smoke test HTTP e inspeção de código/configuração. Portanto, não se deve interpretar os 20 testes aprovados como cobertura integral.</w:t>
      </w:r>
    </w:p>
    <w:p>
      <w:r>
        <w:t>Parecer: o MVP pode ser demonstrado localmente com roteiro guiado e dados previamente preparados. Corrigir a narrativa da IdeiaAI e ensaiar o fluxo que será mostrado são as medidas de maior impacto para amanhã à tarde.</w:t>
      </w:r>
    </w:p>
    <w:sectPr w:rsidR="00FC693F" w:rsidRPr="0006063C" w:rsidSect="00034616">
      <w:footerReference w:type="default" r:id="rId9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36273"/>
        <w:sz w:val="16"/>
      </w:rPr>
      <w:t>IdeiaTech  |  Auditoria de prontidão do MVP  |  22 out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534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9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do sistema IdeiaTech para apresentação do MVP</dc:title>
  <dc:subject>Revisão funcional, técnica, estrutural e de interface</dc:subject>
  <dc:creator>IdeiaTech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