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25.669291338581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PCS 3335 – Laboratório Digital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center" w:pos="4136"/>
              </w:tabs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Prof.: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Glauber De Bona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ab/>
              <w:t xml:space="preserve">                                                                Data: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13/06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Glauber - T04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                                                            Bancada: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Membros: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-125.66929133858139"/>
              <w:rPr>
                <w:rFonts w:ascii="Arimo" w:cs="Arimo" w:eastAsia="Arimo" w:hAnsi="Arimo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11261531 - Enzo Bustos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right="-125.66929133858139"/>
              <w:rPr>
                <w:rFonts w:ascii="Arimo" w:cs="Arimo" w:eastAsia="Arimo" w:hAnsi="Arimo"/>
                <w:b w:val="1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10379694 - Davi Augusto Bandeira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1766480</wp:posOffset>
            </wp:positionH>
            <wp:positionV relativeFrom="paragraph">
              <wp:posOffset>152400</wp:posOffset>
            </wp:positionV>
            <wp:extent cx="1864360" cy="1926590"/>
            <wp:effectExtent b="0" l="0" r="0" t="0"/>
            <wp:wrapNone/>
            <wp:docPr id="4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92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25.66929133858139"/>
        <w:jc w:val="center"/>
        <w:rPr>
          <w:rFonts w:ascii="Arimo" w:cs="Arimo" w:eastAsia="Arimo" w:hAnsi="Arimo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mo" w:cs="Arimo" w:eastAsia="Arimo" w:hAnsi="Arimo"/>
          <w:b w:val="1"/>
          <w:i w:val="1"/>
          <w:color w:val="0070c0"/>
          <w:sz w:val="40"/>
          <w:szCs w:val="40"/>
          <w:rtl w:val="0"/>
        </w:rPr>
        <w:t xml:space="preserve">Experiência 08</w:t>
      </w:r>
    </w:p>
    <w:p w:rsidR="00000000" w:rsidDel="00000000" w:rsidP="00000000" w:rsidRDefault="00000000" w:rsidRPr="00000000" w14:paraId="00000026">
      <w:pPr>
        <w:ind w:right="-125.66929133858139"/>
        <w:jc w:val="center"/>
        <w:rPr>
          <w:rFonts w:ascii="Arimo" w:cs="Arimo" w:eastAsia="Arimo" w:hAnsi="Arimo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mo" w:cs="Arimo" w:eastAsia="Arimo" w:hAnsi="Arimo"/>
          <w:b w:val="1"/>
          <w:i w:val="1"/>
          <w:color w:val="0070c0"/>
          <w:sz w:val="40"/>
          <w:szCs w:val="40"/>
          <w:rtl w:val="0"/>
        </w:rPr>
        <w:t xml:space="preserve">Esteira Classificadora de Produtos II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125.66929133858139" w:firstLine="0"/>
        <w:jc w:val="left"/>
        <w:rPr>
          <w:rFonts w:ascii="Arimo" w:cs="Arimo" w:eastAsia="Arimo" w:hAnsi="Arimo"/>
          <w:b w:val="1"/>
          <w:color w:val="0070c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A experiência 8 do Laboratório Digital tem como objetivo desenvolver a unidade de controle da esteira de classificação de produtos feita na experiência passada, finalizando o projeto.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D">
      <w:pPr>
        <w:jc w:val="both"/>
        <w:rPr>
          <w:rFonts w:ascii="Arimo" w:cs="Arimo" w:eastAsia="Arimo" w:hAnsi="Arim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Nesse contexto, o objetivo desta experiência é adicionar uma nova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“Modo (config/operação)”</w:t>
      </w:r>
      <w:r w:rsidDel="00000000" w:rsidR="00000000" w:rsidRPr="00000000">
        <w:rPr>
          <w:rFonts w:ascii="Arimo" w:cs="Arimo" w:eastAsia="Arimo" w:hAnsi="Arimo"/>
          <w:rtl w:val="0"/>
        </w:rPr>
        <w:t xml:space="preserve"> que, caso esteja em baixo, só permite configurar um produto/setor (mas não permite a leitura) e, caso em alto, só permite ler e não configurar. As demais especificações da experiência anterior serão mantidas.</w:t>
      </w: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579865" cy="33274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Planejamento 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Diagrama Lógico </w:t>
      </w:r>
    </w:p>
    <w:p w:rsidR="00000000" w:rsidDel="00000000" w:rsidP="00000000" w:rsidRDefault="00000000" w:rsidRPr="00000000" w14:paraId="00000039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hanging="141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7539198" cy="4219893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198" cy="421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Descrição funcional da Unidade de Controle</w:t>
      </w:r>
    </w:p>
    <w:p w:rsidR="00000000" w:rsidDel="00000000" w:rsidP="00000000" w:rsidRDefault="00000000" w:rsidRPr="00000000" w14:paraId="0000003D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De acordo com o diagrama de blocos acima, a unidade de controle foi acrescentada ao fluxo de dados previamente projetado. Desta forma, a UC consiste na adição da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“config_opera”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que leva o sistema a 2 estados possíveis: um de configuração e outro de operação (leitura). É importante ressaltar que ela não permite que ambos processos ocorram simultaneamente, pois estes são excludentes, em função do valor da entrada.</w:t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rtl w:val="0"/>
        </w:rPr>
        <w:t xml:space="preserve"> = 0 =&gt; leitura irrelevante, acionamento não pode ser acionado, dado que o circuito está em processo de configuração;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rtl w:val="0"/>
        </w:rPr>
        <w:t xml:space="preserve"> = 1 =&gt; configuração irrelevante, acionamento será acionado caso a leitura seja igual à configuração previamente definida.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Unidade de Controle em VHDL</w:t>
      </w:r>
    </w:p>
    <w:p w:rsidR="00000000" w:rsidDel="00000000" w:rsidP="00000000" w:rsidRDefault="00000000" w:rsidRPr="00000000" w14:paraId="00000043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pacing w:before="200" w:line="276" w:lineRule="auto"/>
        <w:ind w:left="180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</w:rPr>
        <w:drawing>
          <wp:inline distB="114300" distT="114300" distL="114300" distR="114300">
            <wp:extent cx="4486275" cy="314325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Diagrama de Estados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Segue o diagrama de estados da Unidade de Controle. Por algum motivo, a funcionalidade “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State Machine Viewer” </w:t>
      </w:r>
      <w:r w:rsidDel="00000000" w:rsidR="00000000" w:rsidRPr="00000000">
        <w:rPr>
          <w:rFonts w:ascii="Arimo" w:cs="Arimo" w:eastAsia="Arimo" w:hAnsi="Arimo"/>
          <w:rtl w:val="0"/>
        </w:rPr>
        <w:t xml:space="preserve">do Quartus não estava mostrando o diagrama, mesmo colocando um “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dummy state” </w:t>
      </w:r>
      <w:r w:rsidDel="00000000" w:rsidR="00000000" w:rsidRPr="00000000">
        <w:rPr>
          <w:rFonts w:ascii="Arimo" w:cs="Arimo" w:eastAsia="Arimo" w:hAnsi="Arimo"/>
          <w:rtl w:val="0"/>
        </w:rPr>
        <w:t xml:space="preserve">(estado sem função apenas para cumprir o requisito do Quartus de se ter no mínimo 3 estados para produzir o diagrama).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6"/>
          <w:szCs w:val="26"/>
        </w:rPr>
        <w:drawing>
          <wp:inline distB="114300" distT="114300" distL="114300" distR="114300">
            <wp:extent cx="4905375" cy="26670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Carta de Tempos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Segue abaixo a simulação do circuito completo com a Unidade de Controle. Dividiu-se esta simulação em 3 blocos para poder observar a dinâmica da entrada </w:t>
      </w:r>
      <w:r w:rsidDel="00000000" w:rsidR="00000000" w:rsidRPr="00000000">
        <w:rPr>
          <w:rFonts w:ascii="Arimo" w:cs="Arimo" w:eastAsia="Arimo" w:hAnsi="Arimo"/>
          <w:rtl w:val="0"/>
        </w:rPr>
        <w:t xml:space="preserve">“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config_opera”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No bloco vermelho, observa-se que o sistema está no estado de operação (leitura), pois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= 1. Desta forma, é dado um sinal de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Próximo </w:t>
      </w:r>
      <w:r w:rsidDel="00000000" w:rsidR="00000000" w:rsidRPr="00000000">
        <w:rPr>
          <w:rFonts w:ascii="Arimo" w:cs="Arimo" w:eastAsia="Arimo" w:hAnsi="Arimo"/>
          <w:rtl w:val="0"/>
        </w:rPr>
        <w:t xml:space="preserve">e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Clock</w:t>
      </w:r>
      <w:r w:rsidDel="00000000" w:rsidR="00000000" w:rsidRPr="00000000">
        <w:rPr>
          <w:rFonts w:ascii="Arimo" w:cs="Arimo" w:eastAsia="Arimo" w:hAnsi="Arimo"/>
          <w:rtl w:val="0"/>
        </w:rPr>
        <w:t xml:space="preserve">, para que se tente configurar o produto “01” ao setor “00”. Vale destacar que o circuito não deve realizar esta configuração, dado que está em estado de leitura, o que será testado mais adiante.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No bloco verde, o sistema se encontra em estado de configuração, pois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= 0. Portanto, se configura, de fato, o produto “10” ao setor “00” e, em seguida, o produto “00” ao setor “01”.</w:t>
      </w:r>
    </w:p>
    <w:p w:rsidR="00000000" w:rsidDel="00000000" w:rsidP="00000000" w:rsidRDefault="00000000" w:rsidRPr="00000000" w14:paraId="00000052">
      <w:pPr>
        <w:ind w:left="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O último bloco azul serve de teste para os blocos anteriores. O circuito se encontra no estado de leitura </w:t>
      </w:r>
      <w:r w:rsidDel="00000000" w:rsidR="00000000" w:rsidRPr="00000000">
        <w:rPr>
          <w:rFonts w:ascii="Arimo" w:cs="Arimo" w:eastAsia="Arimo" w:hAnsi="Arimo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= 1)</w:t>
      </w:r>
      <w:r w:rsidDel="00000000" w:rsidR="00000000" w:rsidRPr="00000000">
        <w:rPr>
          <w:rFonts w:ascii="Arimo" w:cs="Arimo" w:eastAsia="Arimo" w:hAnsi="Arimo"/>
          <w:rtl w:val="0"/>
        </w:rPr>
        <w:t xml:space="preserve">. Inicialmente, </w:t>
      </w:r>
      <w:r w:rsidDel="00000000" w:rsidR="00000000" w:rsidRPr="00000000">
        <w:rPr>
          <w:rFonts w:ascii="Arimo" w:cs="Arimo" w:eastAsia="Arimo" w:hAnsi="Arimo"/>
          <w:rtl w:val="0"/>
        </w:rPr>
        <w:t xml:space="preserve">aos t = 120ns,</w:t>
      </w:r>
      <w:r w:rsidDel="00000000" w:rsidR="00000000" w:rsidRPr="00000000">
        <w:rPr>
          <w:rFonts w:ascii="Arimo" w:cs="Arimo" w:eastAsia="Arimo" w:hAnsi="Arimo"/>
          <w:rtl w:val="0"/>
        </w:rPr>
        <w:t xml:space="preserve"> se tenta ler o produto/setor configurados no bloco vermelho e, de fato, o setor não é </w:t>
      </w:r>
      <w:r w:rsidDel="00000000" w:rsidR="00000000" w:rsidRPr="00000000">
        <w:rPr>
          <w:rFonts w:ascii="Arimo" w:cs="Arimo" w:eastAsia="Arimo" w:hAnsi="Arimo"/>
          <w:rtl w:val="0"/>
        </w:rPr>
        <w:t xml:space="preserve">acionado,</w:t>
      </w:r>
      <w:r w:rsidDel="00000000" w:rsidR="00000000" w:rsidRPr="00000000">
        <w:rPr>
          <w:rFonts w:ascii="Arimo" w:cs="Arimo" w:eastAsia="Arimo" w:hAnsi="Arimo"/>
          <w:rtl w:val="0"/>
        </w:rPr>
        <w:t xml:space="preserve"> como esperado, pois este estado não foi configurado a priori. Finalmente, é lido em seguida as 2 configurações definidas no bloco verde, acionando o setor conforme esperado. Vale destacar em t = </w:t>
      </w:r>
      <w:r w:rsidDel="00000000" w:rsidR="00000000" w:rsidRPr="00000000">
        <w:rPr>
          <w:rFonts w:ascii="Arimo" w:cs="Arimo" w:eastAsia="Arimo" w:hAnsi="Arimo"/>
          <w:rtl w:val="0"/>
        </w:rPr>
        <w:t xml:space="preserve">190ns</w:t>
      </w:r>
      <w:r w:rsidDel="00000000" w:rsidR="00000000" w:rsidRPr="00000000">
        <w:rPr>
          <w:rFonts w:ascii="Arimo" w:cs="Arimo" w:eastAsia="Arimo" w:hAnsi="Arimo"/>
          <w:rtl w:val="0"/>
        </w:rPr>
        <w:t xml:space="preserve"> que no momento que 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se anula, o acionamento também vai a zero, mesmo que a leitura ainda </w:t>
      </w:r>
      <w:r w:rsidDel="00000000" w:rsidR="00000000" w:rsidRPr="00000000">
        <w:rPr>
          <w:rFonts w:ascii="Arimo" w:cs="Arimo" w:eastAsia="Arimo" w:hAnsi="Arimo"/>
          <w:rtl w:val="0"/>
        </w:rPr>
        <w:t xml:space="preserve">continuava</w:t>
      </w:r>
      <w:r w:rsidDel="00000000" w:rsidR="00000000" w:rsidRPr="00000000">
        <w:rPr>
          <w:rFonts w:ascii="Arimo" w:cs="Arimo" w:eastAsia="Arimo" w:hAnsi="Arimo"/>
          <w:rtl w:val="0"/>
        </w:rPr>
        <w:t xml:space="preserve"> na configuração, o que é condizente com a condição do projeto.</w:t>
      </w:r>
    </w:p>
    <w:p w:rsidR="00000000" w:rsidDel="00000000" w:rsidP="00000000" w:rsidRDefault="00000000" w:rsidRPr="00000000" w14:paraId="00000053">
      <w:pPr>
        <w:ind w:left="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695" w:firstLine="285"/>
        <w:jc w:val="center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</w:rPr>
        <w:drawing>
          <wp:inline distB="114300" distT="114300" distL="114300" distR="114300">
            <wp:extent cx="7578113" cy="3114992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8113" cy="311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Tabela de Testes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Foi elaborada uma tabela de testes para descrever a carta de tempos apresentada e comentada no item anterior: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10"/>
        <w:gridCol w:w="975"/>
        <w:gridCol w:w="1455"/>
        <w:gridCol w:w="1470"/>
        <w:gridCol w:w="1050"/>
        <w:gridCol w:w="795"/>
        <w:gridCol w:w="1065"/>
        <w:gridCol w:w="1515"/>
        <w:gridCol w:w="1740"/>
        <w:tblGridChange w:id="0">
          <w:tblGrid>
            <w:gridCol w:w="810"/>
            <w:gridCol w:w="810"/>
            <w:gridCol w:w="975"/>
            <w:gridCol w:w="1455"/>
            <w:gridCol w:w="1470"/>
            <w:gridCol w:w="1050"/>
            <w:gridCol w:w="795"/>
            <w:gridCol w:w="1065"/>
            <w:gridCol w:w="151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MODO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(CONFIG/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OPERA)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PRÓXIMO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ACIONAMENTO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9">
      <w:pPr>
        <w:keepNext w:val="1"/>
        <w:keepLines w:val="1"/>
        <w:spacing w:before="200" w:line="276" w:lineRule="auto"/>
        <w:ind w:left="0" w:firstLine="0"/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40" w:w="11900" w:orient="portrait"/>
      <w:pgMar w:bottom="1417" w:top="1417" w:left="1417.32283464566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C69D3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zh-CN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D5503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9358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93583"/>
  </w:style>
  <w:style w:type="paragraph" w:styleId="Rodap">
    <w:name w:val="footer"/>
    <w:basedOn w:val="Normal"/>
    <w:link w:val="RodapChar"/>
    <w:uiPriority w:val="99"/>
    <w:unhideWhenUsed w:val="1"/>
    <w:rsid w:val="00B93583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B93583"/>
  </w:style>
  <w:style w:type="character" w:styleId="Ttulo2Char" w:customStyle="1">
    <w:name w:val="Título 2 Char"/>
    <w:basedOn w:val="Fontepargpadro"/>
    <w:link w:val="Ttulo2"/>
    <w:uiPriority w:val="9"/>
    <w:rsid w:val="001C69D3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zh-CN" w:val="en-US"/>
    </w:rPr>
  </w:style>
  <w:style w:type="paragraph" w:styleId="Textodenotaderodap">
    <w:name w:val="footnote text"/>
    <w:basedOn w:val="Normal"/>
    <w:link w:val="TextodenotaderodapChar"/>
    <w:uiPriority w:val="99"/>
    <w:unhideWhenUsed w:val="1"/>
    <w:rsid w:val="001C69D3"/>
    <w:rPr>
      <w:rFonts w:eastAsiaTheme="minorEastAsia"/>
      <w:lang w:eastAsia="zh-CN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1C69D3"/>
    <w:rPr>
      <w:rFonts w:eastAsiaTheme="minorEastAsia"/>
      <w:lang w:eastAsia="zh-CN" w:val="en-US"/>
    </w:rPr>
  </w:style>
  <w:style w:type="character" w:styleId="Refdenotaderodap">
    <w:name w:val="footnote reference"/>
    <w:basedOn w:val="Fontepargpadro"/>
    <w:uiPriority w:val="99"/>
    <w:unhideWhenUsed w:val="1"/>
    <w:rsid w:val="001C69D3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252583"/>
    <w:pPr>
      <w:spacing w:after="100" w:afterAutospacing="1" w:before="100" w:beforeAutospacing="1"/>
    </w:pPr>
    <w:rPr>
      <w:rFonts w:ascii="Times New Roman" w:cs="Times New Roman" w:hAnsi="Times New Roman"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94A65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94A65"/>
    <w:rPr>
      <w:rFonts w:ascii="Segoe UI" w:cs="Segoe UI" w:hAnsi="Segoe UI"/>
      <w:sz w:val="18"/>
      <w:szCs w:val="18"/>
    </w:rPr>
  </w:style>
  <w:style w:type="table" w:styleId="Tabelacomgrade">
    <w:name w:val="Table Grid"/>
    <w:basedOn w:val="Tabelanormal"/>
    <w:uiPriority w:val="39"/>
    <w:rsid w:val="002E08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psSqnmy9goskah8V9pdydhFfAQ==">AMUW2mXkQZbyJ41J3v1S0qFbWKJV9sPzqrBKXaaqcweKoNlAQIRgrFtGXfwUYyNSYvQmC3G2dfe4QWVpXioVBHgjpTPZ9sHx4J+aK/cAjyU6xTlz9/19fZ0=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2021-06-22T12:52:00Z</dcterms:created>
  <dc:creator>Reginaldo Arakaki;Edson Midorikawa;Paulo Cugnasca</dc:creator>
</cp:coreProperties>
</file>