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D2" w:rsidRDefault="009F690E" w:rsidP="00BF4B7F">
      <w:pPr>
        <w:pStyle w:val="Heading1"/>
      </w:pPr>
      <w:r>
        <w:t>Enable Multichain Service in your global account for Canary</w:t>
      </w:r>
    </w:p>
    <w:p w:rsidR="00E24D92" w:rsidRDefault="004E75FE" w:rsidP="00BF4B7F">
      <w:pPr>
        <w:pStyle w:val="Heading2"/>
      </w:pPr>
      <w:r>
        <w:t>Preparation</w:t>
      </w:r>
      <w:r w:rsidR="00BA0718">
        <w:t>:</w:t>
      </w:r>
    </w:p>
    <w:p w:rsidR="00EB104A" w:rsidRDefault="004E75FE" w:rsidP="009F690E">
      <w:pPr>
        <w:rPr>
          <w:rStyle w:val="Hyperlink"/>
          <w:color w:val="auto"/>
          <w:u w:val="none"/>
        </w:rPr>
      </w:pPr>
      <w:r>
        <w:t xml:space="preserve">Log on to your SAP Cloud Foundry </w:t>
      </w:r>
      <w:r w:rsidR="009F690E">
        <w:t xml:space="preserve">Global </w:t>
      </w:r>
      <w:r>
        <w:t>Account</w:t>
      </w:r>
      <w:r w:rsidR="009F690E">
        <w:t>. If you do not have a global account</w:t>
      </w:r>
      <w:r w:rsidR="00421679">
        <w:t xml:space="preserve"> create a new one using the Internal Stakeholder Tool</w:t>
      </w:r>
      <w:r w:rsidR="009F690E">
        <w:t xml:space="preserve"> </w:t>
      </w:r>
      <w:r w:rsidR="00421679">
        <w:t xml:space="preserve">(ISM) </w:t>
      </w:r>
      <w:hyperlink r:id="rId5" w:history="1">
        <w:r w:rsidR="00421679" w:rsidRPr="00740B1A">
          <w:rPr>
            <w:rStyle w:val="Hyperlink"/>
          </w:rPr>
          <w:t>https://ism.int.sap.hana.ondemand.com/</w:t>
        </w:r>
      </w:hyperlink>
      <w:r w:rsidR="00421679">
        <w:t xml:space="preserve"> as described</w:t>
      </w:r>
      <w:r w:rsidR="009F690E">
        <w:t xml:space="preserve"> in the Cloud Foundry Jam page, 1b:</w:t>
      </w:r>
      <w:r w:rsidR="009F690E" w:rsidRPr="009F690E">
        <w:t xml:space="preserve"> </w:t>
      </w:r>
      <w:hyperlink r:id="rId6" w:history="1">
        <w:r w:rsidR="009F690E" w:rsidRPr="00AA3873">
          <w:rPr>
            <w:rStyle w:val="Hyperlink"/>
          </w:rPr>
          <w:t>https://jam4.sapjam.com/groups/ApFhQ0NCGAzAtXQWsdqB3B/overview_page/p8JIXj2pstIcY7TegLyOp8</w:t>
        </w:r>
      </w:hyperlink>
      <w:r w:rsidR="00EB104A">
        <w:rPr>
          <w:rStyle w:val="Hyperlink"/>
        </w:rPr>
        <w:br/>
      </w:r>
      <w:r w:rsidR="00EB104A" w:rsidRPr="00EB104A">
        <w:rPr>
          <w:rStyle w:val="Hyperlink"/>
          <w:color w:val="auto"/>
          <w:u w:val="none"/>
        </w:rPr>
        <w:t>W</w:t>
      </w:r>
      <w:r w:rsidR="00EB104A">
        <w:rPr>
          <w:rStyle w:val="Hyperlink"/>
          <w:color w:val="auto"/>
          <w:u w:val="none"/>
        </w:rPr>
        <w:t xml:space="preserve">hile creating a new global account it is important to enable at least 1 application runtime for Cloud Foundry. If not, </w:t>
      </w:r>
      <w:r w:rsidR="003962DF">
        <w:rPr>
          <w:rStyle w:val="Hyperlink"/>
          <w:color w:val="auto"/>
          <w:u w:val="none"/>
        </w:rPr>
        <w:t>you will get a NEO-only account that is not Cloud Foundry-ready.</w:t>
      </w:r>
    </w:p>
    <w:p w:rsidR="003962DF" w:rsidRPr="00EB104A" w:rsidRDefault="00CB65E4" w:rsidP="009F690E">
      <w:pPr>
        <w:rPr>
          <w:rStyle w:val="Hyperlink"/>
          <w:u w:val="none"/>
        </w:rPr>
      </w:pPr>
      <w:r>
        <w:rPr>
          <w:noProof/>
          <w:lang w:val="de-DE" w:eastAsia="de-DE"/>
        </w:rPr>
        <w:drawing>
          <wp:inline distT="0" distB="0" distL="0" distR="0" wp14:anchorId="6B796C26" wp14:editId="3CE670BC">
            <wp:extent cx="5760720" cy="131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4A" w:rsidRDefault="00CB65E4" w:rsidP="009F690E">
      <w:pPr>
        <w:rPr>
          <w:rFonts w:ascii="Arial" w:hAnsi="Arial" w:cs="Arial"/>
          <w:color w:val="3B73AF"/>
          <w:sz w:val="21"/>
          <w:szCs w:val="21"/>
          <w:shd w:val="clear" w:color="auto" w:fill="FFFFFF"/>
        </w:rPr>
      </w:pPr>
      <w:r>
        <w:t xml:space="preserve">If you want to re-use an existing NEO account and enable it for Cloud Foundry, you </w:t>
      </w:r>
      <w:proofErr w:type="gramStart"/>
      <w:r>
        <w:t>have to</w:t>
      </w:r>
      <w:proofErr w:type="gramEnd"/>
      <w:r>
        <w:t xml:space="preserve"> open a </w:t>
      </w:r>
      <w:proofErr w:type="spellStart"/>
      <w:r>
        <w:t>jtrack</w:t>
      </w:r>
      <w:proofErr w:type="spellEnd"/>
      <w:r>
        <w:t xml:space="preserve"> ticket on component </w:t>
      </w:r>
      <w:r>
        <w:rPr>
          <w:rFonts w:ascii="Arial" w:hAnsi="Arial" w:cs="Arial"/>
          <w:color w:val="3B73AF"/>
          <w:sz w:val="21"/>
          <w:szCs w:val="21"/>
          <w:shd w:val="clear" w:color="auto" w:fill="FFFFFF"/>
        </w:rPr>
        <w:t>CIS-ISM tool.</w:t>
      </w:r>
    </w:p>
    <w:p w:rsidR="004E75FE" w:rsidRDefault="009F690E" w:rsidP="00BF4B7F">
      <w:pPr>
        <w:pStyle w:val="Heading2"/>
      </w:pPr>
      <w:r>
        <w:t>Enable Multichain in your global account</w:t>
      </w:r>
      <w:r w:rsidR="004E75FE">
        <w:t>:</w:t>
      </w:r>
    </w:p>
    <w:p w:rsidR="0081077A" w:rsidRDefault="009F690E">
      <w:r>
        <w:t xml:space="preserve">To use the Multichain service in your global account you </w:t>
      </w:r>
      <w:r w:rsidR="0081077A">
        <w:t xml:space="preserve">must </w:t>
      </w:r>
      <w:r>
        <w:t xml:space="preserve">enable quota units </w:t>
      </w:r>
      <w:r w:rsidR="0081077A">
        <w:t>and assign them to your respective subaccounts.</w:t>
      </w:r>
    </w:p>
    <w:p w:rsidR="004E75FE" w:rsidRDefault="0081077A">
      <w:r>
        <w:t xml:space="preserve">Start with </w:t>
      </w:r>
      <w:r w:rsidR="009F690E">
        <w:t xml:space="preserve">the Internal </w:t>
      </w:r>
      <w:r>
        <w:t>S</w:t>
      </w:r>
      <w:r w:rsidR="009F690E">
        <w:t xml:space="preserve">takeholder Management tool </w:t>
      </w:r>
      <w:hyperlink r:id="rId8" w:history="1">
        <w:r w:rsidR="009F690E" w:rsidRPr="00AA3873">
          <w:rPr>
            <w:rStyle w:val="Hyperlink"/>
          </w:rPr>
          <w:t>https://ism.int.sap.hana.ondemand.com</w:t>
        </w:r>
      </w:hyperlink>
    </w:p>
    <w:p w:rsidR="009F690E" w:rsidRDefault="009F690E">
      <w:r>
        <w:rPr>
          <w:noProof/>
          <w:lang w:val="de-DE" w:eastAsia="de-DE"/>
        </w:rPr>
        <w:drawing>
          <wp:inline distT="0" distB="0" distL="0" distR="0" wp14:anchorId="6F57CFF5" wp14:editId="20C1D573">
            <wp:extent cx="576072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0E" w:rsidRDefault="009F690E">
      <w:r>
        <w:t xml:space="preserve">If you don’t see </w:t>
      </w:r>
      <w:proofErr w:type="gramStart"/>
      <w:r>
        <w:t>you</w:t>
      </w:r>
      <w:proofErr w:type="gramEnd"/>
      <w:r>
        <w:t xml:space="preserve"> global account, you may not have admin rights in your global account. Please get in contact with the administrator to let him enabling Multichain quotas.</w:t>
      </w:r>
    </w:p>
    <w:p w:rsidR="009F690E" w:rsidRDefault="009F690E">
      <w:r>
        <w:t xml:space="preserve">Click on Edit Global account and scroll down to multichain. </w:t>
      </w:r>
    </w:p>
    <w:p w:rsidR="009F690E" w:rsidRDefault="009F690E">
      <w:r>
        <w:rPr>
          <w:noProof/>
          <w:lang w:val="de-DE" w:eastAsia="de-DE"/>
        </w:rPr>
        <w:drawing>
          <wp:inline distT="0" distB="0" distL="0" distR="0" wp14:anchorId="128DAEE7" wp14:editId="3B88BBAC">
            <wp:extent cx="5760720" cy="1652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0E" w:rsidRDefault="009F690E">
      <w:r>
        <w:lastRenderedPageBreak/>
        <w:t xml:space="preserve">Enter the </w:t>
      </w:r>
      <w:proofErr w:type="gramStart"/>
      <w:r>
        <w:t>amount</w:t>
      </w:r>
      <w:proofErr w:type="gramEnd"/>
      <w:r>
        <w:t xml:space="preserve"> of units you may use in this global account. We expect that each global account will setup 3-5 nodes only, so take the value of 5 if you do not yet know it better. This will allow your global account to use up to 5 </w:t>
      </w:r>
      <w:r w:rsidR="0081077A">
        <w:t>multichain instances. Click SAVE.</w:t>
      </w:r>
    </w:p>
    <w:p w:rsidR="0081077A" w:rsidRDefault="0081077A">
      <w:r>
        <w:t xml:space="preserve">In the Internal Stakeholder Management </w:t>
      </w:r>
      <w:proofErr w:type="gramStart"/>
      <w:r>
        <w:t>Tool</w:t>
      </w:r>
      <w:proofErr w:type="gramEnd"/>
      <w:r>
        <w:t xml:space="preserve"> you have simulated purchasing the multichain services up to the amount of units. To make use of them in your individual subaccounts, you </w:t>
      </w:r>
      <w:proofErr w:type="gramStart"/>
      <w:r>
        <w:t>have to</w:t>
      </w:r>
      <w:proofErr w:type="gramEnd"/>
      <w:r>
        <w:t xml:space="preserve"> manage the entitlements in your global account. To do so log-on to your global account:</w:t>
      </w:r>
    </w:p>
    <w:p w:rsidR="0081077A" w:rsidRDefault="0081077A">
      <w:r>
        <w:rPr>
          <w:noProof/>
          <w:lang w:val="de-DE" w:eastAsia="de-DE"/>
        </w:rPr>
        <w:drawing>
          <wp:inline distT="0" distB="0" distL="0" distR="0" wp14:anchorId="667AA338" wp14:editId="0BCE453D">
            <wp:extent cx="576072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7A" w:rsidRDefault="0081077A">
      <w:r>
        <w:t>Click on EDIT and scroll down to multichain.</w:t>
      </w:r>
    </w:p>
    <w:p w:rsidR="0081077A" w:rsidRDefault="0081077A">
      <w:r>
        <w:rPr>
          <w:noProof/>
          <w:lang w:val="de-DE" w:eastAsia="de-DE"/>
        </w:rPr>
        <w:drawing>
          <wp:inline distT="0" distB="0" distL="0" distR="0" wp14:anchorId="07FB9563" wp14:editId="0D7A7C37">
            <wp:extent cx="5760720" cy="25488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7A" w:rsidRDefault="0081077A">
      <w:r>
        <w:t>You can now assign units to your subaccounts up to the amount of quota you have “purchased” in the Internal Stakeholder Management Tool.</w:t>
      </w:r>
    </w:p>
    <w:p w:rsidR="0081077A" w:rsidRDefault="0081077A">
      <w:r>
        <w:t>Scroll back to the top and click SAVE.</w:t>
      </w:r>
    </w:p>
    <w:p w:rsidR="0081077A" w:rsidRDefault="0081077A">
      <w:r>
        <w:t>You can now use the multichain service in the respective subaccounts of your global account.</w:t>
      </w:r>
      <w:r w:rsidR="00BD135F">
        <w:br/>
        <w:t xml:space="preserve">If you want to have some tutorials, proceed with the Hands-On documents on </w:t>
      </w:r>
      <w:proofErr w:type="spellStart"/>
      <w:r w:rsidR="00BD135F">
        <w:t>MaaS</w:t>
      </w:r>
      <w:proofErr w:type="spellEnd"/>
      <w:r w:rsidR="00BD135F">
        <w:t xml:space="preserve"> Jam Subgroup of the Blockchain Jam: </w:t>
      </w:r>
      <w:hyperlink r:id="rId13" w:history="1">
        <w:r w:rsidR="00BD135F" w:rsidRPr="00AA3873">
          <w:rPr>
            <w:rStyle w:val="Hyperlink"/>
          </w:rPr>
          <w:t>https://jam4.sapjam.com/groups/5yjoVnClxw91MBszN8mO6c/overview_page/GuhOBeBZTA2VuXNJ3baIex</w:t>
        </w:r>
      </w:hyperlink>
    </w:p>
    <w:p w:rsidR="00BD135F" w:rsidRDefault="00BD135F">
      <w:bookmarkStart w:id="0" w:name="_GoBack"/>
      <w:bookmarkEnd w:id="0"/>
    </w:p>
    <w:sectPr w:rsidR="00BD1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852B9"/>
    <w:multiLevelType w:val="hybridMultilevel"/>
    <w:tmpl w:val="74E4E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92"/>
    <w:rsid w:val="000E090A"/>
    <w:rsid w:val="00115383"/>
    <w:rsid w:val="001471E1"/>
    <w:rsid w:val="00176AFA"/>
    <w:rsid w:val="001A41C4"/>
    <w:rsid w:val="00251441"/>
    <w:rsid w:val="003962DF"/>
    <w:rsid w:val="00412CA4"/>
    <w:rsid w:val="00421679"/>
    <w:rsid w:val="0044329E"/>
    <w:rsid w:val="004E75FE"/>
    <w:rsid w:val="005338DB"/>
    <w:rsid w:val="006F4311"/>
    <w:rsid w:val="00720CD4"/>
    <w:rsid w:val="0074176B"/>
    <w:rsid w:val="007773E1"/>
    <w:rsid w:val="0081077A"/>
    <w:rsid w:val="008D144D"/>
    <w:rsid w:val="00973483"/>
    <w:rsid w:val="009C6F12"/>
    <w:rsid w:val="009E7CC7"/>
    <w:rsid w:val="009F690E"/>
    <w:rsid w:val="00B81D6F"/>
    <w:rsid w:val="00B94B10"/>
    <w:rsid w:val="00BA0718"/>
    <w:rsid w:val="00BD135F"/>
    <w:rsid w:val="00BF1701"/>
    <w:rsid w:val="00BF4B7F"/>
    <w:rsid w:val="00C81D23"/>
    <w:rsid w:val="00CB65E4"/>
    <w:rsid w:val="00CD5AD2"/>
    <w:rsid w:val="00D305C2"/>
    <w:rsid w:val="00E24D92"/>
    <w:rsid w:val="00E63CF2"/>
    <w:rsid w:val="00E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EAF0"/>
  <w15:chartTrackingRefBased/>
  <w15:docId w15:val="{1D493D82-5711-4447-8C17-F6A1DA4E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29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412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CC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E7CC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F4B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4B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m.int.sap.hana.ondemand.com" TargetMode="External"/><Relationship Id="rId13" Type="http://schemas.openxmlformats.org/officeDocument/2006/relationships/hyperlink" Target="https://jam4.sapjam.com/groups/5yjoVnClxw91MBszN8mO6c/overview_page/GuhOBeBZTA2VuXNJ3baI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4.sapjam.com/groups/ApFhQ0NCGAzAtXQWsdqB3B/overview_page/p8JIXj2pstIcY7TegLyOp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sm.int.sap.hana.ondemand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Krompholz, Andreas</dc:creator>
  <cp:keywords/>
  <dc:description/>
  <cp:lastModifiedBy>Krompholz, Andreas</cp:lastModifiedBy>
  <cp:revision>2</cp:revision>
  <dcterms:created xsi:type="dcterms:W3CDTF">2018-01-29T09:26:00Z</dcterms:created>
  <dcterms:modified xsi:type="dcterms:W3CDTF">2018-01-29T09:26:00Z</dcterms:modified>
</cp:coreProperties>
</file>