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6.1 Agiliza Transparência</w:t>
      </w:r>
    </w:p>
    <w:p>
      <w:pPr>
        <w:spacing w:line="360" w:lineRule="auto" w:after="0"/>
        <w:ind w:firstLine="709"/>
        <w:jc w:val="both"/>
      </w:pPr>
      <w:r>
        <w:t>O Agiliza Transparência chega a outubro de 2026 tendo percorrido o caminho que vai do reconhecimento de um problema operacional à construção da base técnica de uma solução. Esta seção sintetiza esse percurso até 13 de outubro de 2026 e sustenta que o principal ganho do exercício foi transformar uma necessidade difusa em definições compartilhadas e validadas com a STC, sobre as quais o sistema está sendo construído.</w:t>
      </w:r>
    </w:p>
    <w:p>
      <w:pPr>
        <w:pStyle w:val="Heading3"/>
      </w:pPr>
      <w:r>
        <w:t>6.1.1 Origem do Agiliza</w:t>
      </w:r>
    </w:p>
    <w:p>
      <w:pPr>
        <w:spacing w:line="360" w:lineRule="auto" w:after="0"/>
        <w:ind w:firstLine="709"/>
        <w:jc w:val="both"/>
      </w:pPr>
      <w:r>
        <w:t>A STC atua como ponto de convergência de informações produzidas por outros órgãos: grande parte do que publica é recebida de dezenas de unidades gestoras (UGs) do Poder Executivo Estadual, e uma parcela relevante dessas informações ainda depende de solicitações manuais. A necessidade de atualização é identificada no monitoramento, formalizada por ofício no SEI com um formulário e um modelo de planilha, e respondida pelos órgãos, nem sempre pelo canal previsto. A consolidação das respostas e a distinção entre quem respondeu, quem informou não possuir a informação e quem não respondeu são feitas manualmente.</w:t>
      </w:r>
    </w:p>
    <w:p>
      <w:pPr>
        <w:spacing w:line="360" w:lineRule="auto" w:after="0"/>
        <w:ind w:firstLine="709"/>
        <w:jc w:val="both"/>
      </w:pPr>
      <w:r>
        <w:t>Desse cenário decorrem três problemas centrais: canais de resposta múltiplos e sem rastreabilidade, retrabalho operacional e falta de padronização no envio. A experiência também indicava que a tecnologia, isoladamente, não assegura resultados: uma ferramenta experimental anterior perdeu força por baixa adesão, e não por limitação técnica. Essa constatação tornou-se um princípio do projeto: reduzir o esforço de quem responde e acompanhar o processo que os órgãos já conhecem.</w:t>
      </w:r>
    </w:p>
    <w:p>
      <w:pPr>
        <w:spacing w:line="360" w:lineRule="auto" w:after="0"/>
        <w:ind w:firstLine="709"/>
        <w:jc w:val="both"/>
      </w:pPr>
      <w:r>
        <w:t>O trabalho foi formalizado pelo Acordo de Cooperação Técnica nº 08/2026, celebrado entre a STC e a Universidade CEUMA no âmbito do programa TechX, do Oxygeni Hub, com bolsas da FAPEMA. A reunião de abertura (kick-off), conduzida pela STC/SEATRAN em maio de 2026, apresentou a proposta inicial, então denominada STC Agiliza, de automatizar a coleta com o apoio do Tesauro Cidadão, base semântica que organiza os objetos de transparência, seus campos e suas referências normativas. Precedidas de estudos exploratórios de prototipação, as atividades regulares começaram em 25 de maio, em sprints quinzenais; posteriormente, o projeto passou a se chamar Agiliza Transparência, distinguindo o nome do sistema do nome da instituição.</w:t>
      </w:r>
    </w:p>
    <w:p>
      <w:pPr>
        <w:pStyle w:val="Heading3"/>
      </w:pPr>
      <w:r>
        <w:t>6.1.2 Finalidade e usuários</w:t>
      </w:r>
    </w:p>
    <w:p>
      <w:pPr>
        <w:spacing w:line="360" w:lineRule="auto" w:after="0"/>
        <w:ind w:firstLine="709"/>
        <w:jc w:val="both"/>
      </w:pPr>
      <w:r>
        <w:t>O Agiliza Transparência destina-se a estruturar a coleta das informações de transparência que não chegam à STC por integração automática, substituindo o envio disperso por um caminho único, padronizado e rastreável, no qual cada solicitação tenha destinatários, prazo, respostas e decisão registrados. O escopo foi delimitado à coleta e à validação: o armazenamento definitivo e a publicação no Portal da Transparência permanecem fora do sistema. O SEI continua como via formal do processo administrativo; a plataforma é o caminho pelo qual a resposta é enviada e conferida.</w:t>
      </w:r>
    </w:p>
    <w:p>
      <w:pPr>
        <w:spacing w:line="360" w:lineRule="auto" w:after="0"/>
        <w:ind w:firstLine="709"/>
        <w:jc w:val="both"/>
      </w:pPr>
      <w:r>
        <w:t>Os usuários refletem as responsabilidades observadas no diagnóstico. O servidor da STC cria as solicitações, acompanha o atendimento e valida as respostas; capacidades específicas, como registrar o número do processo SEI e alterar o catálogo de informações, são concedidas apenas a quem tem essa atribuição. O ponto focal, um por órgão, pode coordenar a resposta da sua unidade, distribuindo a demanda e conferindo as contribuições, ou apenas acompanhar o andamento. O respondente técnico, pessoa que detém a informação, envia dados e documentos. O Gabinete dispõe de visão de consulta sobre todas as coletas. Com isso, o sistema apoia quatro atividades: preparar e publicar a solicitação; encaminhá-la às pessoas certas; receber respostas padronizadas, com comprovante; e conferir, devolver ou validar o que foi enviado, preservando o histórico.</w:t>
      </w:r>
    </w:p>
    <w:p>
      <w:pPr>
        <w:pStyle w:val="Heading3"/>
      </w:pPr>
      <w:r>
        <w:t>6.1.3 Funcionamento</w:t>
      </w:r>
    </w:p>
    <w:p>
      <w:pPr>
        <w:spacing w:line="360" w:lineRule="auto" w:after="0"/>
        <w:ind w:firstLine="709"/>
        <w:jc w:val="both"/>
      </w:pPr>
      <w:r>
        <w:t>O funcionamento previsto parte do Catálogo, a lista das informações que podem ser solicitadas, carregada a partir do Tesauro e mantida no próprio sistema, com registro de quem altera e quando. Ao criar uma coleta, chamada de ciclo, o servidor da STC escolhe a informação e os órgãos destinatários. No objeto fixo, o órgão baixa um modelo oficial de planilha, preenche-o e o devolve com os anexos exigidos; no objeto variável, a STC define os campos a preencher no sistema e os documentos a enviar.</w:t>
      </w:r>
    </w:p>
    <w:p>
      <w:pPr>
        <w:spacing w:line="360" w:lineRule="auto" w:after="0"/>
        <w:ind w:firstLine="709"/>
        <w:jc w:val="both"/>
      </w:pPr>
      <w:r>
        <w:t>Publicado o ciclo, o sistema gera um link único, que acompanha o ofício no SEI, e uma coleta para cada órgão. O registro do número do processo SEI inicia o prazo de cinco dias úteis, prorrogável até duas vezes. O respondente acessa pelo link, identifica seu órgão, envia as informações e recebe comprovante; antes do envio, o sistema confere a estrutura da planilha e a presença dos itens esperados, sem julgar o conteúdo, e permite declarar a ausência de informações, com justificativa. A STC confere o conteúdo e devolve a resposta para correção ou a valida, tornando-a definitiva. Todo o percurso fica registrado em histórico, e o encerramento do ciclo é sempre decisão da STC.</w:t>
      </w:r>
    </w:p>
    <w:p>
      <w:pPr>
        <w:spacing w:line="360" w:lineRule="auto" w:after="0"/>
        <w:ind w:firstLine="709"/>
        <w:jc w:val="both"/>
      </w:pPr>
      <w:r>
        <w:t>Nem todo esse percurso, contudo, já opera sobre dados reais. Na base definitiva do sistema funcionam hoje, em ambiente de desenvolvimento, o acesso pelo link, a publicação da coleta, o envio de respostas nos dois tipos de objeto e a consulta e o download das respostas pela STC. As demais etapas, como a coordenação pelo ponto focal, o SEI e os prazos, a validação, o histórico completo e a visão do Gabinete, estão definidas, foram demonstradas no protótipo navegável e serão incorporadas nas próximas etapas.</w:t>
      </w:r>
    </w:p>
    <w:p>
      <w:pPr>
        <w:pStyle w:val="Heading3"/>
      </w:pPr>
      <w:r>
        <w:t>6.1.4 Evolução do projeto</w:t>
      </w:r>
    </w:p>
    <w:p>
      <w:pPr>
        <w:spacing w:line="360" w:lineRule="auto" w:after="0"/>
        <w:ind w:firstLine="709"/>
        <w:jc w:val="both"/>
      </w:pPr>
      <w:r>
        <w:t>A trajetória do Agiliza seguiu uma lógica consistente: compreender o processo, decidir com os envolvidos e só então construir, com cada rodada de validação refinando definições anteriores. Após a imersão inicial, cujo levantamento preliminar foi validado com a STC em 3 de junho, foram entrevistados, entre 8 e 19 de junho, três profissionais da STC, com perspectivas sobre o fluxo de trabalho e o SEI, a operação do SIMONI e a gestão da informação. Os documentos de diagnóstico e requisitos reuniram 19 problemas mapeados e 30 requisitos funcionais, além do mapeamento do processo e dos sistemas envolvidos, e registraram divergências de entendimento e diferenças entre as realidades dos órgãos fornecedores.</w:t>
      </w:r>
    </w:p>
    <w:p>
      <w:pPr>
        <w:spacing w:line="360" w:lineRule="auto" w:after="0"/>
        <w:ind w:firstLine="709"/>
        <w:jc w:val="both"/>
      </w:pPr>
      <w:r>
        <w:t>Para aprofundar essas diferenças, a escuta foi estendida aos próprios órgãos: SEDUC, SINFRA, SAF, AGEM, SES, SEFAZ, Polícia Militar e DETRAN, entre junho e julho; Corpo de Bombeiros Militar, PROCON, Polícia Civil e, novamente, SES, entre agosto e setembro. Os encontros evidenciaram níveis distintos de organização interna e confirmaram que a solução precisaria atender tanto a órgãos com rotinas estruturadas quanto àqueles que ainda as constroem.</w:t>
      </w:r>
    </w:p>
    <w:p>
      <w:pPr>
        <w:spacing w:line="360" w:lineRule="auto" w:after="0"/>
        <w:ind w:firstLine="709"/>
        <w:jc w:val="both"/>
      </w:pPr>
      <w:r>
        <w:t>As seis questões deixadas em aberto em junho foram encaminhadas com a STC. O formato de envio passou a depender do tipo de informação; a validação foi definida como decisão humana, apoiada por conferência automática apenas da estrutura do envio; a correção passou a ocorrer por devolução no próprio sistema, com o SEI como via formal; e a fórmula de classificação dos órgãos ficou para versão posterior. Quanto ao SIMONI, o sistema passará por atualização e, depois dela, a integração poderá ser realizada, ainda sem planejamento definido. A identificação do respondente avançou para um modelo em que o ponto focal convida e o próprio respondente se cadastra, permanecendo em aberto a forma definitiva de autenticação.</w:t>
      </w:r>
    </w:p>
    <w:p>
      <w:pPr>
        <w:spacing w:line="360" w:lineRule="auto" w:after="0"/>
        <w:ind w:firstLine="709"/>
        <w:jc w:val="both"/>
      </w:pPr>
      <w:r>
        <w:t>As decisões foram consolidadas em encontros sucessivos: o recorte da primeira versão e o protótipo navegável, em julho; a apresentação à chefia, em 10 de agosto, que simplificou perfis, publicação e prazos; as definições de 31 de agosto e de 2 e 5 de setembro, sobre o Catálogo, os tipos de objeto, a ausência de informações e o Gabinete; e, em 1º de outubro, as bases técnicas, com banco de dados PostgreSQL desde o início e ambiente de execução padronizado. No desenvolvimento, o protótipo, refinado a cada rodada, deu lugar à base definitiva, iniciada no fim de setembro em repositório único, que em outubro recebeu o modelo de dados e os primeiros fluxos reais de coleta. Os testes acompanharam todas as etapas, com verificações automatizadas a cada mudança, validação humana das jornadas aprovada em 9 de setembro e testes automatizados da nova base em dois bancos de dados; testes com usuários e homologação ainda não foram realizados. O Quadro 6 resume essa trajetória.</w:t>
      </w:r>
    </w:p>
    <w:p>
      <w:pPr>
        <w:keepNext/>
        <w:spacing w:before="240" w:after="80"/>
        <w:jc w:val="center"/>
      </w:pPr>
      <w:r>
        <w:t>Quadro 6 – Linha do tempo do Agiliza Transparência em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762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Principal resultado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Mar.–mai.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Estudos exploratórios e reunião de abertura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Proposta inicial (STC Agiliza) apresentada pela STC/SEATRAN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25/05–19/06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Imersão e diagnóstico na STC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Levantamento preliminar validado (03/06); 19 problemas e 30 requisitos documentados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22/06–17/07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Escuta dos órgãos fornecedores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Reuniões com oito órgãos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Julho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Prototipação e planejamento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Protótipo navegável; escopo da primeira versão; planejamento do servidor (31/07)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10/08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Apresentação à chefia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Simplificação de perfis, publicação e prazos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25/08–15/09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Nova rodada de escuta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Corpo de Bombeiros Militar, PROCON, Polícia Civil e SES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31/08–09/09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Avaliação das telas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Decisões de 31/08, 02/09 e 05/09; jornadas aprovadas em 09/09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40" w:after="40"/>
            </w:pPr>
            <w:r/>
            <w:r>
              <w:rPr>
                <w:b/>
                <w:sz w:val="20"/>
              </w:rPr>
              <w:t>25/09–12/10</w:t>
            </w:r>
          </w:p>
        </w:tc>
        <w:tc>
          <w:tcPr>
            <w:tcW w:type="dxa" w:w="2835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Base definitiva</w:t>
            </w:r>
          </w:p>
        </w:tc>
        <w:tc>
          <w:tcPr>
            <w:tcW w:type="dxa" w:w="4762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Repositório único; bases técnicas (01/10); modelo de dados e primeiros fluxos reais</w:t>
            </w:r>
          </w:p>
        </w:tc>
      </w:tr>
    </w:tbl>
    <w:p>
      <w:pPr>
        <w:spacing w:before="80" w:after="240"/>
      </w:pPr>
      <w:r>
        <w:rPr>
          <w:sz w:val="20"/>
        </w:rPr>
        <w:t>Fonte: Próprias da instituição.</w:t>
      </w:r>
    </w:p>
    <w:p>
      <w:pPr>
        <w:pStyle w:val="Heading3"/>
      </w:pPr>
      <w:r>
        <w:t>6.1.5 Entregas de 2026</w:t>
      </w:r>
    </w:p>
    <w:p>
      <w:pPr>
        <w:spacing w:line="360" w:lineRule="auto" w:after="0"/>
        <w:ind w:firstLine="709"/>
        <w:jc w:val="both"/>
      </w:pPr>
      <w:r>
        <w:t>As entregas do exercício combinam produtos de conhecimento e de software, e essa combinação é, em si, um resultado: o sistema repousa sobre definições documentadas e validadas, e não sobre solicitações isoladas. O protótipo permitiu validar com a STC o que deve ser construído; a base definitiva é onde essas definições passam a operar com dados reais. O Quadro 7 relaciona as principais entregas.</w:t>
      </w:r>
    </w:p>
    <w:p>
      <w:pPr>
        <w:keepNext/>
        <w:spacing w:before="240" w:after="80"/>
        <w:jc w:val="center"/>
      </w:pPr>
      <w:r>
        <w:t>Quadro 7 – Entregas do Agiliza Transparência em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628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3402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O que permite fazer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Documentos de diagnóstico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Síntese das entrevistas, contextualização e mapeamento do processo atual.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Compreender o processo vigente e fundamentar o escopo.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Regras de negócio e registros de decisão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Regras da primeira versão, perfis e permissões e decisões datadas.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Consultar o que foi decidido, quando e por quê.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Fluxogramas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Gestão do ciclo pela STC e coleta junto aos órgãos.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Discutir etapas e responsabilidades em linguagem visual.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Catálogo derivado do Tesauro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49 objetos, 276 campos e 484 associações (41 objetos manuais e 8 automatizados).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Criar coletas a partir de definições padronizadas pela SEATRAN.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Protótipo navegável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Jornadas da STC, do ponto focal, do respondente e do Gabinete, com dados simulados.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Demonstrar e validar o funcionamento antes da construção definitiva.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Base definitiva do sistema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Repositório único, modelo de dados e primeiros fluxos reais de coleta fixa e variável.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Registrar coletas e respostas de forma persistente, base para o piloto.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40" w:after="40"/>
            </w:pPr>
            <w:r/>
            <w:r>
              <w:rPr>
                <w:b/>
                <w:sz w:val="20"/>
              </w:rPr>
              <w:t>Relatórios e planejamento</w:t>
            </w:r>
          </w:p>
        </w:tc>
        <w:tc>
          <w:tcPr>
            <w:tcW w:type="dxa" w:w="3628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Dez relatórios quinzenais, relatório trimestral e planilha de planejamento.</w:t>
            </w:r>
          </w:p>
        </w:tc>
        <w:tc>
          <w:tcPr>
            <w:tcW w:type="dxa" w:w="3402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Acompanhar a execução e prestar contas à FAPEMA e à STC.</w:t>
            </w:r>
          </w:p>
        </w:tc>
      </w:tr>
    </w:tbl>
    <w:p>
      <w:pPr>
        <w:spacing w:before="80" w:after="240"/>
      </w:pPr>
      <w:r>
        <w:rPr>
          <w:sz w:val="20"/>
        </w:rPr>
        <w:t>Fonte: Próprias da instituição.</w:t>
      </w:r>
    </w:p>
    <w:p>
      <w:pPr>
        <w:pStyle w:val="Heading3"/>
      </w:pPr>
      <w:r>
        <w:t>6.1.6 Equipe, parceiros e recursos</w:t>
      </w:r>
    </w:p>
    <w:p>
      <w:pPr>
        <w:spacing w:line="360" w:lineRule="auto" w:after="0"/>
        <w:ind w:firstLine="709"/>
        <w:jc w:val="both"/>
      </w:pPr>
      <w:r>
        <w:t>O Agiliza resulta de uma cooperação em que cada parte contribui com um tipo de conhecimento: a STC conhece o processo e as regras; o Hub oferece formação e acompanhamento; os bolsistas transformam definições em documentação e software; e os órgãos fornecedores revelam como a informação efetivamente circula. O Quadro 8 resume essas contribuições.</w:t>
      </w:r>
    </w:p>
    <w:p>
      <w:pPr>
        <w:keepNext/>
        <w:spacing w:before="240" w:after="80"/>
        <w:jc w:val="center"/>
      </w:pPr>
      <w:r>
        <w:t>Quadro 8 – Participantes do Agiliza Transparência e respectivas contribuições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Participante</w:t>
            </w:r>
          </w:p>
        </w:tc>
        <w:tc>
          <w:tcPr>
            <w:tcW w:type="dxa" w:w="6236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Contribuição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STC/SEATRAN</w:t>
            </w:r>
          </w:p>
        </w:tc>
        <w:tc>
          <w:tcPr>
            <w:tcW w:type="dxa" w:w="6236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Demanda, regras de negócio, participação nas entrevistas e reuniões de decisão, validação das telas e fornecimento do Tesauro e do mapeamento das informações por órgão, com as áreas de operação da coleta, SEI, gestão da informação, coordenação normativa e tecnologia.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Oxygeni Hub – Universidade CEUMA (programa TechX)</w:t>
            </w:r>
          </w:p>
        </w:tc>
        <w:tc>
          <w:tcPr>
            <w:tcW w:type="dxa" w:w="6236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Supervisão, mentoria técnica (incluindo a mentoria de PHP de 9 de junho), espaço de trabalho e acompanhamento pedagógico.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FAPEMA</w:t>
            </w:r>
          </w:p>
        </w:tc>
        <w:tc>
          <w:tcPr>
            <w:tcW w:type="dxa" w:w="6236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Concessão das bolsas que viabilizam a execução do projeto.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Órgãos fornecedores</w:t>
            </w:r>
          </w:p>
        </w:tc>
        <w:tc>
          <w:tcPr>
            <w:tcW w:type="dxa" w:w="6236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Relato de práticas e dificuldades e teste de conceitos: SEDUC, SINFRA, SAF, AGEM, SES, SEFAZ, Polícia Militar, DETRAN, Corpo de Bombeiros Militar, PROCON e Polícia Civil.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Bolsistas: Enzo Frazão Vencio; Ariel Asafe Durans Rabelo (até setembro)</w:t>
            </w:r>
          </w:p>
        </w:tc>
        <w:tc>
          <w:tcPr>
            <w:tcW w:type="dxa" w:w="6236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Levantamento e documentação dos requisitos, entrevistas, fluxogramas, protótipo, desenvolvimento e testes do sistema e relatórios de acompanhamento.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before="40" w:after="40"/>
            </w:pPr>
            <w:r/>
            <w:r>
              <w:rPr>
                <w:b/>
                <w:sz w:val="20"/>
              </w:rPr>
              <w:t>Responsável técnico pela fundação: Guilherme Ferreira dos Reis</w:t>
            </w:r>
          </w:p>
        </w:tc>
        <w:tc>
          <w:tcPr>
            <w:tcW w:type="dxa" w:w="6236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Criação do repositório único, preparação do ambiente padronizado de execução e revisão das contribuições de código.</w:t>
            </w:r>
          </w:p>
        </w:tc>
      </w:tr>
    </w:tbl>
    <w:p>
      <w:pPr>
        <w:spacing w:before="80" w:after="240"/>
      </w:pPr>
      <w:r>
        <w:rPr>
          <w:sz w:val="20"/>
        </w:rPr>
        <w:t>Fonte: Próprias da instituição.</w:t>
      </w:r>
    </w:p>
    <w:p>
      <w:pPr>
        <w:spacing w:line="360" w:lineRule="auto" w:after="0"/>
        <w:ind w:firstLine="709"/>
        <w:jc w:val="both"/>
      </w:pPr>
      <w:r>
        <w:t>A equipe de bolsistas está em transição: a bolsista Clarice Presley, que sucederá o bolsista que encerrou sua participação em setembro, já assinou os documentos de adesão, mas ainda não iniciou as atividades. Quanto aos recursos, o projeto adota exclusivamente tecnologias abertas e sem custo de licenciamento, conforme a diretriz de economicidade e de hospedagem na infraestrutura do Estado: PHP com o framework Laravel, banco de dados PostgreSQL, contêineres Docker e interface em React com TypeScript. O trabalho utiliza repositórios de código versionados, um ambiente de demonstração para o protótipo e, como espaços físicos, a sede da STC e o Oxygeni Hub; os principais insumos de conteúdo são o Tesauro Cidadão e o mapeamento das informações por órgão.</w:t>
      </w:r>
    </w:p>
    <w:p>
      <w:pPr>
        <w:pStyle w:val="Heading3"/>
      </w:pPr>
      <w:r>
        <w:t>6.1.7 Dificuldades e mudanças</w:t>
      </w:r>
    </w:p>
    <w:p>
      <w:pPr>
        <w:spacing w:line="360" w:lineRule="auto" w:after="0"/>
        <w:ind w:firstLine="709"/>
        <w:jc w:val="both"/>
      </w:pPr>
      <w:r>
        <w:t>Os desafios do Agiliza são, em grande medida, próprios de um projeto que atua sobre um processo interinstitucional, com muitos órgãos e realidades diferentes. Mais do que obstáculos, eles funcionaram como pontos de ajuste, que tornaram o escopo mais realista e as decisões mais bem fundamentadas.</w:t>
      </w:r>
    </w:p>
    <w:p>
      <w:pPr>
        <w:spacing w:line="360" w:lineRule="auto" w:after="0"/>
        <w:ind w:firstLine="709"/>
        <w:jc w:val="both"/>
      </w:pPr>
      <w:r>
        <w:t>O primeiro é a diversidade de realidades entre os órgãos fornecedores, desde unidades com rotinas consolidadas até outras em que o atendimento depende de poucas pessoas. A resposta adotada foi orientar o produto pela simplicidade, com menos esforço para quem responde, etapas já conhecidas e comprovante e retorno claros, reconhecendo que a adesão é tão determinante quanto a tecnologia. O segundo diz respeito às referências informacionais: a relação entre cada informação e o órgão responsável não estava sistematizada e muda com a estrutura administrativa, razão pela qual vem sendo construída com a gestão da informação da STC; além disso, ambiguidades na versão mais recente do Tesauro recomendaram manter, provisoriamente, a versão consolidada anterior até uma definição conjunta.</w:t>
      </w:r>
    </w:p>
    <w:p>
      <w:pPr>
        <w:spacing w:line="360" w:lineRule="auto" w:after="0"/>
        <w:ind w:firstLine="709"/>
        <w:jc w:val="both"/>
      </w:pPr>
      <w:r>
        <w:t>O amadurecimento das definições também trouxe mudanças de escopo. Cada rodada de validação refinou regras de perfis, publicação, prazos e ausência de informações, o que exigiu revisitar telas já construídas, esforço coerente com a estratégia adotada, pois ajustar um protótipo custa muito menos do que alterar um sistema em operação. Pelo mesmo motivo, a verificação por inteligência artificial, o canal interno de conversa e a classificação dos órgãos foram reservados a versões posteriores, a integração com o SIMONI aguarda a atualização daquele sistema e o modelo de perfis foi simplificado, concentrando a primeira versão na coleta e na conferência de ponta a ponta.</w:t>
      </w:r>
    </w:p>
    <w:p>
      <w:pPr>
        <w:spacing w:line="360" w:lineRule="auto" w:after="0"/>
        <w:ind w:firstLine="709"/>
        <w:jc w:val="both"/>
      </w:pPr>
      <w:r>
        <w:t>Na execução, a transição na composição da equipe e a migração do protótipo para o repositório único demandaram mais tempo do que o previsto, e a preparação do ambiente padronizado segue em ajuste. As atividades foram reprogramadas sem perda das definições validadas, e optou-se por não enviar versões ao ambiente da STC antes de a solução estar completa. Por fim, algumas definições dependem de deliberação institucional, como o formato do extrato de acompanhamento, o tratamento de informações sigilosas e o prazo de guarda dos dados, os efeitos da reversão de uma validação, a configuração do envio de e-mails e a forma definitiva de autenticação; esses pontos foram registrados como questões em aberto, sem que a equipe presumisse soluções.</w:t>
      </w:r>
    </w:p>
    <w:p>
      <w:pPr>
        <w:pStyle w:val="Heading3"/>
      </w:pPr>
      <w:r>
        <w:t>6.1.8 Situação atual</w:t>
      </w:r>
    </w:p>
    <w:p>
      <w:pPr>
        <w:spacing w:line="360" w:lineRule="auto" w:after="0"/>
        <w:ind w:firstLine="709"/>
        <w:jc w:val="both"/>
      </w:pPr>
      <w:r>
        <w:t>Na data deste relato, 13 de outubro de 2026, o Agiliza dispõe de definições estáveis e de uma base técnica funcional, mas ainda não de um sistema pronto para uso pelos órgãos. O Quadro 9 distingue o que está concluído, em desenvolvimento, em testes e disponível para uso.</w:t>
      </w:r>
    </w:p>
    <w:p>
      <w:pPr>
        <w:keepNext/>
        <w:spacing w:before="240" w:after="80"/>
        <w:jc w:val="center"/>
      </w:pPr>
      <w:r>
        <w:t>Quadro 9 – Situação do Agiliza Transparência em 13 de outubro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7030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b/>
                <w:color w:val="FFFFFF"/>
                <w:sz w:val="20"/>
              </w:rPr>
              <w:t>Itens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Concluído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Diagnóstico e requisitos; regras de negócio da primeira versão; fluxogramas; protótipo com jornadas validadas pela STC (09/09); modelo de dados; primeiros fluxos reais de coleta fixa e variável (acesso pelo link, publicação, envio e consulta das respostas), concluídos tecnicamente.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Em desenvolvimento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Integração desses fluxos à versão principal; migração das demais telas para dados reais; ajuste do ambiente padronizado; retirada dos dados de demonstração; definição do objeto-piloto.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b/>
                <w:sz w:val="20"/>
              </w:rPr>
              <w:t>Em testes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/>
            <w:r>
              <w:rPr>
                <w:sz w:val="20"/>
              </w:rPr>
              <w:t>Testes automatizados da base definitiva, em dois bancos de dados e nas jornadas mínimas de coleta. Testes com usuários e homologação ainda não iniciados.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40" w:after="40"/>
            </w:pPr>
            <w:r/>
            <w:r>
              <w:rPr>
                <w:b/>
                <w:sz w:val="20"/>
              </w:rPr>
              <w:t>Disponível para uso</w:t>
            </w:r>
          </w:p>
        </w:tc>
        <w:tc>
          <w:tcPr>
            <w:tcW w:type="dxa" w:w="7030"/>
          </w:tcPr>
          <w:p>
            <w:pPr>
              <w:keepNext w:val="0"/>
              <w:spacing w:before="40" w:after="40"/>
            </w:pPr>
            <w:r/>
            <w:r>
              <w:rPr>
                <w:sz w:val="20"/>
              </w:rPr>
              <w:t>Protótipo em ambiente de demonstração, com dados simulados. A base definitiva ainda não está disponível para uso institucional.</w:t>
            </w:r>
          </w:p>
        </w:tc>
      </w:tr>
    </w:tbl>
    <w:p>
      <w:pPr>
        <w:spacing w:before="80" w:after="240"/>
      </w:pPr>
      <w:r>
        <w:rPr>
          <w:sz w:val="20"/>
        </w:rPr>
        <w:t>Fonte: Próprias da instituição.</w:t>
      </w:r>
    </w:p>
    <w:p>
      <w:pPr>
        <w:pStyle w:val="Heading3"/>
      </w:pPr>
      <w:r>
        <w:t>6.1.9 Resultados e continuidade</w:t>
      </w:r>
    </w:p>
    <w:p>
      <w:pPr>
        <w:spacing w:line="360" w:lineRule="auto" w:after="0"/>
        <w:ind w:firstLine="709"/>
        <w:jc w:val="both"/>
      </w:pPr>
      <w:r>
        <w:t>Ainda que o sistema não esteja em operação, o projeto já produziu contribuições observáveis: o processo de coleta, que dependia do conhecimento de poucas pessoas, está documentado, com atores, etapas e problemas identificados; há um vocabulário comum, com termos como ciclo, coleta, objeto fixo e variável e ausência de informações, que facilita o diálogo entre a STC, os órgãos e a equipe técnica; as decisões estão registradas com data e motivação; os órgãos fornecedores participaram da construção da solução; e há uma base técnica preparada para crescer de forma controlada.</w:t>
      </w:r>
    </w:p>
    <w:p>
      <w:pPr>
        <w:spacing w:line="360" w:lineRule="auto" w:after="0"/>
        <w:ind w:firstLine="709"/>
        <w:jc w:val="both"/>
      </w:pPr>
      <w:r>
        <w:t>Até o início de dezembro de 2026, a equipe pretende concluir a primeira versão mínima, com os percursos de coleta fixa e variável operando sem dados de demonstração e um objeto-piloto definido; a proposta em estudo é a informação de licitações, junto à SINFRA, ainda sujeita à aprovação da STC. Em seguida, devem ser incorporadas as etapas já demonstradas no protótipo, como a coordenação pelo ponto focal, o SEI e os prazos, a validação, o histórico e a visão do Gabinete, além da autenticação institucional e das notificações por e-mail, seguidas de testes com usuários, homologação e piloto. A integração com o SIMONI poderá ser considerada após a atualização daquele sistema.</w:t>
      </w:r>
    </w:p>
    <w:p>
      <w:pPr>
        <w:spacing w:line="360" w:lineRule="auto" w:after="0"/>
        <w:ind w:firstLine="709"/>
        <w:jc w:val="both"/>
      </w:pPr>
      <w:r>
        <w:t>Para avançar, são decisivos a aprovação do objeto-piloto e dos órgãos participantes; o mapeamento oficial das informações por órgão e a versão atualizada do Tesauro; a deliberação sobre as questões institucionais em aberto; a definição do ambiente e da infraestrutura da STC para a implantação; a disponibilidade dos interlocutores para validações e testes; e a integração da nova bolsista à equipe. Atendidos esses requisitos, o Agiliza poderá evoluir, em conexão com as regras e responsabilidades do movimento Maranhão Transparente, de uma base validada para uma ferramenta incorporada à rotina de transparência do Estado.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síntese do Agiliza Transparência</dc:title>
  <dc:subject/>
  <dc:creator>Enzo Frazão Vencio</dc:creator>
  <cp:keywords/>
  <dc:description>generated by python-docx</dc:description>
  <cp:lastModifiedBy>Enzo Frazão Vencio</cp:lastModifiedBy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