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99034" w14:textId="7BFA314A" w:rsidR="005F5B3F" w:rsidRPr="005F5B3F" w:rsidRDefault="005F5B3F" w:rsidP="005F5B3F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GOVERNO DO ESTADO DO MARANHÃO</w:t>
      </w:r>
    </w:p>
    <w:p w14:paraId="2910C5AA" w14:textId="31C51814" w:rsidR="005F5B3F" w:rsidRPr="005F5B3F" w:rsidRDefault="005F5B3F" w:rsidP="005F5B3F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SECRETARIA DE TRANSPARÊNCIA E CONTROLE</w:t>
      </w:r>
    </w:p>
    <w:p w14:paraId="133CA388" w14:textId="4AB4234A" w:rsidR="005F5B3F" w:rsidRPr="005F5B3F" w:rsidRDefault="005F5B3F" w:rsidP="005F5B3F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SECRETARIA ADJUNTA DE TRANSPARÊNCIA</w:t>
      </w:r>
    </w:p>
    <w:p w14:paraId="6EEF6E4F" w14:textId="77777777" w:rsidR="005F5B3F" w:rsidRPr="005F5B3F" w:rsidRDefault="005F5B3F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104F8C92" w14:textId="77777777" w:rsidR="005F5B3F" w:rsidRPr="005F5B3F" w:rsidRDefault="005F5B3F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17ACB048" w14:textId="77777777" w:rsidR="005F5B3F" w:rsidRPr="005F5B3F" w:rsidRDefault="005F5B3F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0A7C2E96" w14:textId="56D07F33" w:rsidR="00731839" w:rsidRPr="005F5B3F" w:rsidRDefault="00000000">
      <w:pPr>
        <w:pStyle w:val="Ttul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F5B3F">
        <w:rPr>
          <w:rFonts w:ascii="Times New Roman" w:hAnsi="Times New Roman" w:cs="Times New Roman"/>
          <w:color w:val="auto"/>
          <w:sz w:val="24"/>
          <w:szCs w:val="24"/>
        </w:rPr>
        <w:t>MINUTA DE REUNIÃO</w:t>
      </w:r>
    </w:p>
    <w:p w14:paraId="5913EF9E" w14:textId="77777777" w:rsidR="00731839" w:rsidRPr="005F5B3F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b/>
          <w:sz w:val="24"/>
          <w:szCs w:val="24"/>
        </w:rPr>
        <w:t>Evolução do sistema de coleta e consolidação de informações para transparência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5F5B3F" w:rsidRPr="005F5B3F" w14:paraId="63EBB709" w14:textId="77777777">
        <w:trPr>
          <w:jc w:val="center"/>
        </w:trPr>
        <w:tc>
          <w:tcPr>
            <w:tcW w:w="4844" w:type="dxa"/>
            <w:vAlign w:val="center"/>
          </w:tcPr>
          <w:p w14:paraId="6CDC6EA7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4844" w:type="dxa"/>
            <w:vAlign w:val="center"/>
          </w:tcPr>
          <w:p w14:paraId="5F8DF48D" w14:textId="0F200257" w:rsidR="00731839" w:rsidRPr="005F5B3F" w:rsidRDefault="005F5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31/08/2026</w:t>
            </w:r>
          </w:p>
        </w:tc>
      </w:tr>
      <w:tr w:rsidR="005F5B3F" w:rsidRPr="005F5B3F" w14:paraId="57A017CC" w14:textId="77777777">
        <w:trPr>
          <w:jc w:val="center"/>
        </w:trPr>
        <w:tc>
          <w:tcPr>
            <w:tcW w:w="4844" w:type="dxa"/>
            <w:vAlign w:val="center"/>
          </w:tcPr>
          <w:p w14:paraId="64D9D119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  <w:proofErr w:type="spellEnd"/>
          </w:p>
        </w:tc>
        <w:tc>
          <w:tcPr>
            <w:tcW w:w="4844" w:type="dxa"/>
            <w:vAlign w:val="center"/>
          </w:tcPr>
          <w:p w14:paraId="13379D74" w14:textId="34A6865E" w:rsidR="00731839" w:rsidRPr="005F5B3F" w:rsidRDefault="005F5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10H</w:t>
            </w:r>
          </w:p>
        </w:tc>
      </w:tr>
      <w:tr w:rsidR="005F5B3F" w:rsidRPr="005F5B3F" w14:paraId="1C52C23D" w14:textId="77777777">
        <w:trPr>
          <w:jc w:val="center"/>
        </w:trPr>
        <w:tc>
          <w:tcPr>
            <w:tcW w:w="4844" w:type="dxa"/>
            <w:vAlign w:val="center"/>
          </w:tcPr>
          <w:p w14:paraId="33BDD0D7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Local/Plataforma</w:t>
            </w:r>
          </w:p>
        </w:tc>
        <w:tc>
          <w:tcPr>
            <w:tcW w:w="4844" w:type="dxa"/>
            <w:vAlign w:val="center"/>
          </w:tcPr>
          <w:p w14:paraId="140198E2" w14:textId="77FD6EA7" w:rsidR="00731839" w:rsidRPr="005F5B3F" w:rsidRDefault="005F5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presencial</w:t>
            </w:r>
            <w:proofErr w:type="spellEnd"/>
          </w:p>
        </w:tc>
      </w:tr>
      <w:tr w:rsidR="005F5B3F" w:rsidRPr="005F5B3F" w14:paraId="630C179E" w14:textId="77777777">
        <w:trPr>
          <w:jc w:val="center"/>
        </w:trPr>
        <w:tc>
          <w:tcPr>
            <w:tcW w:w="4844" w:type="dxa"/>
            <w:vAlign w:val="center"/>
          </w:tcPr>
          <w:p w14:paraId="2DF2511D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Participantes</w:t>
            </w:r>
            <w:proofErr w:type="spellEnd"/>
          </w:p>
        </w:tc>
        <w:tc>
          <w:tcPr>
            <w:tcW w:w="4844" w:type="dxa"/>
            <w:vAlign w:val="center"/>
          </w:tcPr>
          <w:p w14:paraId="441E8CCB" w14:textId="0CBE15B2" w:rsidR="00731839" w:rsidRPr="005F5B3F" w:rsidRDefault="005F5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Steferson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, Thiago, Alessandra, Talita, Enzo</w:t>
            </w:r>
          </w:p>
        </w:tc>
      </w:tr>
      <w:tr w:rsidR="005F5B3F" w:rsidRPr="005F5B3F" w14:paraId="3FA36890" w14:textId="77777777">
        <w:trPr>
          <w:jc w:val="center"/>
        </w:trPr>
        <w:tc>
          <w:tcPr>
            <w:tcW w:w="4844" w:type="dxa"/>
            <w:vAlign w:val="center"/>
          </w:tcPr>
          <w:p w14:paraId="61F2FA5D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844" w:type="dxa"/>
            <w:vAlign w:val="center"/>
          </w:tcPr>
          <w:p w14:paraId="417BA630" w14:textId="5CC40759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Discutir a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evolução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B3F" w:rsidRPr="005F5B3F">
              <w:rPr>
                <w:rFonts w:ascii="Times New Roman" w:hAnsi="Times New Roman" w:cs="Times New Roman"/>
                <w:sz w:val="24"/>
                <w:szCs w:val="24"/>
              </w:rPr>
              <w:t>agiliza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consolidação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de informações para transparência, com foco na estruturação da entrada de dados, diferenciação de objetos, redução do esforço de preenchimento, governança do catálogo e preparação do projeto para implementação em sprints.</w:t>
            </w:r>
          </w:p>
        </w:tc>
      </w:tr>
    </w:tbl>
    <w:p w14:paraId="7AEF3014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1. Síntese da reunião</w:t>
      </w:r>
    </w:p>
    <w:p w14:paraId="45147251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A reunião teve como objetivo consolidar decisões e pontos de atenção relacionados à evolução do sistema de coleta e consolidação de informações para transparência. As discussões concentraram-se na diferenciação entre tipos de objeto, no fluxo de coleta, na experiência do usuário, na consolidação de dados, na redução do esforço de preenchimento, na governança do catálogo e na preparação do projeto para implementação incremental em sprints. Também foram apresentados avanços do protótipo, ajustes de fluxo e possibilidades de geração de extratos e agregações históricas.</w:t>
      </w:r>
    </w:p>
    <w:p w14:paraId="3C725B6D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2. Objetos fixos e variáveis</w:t>
      </w:r>
    </w:p>
    <w:p w14:paraId="0A2A41D0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Ficou estabelecida como distinção central do sistema a separação entre objeto fixo e objeto variável. O objeto fixo possui formato previamente conhecido, padronizado e, em regra, associado a planilha estruturada, o que permite maior controle e aplicação de validações automáticas. O objeto variável, por sua vez, admite alterações de formato conforme a necessidade da coleta e pode comportar anexos e diferentes modalidades de envio, como PDF, Excel ou CSV.</w:t>
      </w:r>
    </w:p>
    <w:p w14:paraId="122B7A8B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Foi reforçado que essa distinção não deve ser tratada apenas como uma diferença de interface. O tipo de objeto interfere diretamente na forma de recebimento, no tratamento do dado, nas validações aplicáveis e no próprio fluxo de coleta. Assim, o sistema deverá refletir essa separação de forma explícita, evitando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adoção de um único comportamento para objetos com características distintas.</w:t>
      </w:r>
    </w:p>
    <w:p w14:paraId="2908DFE5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lastRenderedPageBreak/>
        <w:t>3. Fluxo de coleta e experiência do usuário</w:t>
      </w:r>
    </w:p>
    <w:p w14:paraId="54820CE9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O protótipo apresentado contemplou o acesso por link, o cadastro inicial, a confirmação de dados e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entrada no painel correspondente ao ciclo de coleta.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equipe discutiu a necessidade de ampliar a segurança desse acesso, considerando que um link aberto pode ser reutilizado de forma indevida ou permitir preenchimentos com baixo grau de confiabilidade.</w:t>
      </w:r>
    </w:p>
    <w:p w14:paraId="1C3633BE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Foram consideradas alternativas de validação por e-mail, CPF, matrícula e associação com a unidade gestora, preservando-se como requisito a simplicidade do processo para o usuário. Também foi revisada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etapa de preenchimento das planilhas, com a indicação de que o modelo deve orientar o usuário e, ao mesmo tempo, impedir alterações que comprometam a estrutura esperada, como renomeação de colunas, mudança de layout ou envio de arquivos fora do padrão definido.</w:t>
      </w:r>
    </w:p>
    <w:p w14:paraId="666BC57B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Quanto à ausência de informação, foi debatida a criação de um mecanismo específico para registrar que o órgão não possui determinado dado.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intenção é evitar o uso de uma ocorrência genérica e dispensar a edição manual da planilha apenas para informar a inexistência do conteúdo solicitado.</w:t>
      </w:r>
    </w:p>
    <w:p w14:paraId="4F83E822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4. Extratos, consolidação e histórico</w:t>
      </w:r>
    </w:p>
    <w:p w14:paraId="126D4223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Foi registrada como necessidade relevante a geração de extratos ao encerramento de cada ciclo, contendo, no mínimo,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identificação de quem respondeu, quem não respondeu e quais informações foram efetivamente consolidadas. O extrato poderá subsidiar o encerramento do processo correspondente no SEI, além de atender demandas de prestação de contas, transparência, auditoria e comprovação de conformidade institucional.</w:t>
      </w:r>
    </w:p>
    <w:p w14:paraId="048EEDC5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Além do fechamento individual por ciclo, o sistema deverá manter histórico agregado para consultas posteriores, permitindo filtragem por unidade gestora (UG), ciclo, tipo de objeto e período.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orientação é evitar que análises futuras dependam da abertura de processos isolados, concentrando as informações em repositório único e estruturado, com capacidade de sustentar relatórios anuais e análises históricas mais amplas.</w:t>
      </w:r>
    </w:p>
    <w:p w14:paraId="7A4442C1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5. Planilhas, extração automática e redução de esforço</w:t>
      </w:r>
    </w:p>
    <w:p w14:paraId="27C1DC0D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equipe reconheceu como ponto crítico o esforço exigido dos órgãos para preenchimento de planilhas extensas, especialmente em ciclos com muitos campos ou grande volume de documentos. Como diretriz, foi proposta a simplificação das planilhas, mantendo apenas os campos efetivamente necessários ao envio e transferindo, sempre que viável, parte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tratamento para mecanismos internos do sistema.</w:t>
      </w:r>
    </w:p>
    <w:p w14:paraId="5323B4F7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Foi discutida a possibilidade de utilizar extração automatizada de documentos para identificar informações como vigência, objeto e data de assinatura, reduzindo o preenchimento manual. Nesse contexto, mencionou-se o uso de rotinas de processamento de dados, inclusive com Python e Pandas, como alternativa técnica a ser avaliada durante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implementação.</w:t>
      </w:r>
    </w:p>
    <w:p w14:paraId="1BE24432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Para objetos que envolvam anexos e formatos pouco padronizados, o sistema deverá suportar diferentes níveis de estruturação sem comprometer a usabilidade e a consistência mínima necessária para consolidação e análise.</w:t>
      </w:r>
    </w:p>
    <w:p w14:paraId="525EEB2F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6. Catálogo, Tesauro e governança das alterações</w:t>
      </w:r>
    </w:p>
    <w:p w14:paraId="1E714CAF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O catálogo do sistema deverá ser estruturado a partir do Tesauro, utilizado como fonte principal de referência para objetos, campos, anexos e classificações. As alterações realizadas nesse catálogo </w:t>
      </w:r>
      <w:r w:rsidRPr="005F5B3F">
        <w:rPr>
          <w:rFonts w:ascii="Times New Roman" w:hAnsi="Times New Roman" w:cs="Times New Roman"/>
          <w:sz w:val="24"/>
          <w:szCs w:val="24"/>
        </w:rPr>
        <w:lastRenderedPageBreak/>
        <w:t>deverão ser registradas em log e submetidas a processo de aprovação antes de produzirem efeito em uma nova versão do sistema.</w:t>
      </w:r>
    </w:p>
    <w:p w14:paraId="7B978A8C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Após aprovação, a nova versão do Tesauro deverá substituir a versão anterior e atualizar o catálogo de forma controlada. Também foi indicada a necessidade de perfis distintos para alteração e revisão, garantindo rastreabilidade, responsabilização e governança sobre as mudanças.</w:t>
      </w:r>
    </w:p>
    <w:p w14:paraId="7FAB06CE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Foi ressaltado, ainda, que o sistema deve ser capaz de receber tanto objetos já consolidados quanto objetos em processo de amadurecimento, sem perder o vínculo com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estrutura de governança definida para o catálogo.</w:t>
      </w:r>
    </w:p>
    <w:p w14:paraId="5F31070B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7. Planejamento de implementação</w:t>
      </w:r>
    </w:p>
    <w:p w14:paraId="76E814B9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Houve alinhamento para transição da fase de prototipação para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organização do backlog e das sprints de desenvolvimento. A prioridade sugerida é iniciar pelo núcleo mais crítico do sistema, correspondente à coleta, e evoluir posteriormente para telas de cadastro, ferramentas internas e demais funcionalidades de apoio.</w:t>
      </w:r>
    </w:p>
    <w:p w14:paraId="406FF458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estratégia indicada é de entrega incremental em produção, com funcionalidades utilizáveis desde as primeiras sprints, evitando a dependência de uma entrega única do sistema completo. Antes das etapas de maior desenvolvimento, deverão ser organizados os elementos básicos do ambiente técnico, incluindo repositório, stack, docker, homologação e estrutura de desenvolvimento.</w:t>
      </w:r>
    </w:p>
    <w:p w14:paraId="21FDA69E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O cronograma discutido pressupõe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execução de várias sprints até o início do próximo ciclo de entregas, com expectativa de disponibilização de uma primeira versão funcional e posterior expansão do escopo.</w:t>
      </w:r>
    </w:p>
    <w:p w14:paraId="1AEDBC4A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8. Articulação com órgãos externos</w:t>
      </w:r>
    </w:p>
    <w:p w14:paraId="2D5D21E6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Foram mencionadas interlocuções com órgãos como Corpo de Bombeiros, Procon e Polícia Militar, que demonstraram abertura para participação e fornecimento de informações. Identificou-se, contudo, que diversos órgãos já encaminham dados semelhantes para outras áreas em formatos distintos, gerando retrabalho e duplicidade de esforço.</w:t>
      </w:r>
    </w:p>
    <w:p w14:paraId="68EA452D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equipe avaliou a possibilidade de discutir mecanismos de unificação, reaproveitamento ou integração dessas informações, inclusive por meio de aproximação com a CEPLAN. Essa articulação deverá ocorrer de forma gradual, após maior amadurecimento do fluxo interno e melhor identificação de quem recebe cada dado, em qual formato e para qual finalidade.</w:t>
      </w:r>
    </w:p>
    <w:p w14:paraId="7E6CBA44" w14:textId="77777777" w:rsidR="00731839" w:rsidRPr="005F5B3F" w:rsidRDefault="00000000">
      <w:pPr>
        <w:spacing w:after="10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Também foi considerada importante a validação do protótipo em contextos reais, contemplando órgãos com diferentes níveis de organização, a fim de identificar obstáculos práticos de adoção e ajustar o sistema às condições efetivas de uso.</w:t>
      </w:r>
    </w:p>
    <w:p w14:paraId="2C32CAA0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9. Encaminhamentos preliminares</w:t>
      </w:r>
    </w:p>
    <w:p w14:paraId="339422C9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Definir no modelo de dados e na interface a distinção operacional entre objetos fixos e variáveis.</w:t>
      </w:r>
    </w:p>
    <w:p w14:paraId="55073782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Revisar o mecanismo de acesso ao ciclo de coleta, buscando maior segurança sem elevar desnecessariamente a complexidade para o usuário.</w:t>
      </w:r>
    </w:p>
    <w:p w14:paraId="10E962CD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Definir regras para validação e proteção das planilhas estruturadas, impedindo alterações que comprometam o padrão esperado.</w:t>
      </w:r>
    </w:p>
    <w:p w14:paraId="64800D84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lastRenderedPageBreak/>
        <w:t>Especificar o tratamento da opção de ausência de informação, diferenciando-a de ocorrências ou falhas de preenchimento.</w:t>
      </w:r>
    </w:p>
    <w:p w14:paraId="1F935FE4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Detalhar o conteúdo e o formato dos extratos de encerramento de ciclo e sua relação com o processo no SEI.</w:t>
      </w:r>
    </w:p>
    <w:p w14:paraId="73D2669F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Projetar a estrutura de histórico e agregação para consultas por UG, ciclo, tipo de objeto e período.</w:t>
      </w:r>
    </w:p>
    <w:p w14:paraId="69B7D5D3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Simplificar os modelos de planilha e avaliar quais dados podem ser obtidos por extração automatizada de documentos.</w:t>
      </w:r>
    </w:p>
    <w:p w14:paraId="4C92E76D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Definir o fluxo de governança das alterações do catálogo/Tesauro, incluindo perfis de alteração, revisão, aprovação e versionamento.</w:t>
      </w:r>
    </w:p>
    <w:p w14:paraId="3AC53064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Converter as funcionalidades priorizadas do protótipo em backlog e organizar as primeiras sprints, iniciando pelo fluxo de coleta.</w:t>
      </w:r>
    </w:p>
    <w:p w14:paraId="39DE4678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Estruturar repositório, stack, docker, homologação e demais requisitos do ambiente de desenvolvimento.</w:t>
      </w:r>
    </w:p>
    <w:p w14:paraId="1F4230C7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Planejar validação do protótipo com órgãos de diferentes perfis e níveis de organização.</w:t>
      </w:r>
    </w:p>
    <w:p w14:paraId="49560B33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 xml:space="preserve">Mapear oportunidades de reaproveitamento ou integração de dados já encaminhados </w:t>
      </w:r>
      <w:proofErr w:type="gramStart"/>
      <w:r w:rsidRPr="005F5B3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F5B3F">
        <w:rPr>
          <w:rFonts w:ascii="Times New Roman" w:hAnsi="Times New Roman" w:cs="Times New Roman"/>
          <w:sz w:val="24"/>
          <w:szCs w:val="24"/>
        </w:rPr>
        <w:t xml:space="preserve"> outras áreas, incluindo eventual articulação com a CEPLAN.</w:t>
      </w:r>
    </w:p>
    <w:p w14:paraId="04F87341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10. Pendências para definição</w:t>
      </w:r>
    </w:p>
    <w:p w14:paraId="4A6A4247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Critério definitivo de autenticação/validação do usuário no acesso à coleta.</w:t>
      </w:r>
    </w:p>
    <w:p w14:paraId="697D8A70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Regras específicas de validação para cada tipo de objeto e formato de arquivo.</w:t>
      </w:r>
    </w:p>
    <w:p w14:paraId="1034D311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Campos mínimos obrigatórios do extrato final de cada ciclo.</w:t>
      </w:r>
    </w:p>
    <w:p w14:paraId="5591E7A0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Critérios técnicos para extração automática de informações de documentos.</w:t>
      </w:r>
    </w:p>
    <w:p w14:paraId="596FC4A8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Responsáveis e prazos de cada item do backlog inicial.</w:t>
      </w:r>
    </w:p>
    <w:p w14:paraId="2FD85193" w14:textId="77777777" w:rsidR="00731839" w:rsidRPr="005F5B3F" w:rsidRDefault="00000000">
      <w:pPr>
        <w:pStyle w:val="Commarcadores"/>
        <w:spacing w:after="40"/>
        <w:ind w:left="283"/>
        <w:rPr>
          <w:rFonts w:ascii="Times New Roman" w:hAnsi="Times New Roman" w:cs="Times New Roman"/>
          <w:sz w:val="24"/>
          <w:szCs w:val="24"/>
        </w:rPr>
      </w:pPr>
      <w:r w:rsidRPr="005F5B3F">
        <w:rPr>
          <w:rFonts w:ascii="Times New Roman" w:hAnsi="Times New Roman" w:cs="Times New Roman"/>
          <w:sz w:val="24"/>
          <w:szCs w:val="24"/>
        </w:rPr>
        <w:t>Forma de integração ou reaproveitamento de informações já enviadas pelos órgãos a outros setores.</w:t>
      </w:r>
    </w:p>
    <w:p w14:paraId="18BE4780" w14:textId="77777777" w:rsidR="00731839" w:rsidRPr="005F5B3F" w:rsidRDefault="00000000">
      <w:pPr>
        <w:pStyle w:val="Ttulo1"/>
        <w:spacing w:before="200" w:after="80"/>
        <w:rPr>
          <w:rFonts w:ascii="Times New Roman" w:hAnsi="Times New Roman" w:cs="Times New Roman"/>
          <w:color w:val="auto"/>
          <w:szCs w:val="24"/>
        </w:rPr>
      </w:pPr>
      <w:r w:rsidRPr="005F5B3F">
        <w:rPr>
          <w:rFonts w:ascii="Times New Roman" w:hAnsi="Times New Roman" w:cs="Times New Roman"/>
          <w:color w:val="auto"/>
          <w:szCs w:val="24"/>
        </w:rPr>
        <w:t>11. Registro de responsáveis e prazos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F5B3F" w:rsidRPr="005F5B3F" w14:paraId="7F3066D2" w14:textId="77777777">
        <w:trPr>
          <w:jc w:val="center"/>
        </w:trPr>
        <w:tc>
          <w:tcPr>
            <w:tcW w:w="2422" w:type="dxa"/>
          </w:tcPr>
          <w:p w14:paraId="56C9BDD5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Encaminhamento</w:t>
            </w:r>
          </w:p>
        </w:tc>
        <w:tc>
          <w:tcPr>
            <w:tcW w:w="2422" w:type="dxa"/>
          </w:tcPr>
          <w:p w14:paraId="14848766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w="2422" w:type="dxa"/>
          </w:tcPr>
          <w:p w14:paraId="3B4B0090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Prazo</w:t>
            </w:r>
          </w:p>
        </w:tc>
        <w:tc>
          <w:tcPr>
            <w:tcW w:w="2422" w:type="dxa"/>
          </w:tcPr>
          <w:p w14:paraId="47616A1B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</w:tr>
      <w:tr w:rsidR="005F5B3F" w:rsidRPr="005F5B3F" w14:paraId="174BABCF" w14:textId="77777777">
        <w:trPr>
          <w:jc w:val="center"/>
        </w:trPr>
        <w:tc>
          <w:tcPr>
            <w:tcW w:w="2422" w:type="dxa"/>
          </w:tcPr>
          <w:p w14:paraId="7EE57E65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Modelagem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objetos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fixos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e variáveis</w:t>
            </w:r>
          </w:p>
        </w:tc>
        <w:tc>
          <w:tcPr>
            <w:tcW w:w="2422" w:type="dxa"/>
          </w:tcPr>
          <w:p w14:paraId="452EEF7D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34A65F8F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6DACBFEC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5F5B3F" w:rsidRPr="005F5B3F" w14:paraId="6948F6F1" w14:textId="77777777">
        <w:trPr>
          <w:jc w:val="center"/>
        </w:trPr>
        <w:tc>
          <w:tcPr>
            <w:tcW w:w="2422" w:type="dxa"/>
          </w:tcPr>
          <w:p w14:paraId="4D0AED67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validação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acesso</w:t>
            </w:r>
            <w:proofErr w:type="spellEnd"/>
          </w:p>
        </w:tc>
        <w:tc>
          <w:tcPr>
            <w:tcW w:w="2422" w:type="dxa"/>
          </w:tcPr>
          <w:p w14:paraId="37427404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0B699100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6BEC74C7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5F5B3F" w:rsidRPr="005F5B3F" w14:paraId="6D45D562" w14:textId="77777777">
        <w:trPr>
          <w:jc w:val="center"/>
        </w:trPr>
        <w:tc>
          <w:tcPr>
            <w:tcW w:w="2422" w:type="dxa"/>
          </w:tcPr>
          <w:p w14:paraId="2F36771C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Extratos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histórico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agregado</w:t>
            </w:r>
            <w:proofErr w:type="spellEnd"/>
          </w:p>
        </w:tc>
        <w:tc>
          <w:tcPr>
            <w:tcW w:w="2422" w:type="dxa"/>
          </w:tcPr>
          <w:p w14:paraId="578434CD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05EA8F31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128401CD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5F5B3F" w:rsidRPr="005F5B3F" w14:paraId="0102D471" w14:textId="77777777">
        <w:trPr>
          <w:jc w:val="center"/>
        </w:trPr>
        <w:tc>
          <w:tcPr>
            <w:tcW w:w="2422" w:type="dxa"/>
          </w:tcPr>
          <w:p w14:paraId="2B180E7C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Simplificação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das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planilhas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automações</w:t>
            </w:r>
            <w:proofErr w:type="spellEnd"/>
          </w:p>
        </w:tc>
        <w:tc>
          <w:tcPr>
            <w:tcW w:w="2422" w:type="dxa"/>
          </w:tcPr>
          <w:p w14:paraId="54F06484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254D0202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1652C957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5F5B3F" w:rsidRPr="005F5B3F" w14:paraId="44AA5FCC" w14:textId="77777777">
        <w:trPr>
          <w:jc w:val="center"/>
        </w:trPr>
        <w:tc>
          <w:tcPr>
            <w:tcW w:w="2422" w:type="dxa"/>
          </w:tcPr>
          <w:p w14:paraId="649CB19D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Governança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do Tesauro/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catálogo</w:t>
            </w:r>
            <w:proofErr w:type="spellEnd"/>
          </w:p>
        </w:tc>
        <w:tc>
          <w:tcPr>
            <w:tcW w:w="2422" w:type="dxa"/>
          </w:tcPr>
          <w:p w14:paraId="6A56C793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1E333B28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2E711E76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5F5B3F" w:rsidRPr="005F5B3F" w14:paraId="04FC3C24" w14:textId="77777777">
        <w:trPr>
          <w:jc w:val="center"/>
        </w:trPr>
        <w:tc>
          <w:tcPr>
            <w:tcW w:w="2422" w:type="dxa"/>
          </w:tcPr>
          <w:p w14:paraId="5729E129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Backlog e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primeiras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sprints</w:t>
            </w:r>
          </w:p>
        </w:tc>
        <w:tc>
          <w:tcPr>
            <w:tcW w:w="2422" w:type="dxa"/>
          </w:tcPr>
          <w:p w14:paraId="7CAFC9BE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7EDB74C8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441C191D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  <w:tr w:rsidR="005F5B3F" w:rsidRPr="005F5B3F" w14:paraId="36A954FD" w14:textId="77777777">
        <w:trPr>
          <w:jc w:val="center"/>
        </w:trPr>
        <w:tc>
          <w:tcPr>
            <w:tcW w:w="2422" w:type="dxa"/>
          </w:tcPr>
          <w:p w14:paraId="5B9BD2F2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Validação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com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órgãos</w:t>
            </w:r>
            <w:proofErr w:type="spellEnd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B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externos</w:t>
            </w:r>
            <w:proofErr w:type="spellEnd"/>
          </w:p>
        </w:tc>
        <w:tc>
          <w:tcPr>
            <w:tcW w:w="2422" w:type="dxa"/>
          </w:tcPr>
          <w:p w14:paraId="03F86BA7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definir</w:t>
            </w:r>
          </w:p>
        </w:tc>
        <w:tc>
          <w:tcPr>
            <w:tcW w:w="2422" w:type="dxa"/>
          </w:tcPr>
          <w:p w14:paraId="6C46A20F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A definir</w:t>
            </w:r>
          </w:p>
        </w:tc>
        <w:tc>
          <w:tcPr>
            <w:tcW w:w="2422" w:type="dxa"/>
          </w:tcPr>
          <w:p w14:paraId="6CC402B9" w14:textId="77777777" w:rsidR="00731839" w:rsidRPr="005F5B3F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B3F">
              <w:rPr>
                <w:rFonts w:ascii="Times New Roman" w:hAnsi="Times New Roman" w:cs="Times New Roman"/>
                <w:sz w:val="24"/>
                <w:szCs w:val="24"/>
              </w:rPr>
              <w:t>Pendente</w:t>
            </w:r>
          </w:p>
        </w:tc>
      </w:tr>
    </w:tbl>
    <w:p w14:paraId="192E4966" w14:textId="77777777" w:rsidR="00731839" w:rsidRPr="005F5B3F" w:rsidRDefault="00000000">
      <w:pPr>
        <w:spacing w:before="280"/>
        <w:rPr>
          <w:rFonts w:ascii="Times New Roman" w:hAnsi="Times New Roman" w:cs="Times New Roman"/>
          <w:sz w:val="24"/>
          <w:szCs w:val="24"/>
        </w:rPr>
      </w:pPr>
      <w:proofErr w:type="spellStart"/>
      <w:r w:rsidRPr="005F5B3F">
        <w:rPr>
          <w:rFonts w:ascii="Times New Roman" w:hAnsi="Times New Roman" w:cs="Times New Roman"/>
          <w:b/>
          <w:sz w:val="24"/>
          <w:szCs w:val="24"/>
        </w:rPr>
        <w:t>Observação</w:t>
      </w:r>
      <w:proofErr w:type="spellEnd"/>
      <w:r w:rsidRPr="005F5B3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5F5B3F">
        <w:rPr>
          <w:rFonts w:ascii="Times New Roman" w:hAnsi="Times New Roman" w:cs="Times New Roman"/>
          <w:sz w:val="24"/>
          <w:szCs w:val="24"/>
        </w:rPr>
        <w:t xml:space="preserve">Esta </w:t>
      </w:r>
      <w:proofErr w:type="spellStart"/>
      <w:r w:rsidRPr="005F5B3F">
        <w:rPr>
          <w:rFonts w:ascii="Times New Roman" w:hAnsi="Times New Roman" w:cs="Times New Roman"/>
          <w:sz w:val="24"/>
          <w:szCs w:val="24"/>
        </w:rPr>
        <w:t>minuta</w:t>
      </w:r>
      <w:proofErr w:type="spellEnd"/>
      <w:r w:rsidRPr="005F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B3F">
        <w:rPr>
          <w:rFonts w:ascii="Times New Roman" w:hAnsi="Times New Roman" w:cs="Times New Roman"/>
          <w:sz w:val="24"/>
          <w:szCs w:val="24"/>
        </w:rPr>
        <w:t>consolida</w:t>
      </w:r>
      <w:proofErr w:type="spellEnd"/>
      <w:r w:rsidRPr="005F5B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B3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5F5B3F">
        <w:rPr>
          <w:rFonts w:ascii="Times New Roman" w:hAnsi="Times New Roman" w:cs="Times New Roman"/>
          <w:sz w:val="24"/>
          <w:szCs w:val="24"/>
        </w:rPr>
        <w:t xml:space="preserve"> principais pontos discutidos e deverá ser ajustada com data, participantes, responsáveis, prazos e eventuais deliberações adicionais antes de sua validação final.</w:t>
      </w:r>
    </w:p>
    <w:sectPr w:rsidR="00731839" w:rsidRPr="005F5B3F" w:rsidSect="00034616">
      <w:footerReference w:type="default" r:id="rId8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2D12A" w14:textId="77777777" w:rsidR="009C1953" w:rsidRDefault="009C1953">
      <w:pPr>
        <w:spacing w:after="0" w:line="240" w:lineRule="auto"/>
      </w:pPr>
      <w:r>
        <w:separator/>
      </w:r>
    </w:p>
  </w:endnote>
  <w:endnote w:type="continuationSeparator" w:id="0">
    <w:p w14:paraId="55DD3F14" w14:textId="77777777" w:rsidR="009C1953" w:rsidRDefault="009C1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39EB8" w14:textId="77777777" w:rsidR="00731839" w:rsidRDefault="00000000">
    <w:pPr>
      <w:pStyle w:val="Rodap"/>
      <w:jc w:val="center"/>
    </w:pPr>
    <w:r>
      <w:rPr>
        <w:sz w:val="16"/>
      </w:rPr>
      <w:t>Minuta de reunião - Sistema de coleta e consolidação de informações para transparência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4DB58D" w14:textId="77777777" w:rsidR="009C1953" w:rsidRDefault="009C1953">
      <w:pPr>
        <w:spacing w:after="0" w:line="240" w:lineRule="auto"/>
      </w:pPr>
      <w:r>
        <w:separator/>
      </w:r>
    </w:p>
  </w:footnote>
  <w:footnote w:type="continuationSeparator" w:id="0">
    <w:p w14:paraId="2E456667" w14:textId="77777777" w:rsidR="009C1953" w:rsidRDefault="009C1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925548">
    <w:abstractNumId w:val="8"/>
  </w:num>
  <w:num w:numId="2" w16cid:durableId="930821362">
    <w:abstractNumId w:val="6"/>
  </w:num>
  <w:num w:numId="3" w16cid:durableId="644622900">
    <w:abstractNumId w:val="5"/>
  </w:num>
  <w:num w:numId="4" w16cid:durableId="1175413187">
    <w:abstractNumId w:val="4"/>
  </w:num>
  <w:num w:numId="5" w16cid:durableId="729159618">
    <w:abstractNumId w:val="7"/>
  </w:num>
  <w:num w:numId="6" w16cid:durableId="748159492">
    <w:abstractNumId w:val="3"/>
  </w:num>
  <w:num w:numId="7" w16cid:durableId="812714367">
    <w:abstractNumId w:val="2"/>
  </w:num>
  <w:num w:numId="8" w16cid:durableId="142619899">
    <w:abstractNumId w:val="1"/>
  </w:num>
  <w:num w:numId="9" w16cid:durableId="132147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B3F"/>
    <w:rsid w:val="00731839"/>
    <w:rsid w:val="007543FA"/>
    <w:rsid w:val="009C19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DCDDE"/>
  <w14:defaultImageDpi w14:val="300"/>
  <w15:docId w15:val="{F8E7EE53-E526-468C-B201-0177D12D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1645</Words>
  <Characters>8885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Alessandra Gomes Melo Aguiar</cp:lastModifiedBy>
  <cp:revision>2</cp:revision>
  <dcterms:created xsi:type="dcterms:W3CDTF">2013-12-23T23:15:00Z</dcterms:created>
  <dcterms:modified xsi:type="dcterms:W3CDTF">2026-08-31T14:21:00Z</dcterms:modified>
  <cp:category/>
</cp:coreProperties>
</file>